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lang w:val="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pStyle w:val="H1"/>
        <w:spacing w:before="0" w:after="0"/>
        <w:ind w:left="476" w:right="0"/>
      </w:pPr>
      <w:bookmarkStart w:id="0" w:name="_Toc44113442"/>
      <w:bookmarkStart w:id="1" w:name="_Toc44113708"/>
      <w:bookmarkStart w:id="2" w:name="_Toc44114214"/>
      <w:bookmarkStart w:id="3" w:name="_Toc44115495"/>
      <w:bookmarkStart w:id="4" w:name="_Toc44115891"/>
      <w:r>
        <w:t xml:space="preserve">Комитет по </w:t>
      </w:r>
      <w:commentRangeStart w:id="5"/>
      <w:r>
        <w:t xml:space="preserve">ликвидации </w:t>
      </w:r>
      <w:commentRangeEnd w:id="5"/>
      <w:r>
        <w:rPr>
          <w:rStyle w:val="CommentReference"/>
          <w:b w:val="0"/>
          <w:vanish/>
        </w:rPr>
        <w:commentReference w:id="5"/>
      </w:r>
      <w:r>
        <w:t>дискриминации</w:t>
      </w:r>
      <w:bookmarkEnd w:id="0"/>
      <w:bookmarkEnd w:id="1"/>
      <w:bookmarkEnd w:id="2"/>
      <w:bookmarkEnd w:id="3"/>
      <w:bookmarkEnd w:id="4"/>
    </w:p>
    <w:p w:rsidR="00000000" w:rsidRDefault="00000000">
      <w:pPr>
        <w:pStyle w:val="H1"/>
        <w:spacing w:before="0" w:after="0"/>
        <w:ind w:left="476" w:right="0"/>
      </w:pPr>
      <w:bookmarkStart w:id="6" w:name="_Toc44113443"/>
      <w:bookmarkStart w:id="7" w:name="_Toc44113709"/>
      <w:bookmarkStart w:id="8" w:name="_Toc44114215"/>
      <w:bookmarkStart w:id="9" w:name="_Toc44115496"/>
      <w:bookmarkStart w:id="10" w:name="_Toc44115892"/>
      <w:r>
        <w:t>в отношении женщин</w:t>
      </w:r>
      <w:bookmarkEnd w:id="6"/>
      <w:bookmarkEnd w:id="7"/>
      <w:bookmarkEnd w:id="8"/>
      <w:bookmarkEnd w:id="9"/>
      <w:bookmarkEnd w:id="10"/>
    </w:p>
    <w:p w:rsidR="00000000" w:rsidRDefault="00000000">
      <w:pPr>
        <w:pStyle w:val="SingleTxt"/>
        <w:spacing w:after="0" w:line="120" w:lineRule="exact"/>
        <w:ind w:left="0"/>
        <w:rPr>
          <w:sz w:val="10"/>
        </w:rPr>
      </w:pPr>
    </w:p>
    <w:p w:rsidR="00000000" w:rsidRDefault="00000000">
      <w:pPr>
        <w:pStyle w:val="SingleTxt"/>
        <w:spacing w:after="0" w:line="120" w:lineRule="exact"/>
        <w:ind w:left="0"/>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pPr>
      <w:bookmarkStart w:id="11" w:name="_Toc44113444"/>
      <w:bookmarkStart w:id="12" w:name="_Toc44113710"/>
      <w:bookmarkStart w:id="13" w:name="_Toc44114216"/>
      <w:bookmarkStart w:id="14" w:name="_Toc44115497"/>
      <w:bookmarkStart w:id="15" w:name="_Toc44115893"/>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11"/>
      <w:bookmarkEnd w:id="12"/>
      <w:bookmarkEnd w:id="13"/>
      <w:bookmarkEnd w:id="14"/>
      <w:bookmarkEnd w:id="15"/>
    </w:p>
    <w:p w:rsidR="00000000" w:rsidRDefault="00000000">
      <w:pPr>
        <w:pStyle w:val="H1"/>
      </w:pPr>
      <w:bookmarkStart w:id="16" w:name="_Toc44113445"/>
      <w:bookmarkStart w:id="17" w:name="_Toc44113711"/>
      <w:bookmarkStart w:id="18" w:name="_Toc44114217"/>
      <w:bookmarkStart w:id="19" w:name="_Toc44115498"/>
      <w:bookmarkStart w:id="20" w:name="_Toc44115894"/>
      <w:r>
        <w:t>Пятый периодический доклад государств-участников</w:t>
      </w:r>
      <w:r>
        <w:rPr>
          <w:rStyle w:val="FootnoteReference"/>
          <w:b w:val="0"/>
        </w:rPr>
        <w:footnoteReference w:customMarkFollows="1" w:id="1"/>
        <w:t>*</w:t>
      </w:r>
      <w:bookmarkEnd w:id="16"/>
      <w:bookmarkEnd w:id="17"/>
      <w:bookmarkEnd w:id="18"/>
      <w:bookmarkEnd w:id="19"/>
      <w:bookmarkEnd w:id="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pPr>
      <w:bookmarkStart w:id="21" w:name="_Toc44113446"/>
      <w:bookmarkStart w:id="22" w:name="_Toc44113712"/>
      <w:bookmarkStart w:id="23" w:name="_Toc44114218"/>
      <w:bookmarkStart w:id="24" w:name="_Toc44115499"/>
      <w:bookmarkStart w:id="25" w:name="_Toc44115895"/>
      <w:r>
        <w:t>Германия</w:t>
      </w:r>
      <w:r>
        <w:rPr>
          <w:rStyle w:val="FootnoteReference"/>
          <w:sz w:val="24"/>
        </w:rPr>
        <w:t xml:space="preserve"> </w:t>
      </w:r>
      <w:r>
        <w:rPr>
          <w:rStyle w:val="FootnoteReference"/>
          <w:b w:val="0"/>
        </w:rPr>
        <w:footnoteReference w:customMarkFollows="1" w:id="2"/>
        <w:t>**</w:t>
      </w:r>
      <w:bookmarkEnd w:id="21"/>
      <w:bookmarkEnd w:id="22"/>
      <w:bookmarkEnd w:id="23"/>
      <w:bookmarkEnd w:id="24"/>
      <w:bookmarkEnd w:id="25"/>
    </w:p>
    <w:p w:rsidR="00000000" w:rsidRDefault="00000000">
      <w:pPr>
        <w:pStyle w:val="H1"/>
      </w:pPr>
      <w:r>
        <w:br w:type="page"/>
      </w:r>
      <w:bookmarkStart w:id="26" w:name="_Toc44113447"/>
      <w:bookmarkStart w:id="27" w:name="_Toc44113713"/>
      <w:bookmarkStart w:id="28" w:name="_Toc44114219"/>
      <w:bookmarkStart w:id="29" w:name="_Toc44115500"/>
      <w:bookmarkStart w:id="30" w:name="_Toc44115896"/>
      <w:r>
        <w:t>Содержание</w:t>
      </w:r>
      <w:bookmarkEnd w:id="26"/>
      <w:bookmarkEnd w:id="27"/>
      <w:bookmarkEnd w:id="28"/>
      <w:bookmarkEnd w:id="29"/>
      <w:bookmarkEnd w:id="30"/>
    </w:p>
    <w:p w:rsidR="00000000" w:rsidRDefault="00000000">
      <w:pPr>
        <w:pStyle w:val="TOC1"/>
        <w:rPr>
          <w:rStyle w:val="Hyperlink"/>
        </w:rPr>
      </w:pPr>
      <w:r>
        <w:fldChar w:fldCharType="begin"/>
      </w:r>
      <w:r>
        <w:instrText xml:space="preserve"> TOC \h \z \t "_ H_1;1;_ H _Ch;1;_ H_2/3;2;_ H_4;3" </w:instrText>
      </w:r>
      <w:r>
        <w:fldChar w:fldCharType="separate"/>
      </w:r>
    </w:p>
    <w:p w:rsidR="00000000" w:rsidRDefault="00000000">
      <w:pPr>
        <w:pStyle w:val="TOC1"/>
        <w:rPr>
          <w:b w:val="0"/>
          <w:spacing w:val="0"/>
          <w:w w:val="100"/>
          <w:kern w:val="0"/>
          <w:sz w:val="24"/>
        </w:rPr>
      </w:pPr>
      <w:hyperlink w:anchor="_Toc44115897" w:history="1">
        <w:r>
          <w:rPr>
            <w:rStyle w:val="Hyperlink"/>
          </w:rPr>
          <w:t>Введение</w:t>
        </w:r>
        <w:r>
          <w:tab/>
        </w:r>
        <w:r>
          <w:fldChar w:fldCharType="begin"/>
        </w:r>
        <w:r>
          <w:instrText xml:space="preserve"> PAGEREF _Toc44115897 \h </w:instrText>
        </w:r>
        <w:r>
          <w:fldChar w:fldCharType="separate"/>
        </w:r>
        <w:r>
          <w:t>8</w:t>
        </w:r>
        <w:r>
          <w:fldChar w:fldCharType="end"/>
        </w:r>
      </w:hyperlink>
    </w:p>
    <w:p w:rsidR="00000000" w:rsidRDefault="00000000">
      <w:pPr>
        <w:pStyle w:val="TOC1"/>
        <w:ind w:left="1276" w:firstLine="0"/>
        <w:rPr>
          <w:spacing w:val="0"/>
          <w:w w:val="100"/>
          <w:kern w:val="0"/>
          <w:sz w:val="24"/>
        </w:rPr>
      </w:pPr>
      <w:hyperlink w:anchor="_Toc44115898" w:history="1">
        <w:r>
          <w:rPr>
            <w:rStyle w:val="Hyperlink"/>
          </w:rPr>
          <w:t>Заявление Комитета по ликвидации дискриминации в отношении женщин, касающееся рассмотрения докладов</w:t>
        </w:r>
        <w:r>
          <w:tab/>
        </w:r>
        <w:r>
          <w:fldChar w:fldCharType="begin"/>
        </w:r>
        <w:r>
          <w:instrText xml:space="preserve"> PAGEREF _Toc44115898 \h </w:instrText>
        </w:r>
        <w:r>
          <w:fldChar w:fldCharType="separate"/>
        </w:r>
        <w:r>
          <w:t>9</w:t>
        </w:r>
        <w:r>
          <w:fldChar w:fldCharType="end"/>
        </w:r>
      </w:hyperlink>
    </w:p>
    <w:p w:rsidR="00000000" w:rsidRDefault="00000000">
      <w:pPr>
        <w:pStyle w:val="TOC1"/>
        <w:ind w:left="1276" w:firstLine="0"/>
        <w:rPr>
          <w:spacing w:val="0"/>
          <w:w w:val="100"/>
          <w:kern w:val="0"/>
          <w:sz w:val="24"/>
        </w:rPr>
      </w:pPr>
      <w:hyperlink w:anchor="_Toc44115899" w:history="1">
        <w:r>
          <w:rPr>
            <w:rStyle w:val="Hyperlink"/>
          </w:rPr>
          <w:t>Часть I: Условия жизни женщин в Федеративной Республике Германии</w:t>
        </w:r>
        <w:r>
          <w:tab/>
        </w:r>
        <w:r>
          <w:fldChar w:fldCharType="begin"/>
        </w:r>
        <w:r>
          <w:instrText xml:space="preserve"> PAGEREF _Toc44115899 \h </w:instrText>
        </w:r>
        <w:r>
          <w:fldChar w:fldCharType="separate"/>
        </w:r>
        <w:r>
          <w:t>24</w:t>
        </w:r>
        <w:r>
          <w:fldChar w:fldCharType="end"/>
        </w:r>
      </w:hyperlink>
    </w:p>
    <w:p w:rsidR="00000000" w:rsidRDefault="00000000">
      <w:pPr>
        <w:pStyle w:val="TOC1"/>
        <w:rPr>
          <w:spacing w:val="0"/>
          <w:w w:val="100"/>
          <w:kern w:val="0"/>
          <w:sz w:val="24"/>
        </w:rPr>
      </w:pPr>
      <w:hyperlink w:anchor="_Toc44115900" w:history="1">
        <w:r>
          <w:rPr>
            <w:rStyle w:val="Hyperlink"/>
          </w:rPr>
          <w:t>1.</w:t>
        </w:r>
        <w:r>
          <w:rPr>
            <w:spacing w:val="0"/>
            <w:w w:val="100"/>
            <w:kern w:val="0"/>
            <w:sz w:val="24"/>
          </w:rPr>
          <w:tab/>
        </w:r>
        <w:r>
          <w:rPr>
            <w:rStyle w:val="Hyperlink"/>
          </w:rPr>
          <w:t>Население</w:t>
        </w:r>
        <w:r>
          <w:tab/>
        </w:r>
        <w:r>
          <w:fldChar w:fldCharType="begin"/>
        </w:r>
        <w:r>
          <w:instrText xml:space="preserve"> PAGEREF _Toc44115900 \h </w:instrText>
        </w:r>
        <w:r>
          <w:fldChar w:fldCharType="separate"/>
        </w:r>
        <w:r>
          <w:t>24</w:t>
        </w:r>
        <w:r>
          <w:fldChar w:fldCharType="end"/>
        </w:r>
      </w:hyperlink>
    </w:p>
    <w:p w:rsidR="00000000" w:rsidRDefault="00000000">
      <w:pPr>
        <w:pStyle w:val="TOC1"/>
        <w:rPr>
          <w:spacing w:val="0"/>
          <w:w w:val="100"/>
          <w:kern w:val="0"/>
          <w:sz w:val="24"/>
        </w:rPr>
      </w:pPr>
      <w:hyperlink w:anchor="_Toc44115901" w:history="1">
        <w:r>
          <w:rPr>
            <w:rStyle w:val="Hyperlink"/>
          </w:rPr>
          <w:t xml:space="preserve">2. </w:t>
        </w:r>
        <w:r>
          <w:rPr>
            <w:spacing w:val="0"/>
            <w:w w:val="100"/>
            <w:kern w:val="0"/>
            <w:sz w:val="24"/>
          </w:rPr>
          <w:tab/>
        </w:r>
        <w:r>
          <w:rPr>
            <w:rStyle w:val="Hyperlink"/>
          </w:rPr>
          <w:t>Правовые и политические условия</w:t>
        </w:r>
        <w:r>
          <w:tab/>
        </w:r>
        <w:r>
          <w:fldChar w:fldCharType="begin"/>
        </w:r>
        <w:r>
          <w:instrText xml:space="preserve"> PAGEREF _Toc44115901 \h </w:instrText>
        </w:r>
        <w:r>
          <w:fldChar w:fldCharType="separate"/>
        </w:r>
        <w:r>
          <w:t>25</w:t>
        </w:r>
        <w:r>
          <w:fldChar w:fldCharType="end"/>
        </w:r>
      </w:hyperlink>
    </w:p>
    <w:p w:rsidR="00000000" w:rsidRDefault="00000000">
      <w:pPr>
        <w:pStyle w:val="TOC2"/>
        <w:rPr>
          <w:spacing w:val="0"/>
          <w:w w:val="100"/>
          <w:kern w:val="0"/>
          <w:sz w:val="24"/>
        </w:rPr>
      </w:pPr>
      <w:hyperlink w:anchor="_Toc44115902" w:history="1">
        <w:r>
          <w:rPr>
            <w:rStyle w:val="Hyperlink"/>
          </w:rPr>
          <w:t>2.1</w:t>
        </w:r>
        <w:r>
          <w:rPr>
            <w:spacing w:val="0"/>
            <w:w w:val="100"/>
            <w:kern w:val="0"/>
            <w:sz w:val="24"/>
          </w:rPr>
          <w:tab/>
        </w:r>
        <w:r>
          <w:rPr>
            <w:rStyle w:val="Hyperlink"/>
          </w:rPr>
          <w:t xml:space="preserve">Закон о поправках к </w:t>
        </w:r>
        <w:r>
          <w:rPr>
            <w:rStyle w:val="Hyperlink"/>
            <w:caps/>
          </w:rPr>
          <w:t>з</w:t>
        </w:r>
        <w:r>
          <w:rPr>
            <w:rStyle w:val="Hyperlink"/>
          </w:rPr>
          <w:t>акону об иностранцах (Ausländergesetz)</w:t>
        </w:r>
        <w:r>
          <w:tab/>
        </w:r>
        <w:r>
          <w:fldChar w:fldCharType="begin"/>
        </w:r>
        <w:r>
          <w:instrText xml:space="preserve"> PAGEREF _Toc44115902 \h </w:instrText>
        </w:r>
        <w:r>
          <w:fldChar w:fldCharType="separate"/>
        </w:r>
        <w:r>
          <w:t>25</w:t>
        </w:r>
        <w:r>
          <w:fldChar w:fldCharType="end"/>
        </w:r>
      </w:hyperlink>
    </w:p>
    <w:p w:rsidR="00000000" w:rsidRDefault="00000000">
      <w:pPr>
        <w:pStyle w:val="TOC2"/>
        <w:rPr>
          <w:spacing w:val="0"/>
          <w:w w:val="100"/>
          <w:kern w:val="0"/>
          <w:sz w:val="24"/>
        </w:rPr>
      </w:pPr>
      <w:hyperlink w:anchor="_Toc44115903" w:history="1">
        <w:r>
          <w:rPr>
            <w:rStyle w:val="Hyperlink"/>
          </w:rPr>
          <w:t>2.2</w:t>
        </w:r>
        <w:r>
          <w:rPr>
            <w:spacing w:val="0"/>
            <w:w w:val="100"/>
            <w:kern w:val="0"/>
            <w:sz w:val="24"/>
          </w:rPr>
          <w:tab/>
        </w:r>
        <w:r>
          <w:rPr>
            <w:rStyle w:val="Hyperlink"/>
          </w:rPr>
          <w:t>Поправки к Федеральному закону о пособиях по уходу за детьми (Bundeserziehungsgeldgesetz)</w:t>
        </w:r>
        <w:r>
          <w:tab/>
        </w:r>
        <w:r>
          <w:fldChar w:fldCharType="begin"/>
        </w:r>
        <w:r>
          <w:instrText xml:space="preserve"> PAGEREF _Toc44115903 \h </w:instrText>
        </w:r>
        <w:r>
          <w:fldChar w:fldCharType="separate"/>
        </w:r>
        <w:r>
          <w:t>25</w:t>
        </w:r>
        <w:r>
          <w:fldChar w:fldCharType="end"/>
        </w:r>
      </w:hyperlink>
    </w:p>
    <w:p w:rsidR="00000000" w:rsidRDefault="00000000">
      <w:pPr>
        <w:pStyle w:val="TOC2"/>
        <w:rPr>
          <w:spacing w:val="0"/>
          <w:w w:val="100"/>
          <w:kern w:val="0"/>
          <w:sz w:val="24"/>
        </w:rPr>
      </w:pPr>
      <w:hyperlink w:anchor="_Toc44115904" w:history="1">
        <w:r>
          <w:rPr>
            <w:rStyle w:val="Hyperlink"/>
          </w:rPr>
          <w:t>2.3</w:t>
        </w:r>
        <w:r>
          <w:rPr>
            <w:spacing w:val="0"/>
            <w:w w:val="100"/>
            <w:kern w:val="0"/>
            <w:sz w:val="24"/>
          </w:rPr>
          <w:tab/>
        </w:r>
        <w:r>
          <w:rPr>
            <w:rStyle w:val="Hyperlink"/>
          </w:rPr>
          <w:t>Закон о частичной занятости и трудоустройстве по срочным контрактам</w:t>
        </w:r>
        <w:r>
          <w:tab/>
        </w:r>
        <w:r>
          <w:fldChar w:fldCharType="begin"/>
        </w:r>
        <w:r>
          <w:instrText xml:space="preserve"> PAGEREF _Toc44115904 \h </w:instrText>
        </w:r>
        <w:r>
          <w:fldChar w:fldCharType="separate"/>
        </w:r>
        <w:r>
          <w:t>26</w:t>
        </w:r>
        <w:r>
          <w:fldChar w:fldCharType="end"/>
        </w:r>
      </w:hyperlink>
    </w:p>
    <w:p w:rsidR="00000000" w:rsidRDefault="00000000">
      <w:pPr>
        <w:pStyle w:val="TOC2"/>
        <w:rPr>
          <w:spacing w:val="0"/>
          <w:w w:val="100"/>
          <w:kern w:val="0"/>
          <w:sz w:val="24"/>
        </w:rPr>
      </w:pPr>
      <w:hyperlink w:anchor="_Toc44115905" w:history="1">
        <w:r>
          <w:rPr>
            <w:rStyle w:val="Hyperlink"/>
          </w:rPr>
          <w:t>2.4</w:t>
        </w:r>
        <w:r>
          <w:rPr>
            <w:spacing w:val="0"/>
            <w:w w:val="100"/>
            <w:kern w:val="0"/>
            <w:sz w:val="24"/>
          </w:rPr>
          <w:tab/>
        </w:r>
        <w:r>
          <w:rPr>
            <w:rStyle w:val="Hyperlink"/>
          </w:rPr>
          <w:t>Реформа Закона о структуре предприятий (Betriebsverfassungsgesetz)</w:t>
        </w:r>
        <w:r>
          <w:tab/>
        </w:r>
        <w:r>
          <w:fldChar w:fldCharType="begin"/>
        </w:r>
        <w:r>
          <w:instrText xml:space="preserve"> PAGEREF _Toc44115905 \h </w:instrText>
        </w:r>
        <w:r>
          <w:fldChar w:fldCharType="separate"/>
        </w:r>
        <w:r>
          <w:t>26</w:t>
        </w:r>
        <w:r>
          <w:fldChar w:fldCharType="end"/>
        </w:r>
      </w:hyperlink>
    </w:p>
    <w:p w:rsidR="00000000" w:rsidRDefault="00000000">
      <w:pPr>
        <w:pStyle w:val="TOC2"/>
        <w:rPr>
          <w:spacing w:val="0"/>
          <w:w w:val="100"/>
          <w:kern w:val="0"/>
          <w:sz w:val="24"/>
        </w:rPr>
      </w:pPr>
      <w:hyperlink w:anchor="_Toc44115906" w:history="1">
        <w:r>
          <w:rPr>
            <w:rStyle w:val="Hyperlink"/>
          </w:rPr>
          <w:t>2.5</w:t>
        </w:r>
        <w:r>
          <w:rPr>
            <w:spacing w:val="0"/>
            <w:w w:val="100"/>
            <w:kern w:val="0"/>
            <w:sz w:val="24"/>
          </w:rPr>
          <w:tab/>
        </w:r>
        <w:r>
          <w:rPr>
            <w:rStyle w:val="Hyperlink"/>
          </w:rPr>
          <w:t>Закон о зарегистрированном партнерстве (Gesetz über eingetragene Lebenspartnerschaften)</w:t>
        </w:r>
        <w:r>
          <w:tab/>
        </w:r>
        <w:r>
          <w:fldChar w:fldCharType="begin"/>
        </w:r>
        <w:r>
          <w:instrText xml:space="preserve"> PAGEREF _Toc44115906 \h </w:instrText>
        </w:r>
        <w:r>
          <w:fldChar w:fldCharType="separate"/>
        </w:r>
        <w:r>
          <w:t>27</w:t>
        </w:r>
        <w:r>
          <w:fldChar w:fldCharType="end"/>
        </w:r>
      </w:hyperlink>
    </w:p>
    <w:p w:rsidR="00000000" w:rsidRDefault="00000000">
      <w:pPr>
        <w:pStyle w:val="TOC2"/>
        <w:rPr>
          <w:spacing w:val="0"/>
          <w:w w:val="100"/>
          <w:kern w:val="0"/>
          <w:sz w:val="24"/>
        </w:rPr>
      </w:pPr>
      <w:hyperlink w:anchor="_Toc44115907" w:history="1">
        <w:r>
          <w:rPr>
            <w:rStyle w:val="Hyperlink"/>
          </w:rPr>
          <w:t>2.6</w:t>
        </w:r>
        <w:r>
          <w:rPr>
            <w:spacing w:val="0"/>
            <w:w w:val="100"/>
            <w:kern w:val="0"/>
            <w:sz w:val="24"/>
          </w:rPr>
          <w:tab/>
        </w:r>
        <w:r>
          <w:rPr>
            <w:rStyle w:val="Hyperlink"/>
          </w:rPr>
          <w:t xml:space="preserve">Закон о равных возможностях женщин и мужчин в федеральной администрации и в судах </w:t>
        </w:r>
        <w:r>
          <w:rPr>
            <w:rStyle w:val="Hyperlink"/>
            <w:caps/>
          </w:rPr>
          <w:t>ф</w:t>
        </w:r>
        <w:r>
          <w:rPr>
            <w:rStyle w:val="Hyperlink"/>
          </w:rPr>
          <w:t>едерации</w:t>
        </w:r>
        <w:r>
          <w:tab/>
        </w:r>
        <w:r>
          <w:fldChar w:fldCharType="begin"/>
        </w:r>
        <w:r>
          <w:instrText xml:space="preserve"> PAGEREF _Toc44115907 \h </w:instrText>
        </w:r>
        <w:r>
          <w:fldChar w:fldCharType="separate"/>
        </w:r>
        <w:r>
          <w:t>27</w:t>
        </w:r>
        <w:r>
          <w:fldChar w:fldCharType="end"/>
        </w:r>
      </w:hyperlink>
    </w:p>
    <w:p w:rsidR="00000000" w:rsidRDefault="00000000">
      <w:pPr>
        <w:pStyle w:val="TOC2"/>
        <w:rPr>
          <w:spacing w:val="0"/>
          <w:w w:val="100"/>
          <w:kern w:val="0"/>
          <w:sz w:val="24"/>
        </w:rPr>
      </w:pPr>
      <w:hyperlink w:anchor="_Toc44115908" w:history="1">
        <w:r>
          <w:rPr>
            <w:rStyle w:val="Hyperlink"/>
          </w:rPr>
          <w:t>2.7</w:t>
        </w:r>
        <w:r>
          <w:rPr>
            <w:spacing w:val="0"/>
            <w:w w:val="100"/>
            <w:kern w:val="0"/>
            <w:sz w:val="24"/>
          </w:rPr>
          <w:tab/>
        </w:r>
        <w:r>
          <w:rPr>
            <w:rStyle w:val="Hyperlink"/>
          </w:rPr>
          <w:t>Закон о юридическом статусе проституток (Gesetz zur Regelung der Rechtsverhältnisse der Prostituierten)</w:t>
        </w:r>
        <w:r>
          <w:tab/>
        </w:r>
        <w:r>
          <w:fldChar w:fldCharType="begin"/>
        </w:r>
        <w:r>
          <w:instrText xml:space="preserve"> PAGEREF _Toc44115908 \h </w:instrText>
        </w:r>
        <w:r>
          <w:fldChar w:fldCharType="separate"/>
        </w:r>
        <w:r>
          <w:t>29</w:t>
        </w:r>
        <w:r>
          <w:fldChar w:fldCharType="end"/>
        </w:r>
      </w:hyperlink>
    </w:p>
    <w:p w:rsidR="00000000" w:rsidRDefault="00000000">
      <w:pPr>
        <w:pStyle w:val="TOC2"/>
        <w:rPr>
          <w:spacing w:val="0"/>
          <w:w w:val="100"/>
          <w:kern w:val="0"/>
          <w:sz w:val="24"/>
        </w:rPr>
      </w:pPr>
      <w:hyperlink w:anchor="_Toc44115909" w:history="1">
        <w:r>
          <w:rPr>
            <w:rStyle w:val="Hyperlink"/>
          </w:rPr>
          <w:t>2.8</w:t>
        </w:r>
        <w:r>
          <w:rPr>
            <w:spacing w:val="0"/>
            <w:w w:val="100"/>
            <w:kern w:val="0"/>
            <w:sz w:val="24"/>
          </w:rPr>
          <w:tab/>
        </w:r>
        <w:r>
          <w:rPr>
            <w:rStyle w:val="Hyperlink"/>
          </w:rPr>
          <w:t>Закон о предупреждении насилия (Gewaltschutzgesetz)</w:t>
        </w:r>
        <w:r>
          <w:tab/>
        </w:r>
        <w:r>
          <w:fldChar w:fldCharType="begin"/>
        </w:r>
        <w:r>
          <w:instrText xml:space="preserve"> PAGEREF _Toc44115909 \h </w:instrText>
        </w:r>
        <w:r>
          <w:fldChar w:fldCharType="separate"/>
        </w:r>
        <w:r>
          <w:t>29</w:t>
        </w:r>
        <w:r>
          <w:fldChar w:fldCharType="end"/>
        </w:r>
      </w:hyperlink>
    </w:p>
    <w:p w:rsidR="00000000" w:rsidRDefault="00000000">
      <w:pPr>
        <w:pStyle w:val="TOC2"/>
        <w:rPr>
          <w:spacing w:val="0"/>
          <w:w w:val="100"/>
          <w:kern w:val="0"/>
          <w:sz w:val="24"/>
        </w:rPr>
      </w:pPr>
      <w:hyperlink w:anchor="_Toc44115910" w:history="1">
        <w:r>
          <w:rPr>
            <w:rStyle w:val="Hyperlink"/>
          </w:rPr>
          <w:t>2.9</w:t>
        </w:r>
        <w:r>
          <w:rPr>
            <w:spacing w:val="0"/>
            <w:w w:val="100"/>
            <w:kern w:val="0"/>
            <w:sz w:val="24"/>
          </w:rPr>
          <w:tab/>
        </w:r>
        <w:r>
          <w:rPr>
            <w:rStyle w:val="Hyperlink"/>
          </w:rPr>
          <w:t>Закон о расширении прав детей (Kindesrechteverbesserungsgesetz)</w:t>
        </w:r>
        <w:r>
          <w:tab/>
        </w:r>
        <w:r>
          <w:fldChar w:fldCharType="begin"/>
        </w:r>
        <w:r>
          <w:instrText xml:space="preserve"> PAGEREF _Toc44115910 \h </w:instrText>
        </w:r>
        <w:r>
          <w:fldChar w:fldCharType="separate"/>
        </w:r>
        <w:r>
          <w:t>29</w:t>
        </w:r>
        <w:r>
          <w:fldChar w:fldCharType="end"/>
        </w:r>
      </w:hyperlink>
    </w:p>
    <w:p w:rsidR="00000000" w:rsidRDefault="00000000">
      <w:pPr>
        <w:pStyle w:val="TOC1"/>
        <w:rPr>
          <w:spacing w:val="0"/>
          <w:w w:val="100"/>
          <w:kern w:val="0"/>
          <w:sz w:val="24"/>
        </w:rPr>
      </w:pPr>
      <w:hyperlink w:anchor="_Toc44115911" w:history="1">
        <w:r>
          <w:rPr>
            <w:rStyle w:val="Hyperlink"/>
          </w:rPr>
          <w:t>3.</w:t>
        </w:r>
        <w:r>
          <w:rPr>
            <w:spacing w:val="0"/>
            <w:w w:val="100"/>
            <w:kern w:val="0"/>
            <w:sz w:val="24"/>
          </w:rPr>
          <w:tab/>
        </w:r>
        <w:r>
          <w:rPr>
            <w:rStyle w:val="Hyperlink"/>
          </w:rPr>
          <w:t>Экономические и социальные условия</w:t>
        </w:r>
        <w:r>
          <w:tab/>
        </w:r>
        <w:r>
          <w:fldChar w:fldCharType="begin"/>
        </w:r>
        <w:r>
          <w:instrText xml:space="preserve"> PAGEREF _Toc44115911 \h </w:instrText>
        </w:r>
        <w:r>
          <w:fldChar w:fldCharType="separate"/>
        </w:r>
        <w:r>
          <w:t>30</w:t>
        </w:r>
        <w:r>
          <w:fldChar w:fldCharType="end"/>
        </w:r>
      </w:hyperlink>
    </w:p>
    <w:p w:rsidR="00000000" w:rsidRDefault="00000000">
      <w:pPr>
        <w:pStyle w:val="TOC2"/>
        <w:rPr>
          <w:spacing w:val="0"/>
          <w:w w:val="100"/>
          <w:kern w:val="0"/>
          <w:sz w:val="24"/>
        </w:rPr>
      </w:pPr>
      <w:hyperlink w:anchor="_Toc44115912" w:history="1">
        <w:r>
          <w:rPr>
            <w:rStyle w:val="Hyperlink"/>
          </w:rPr>
          <w:t>3.1</w:t>
        </w:r>
        <w:r>
          <w:rPr>
            <w:spacing w:val="0"/>
            <w:w w:val="100"/>
            <w:kern w:val="0"/>
            <w:sz w:val="24"/>
          </w:rPr>
          <w:tab/>
        </w:r>
        <w:r>
          <w:rPr>
            <w:rStyle w:val="Hyperlink"/>
          </w:rPr>
          <w:t>Изменение экономических структур</w:t>
        </w:r>
        <w:r>
          <w:tab/>
        </w:r>
        <w:r>
          <w:fldChar w:fldCharType="begin"/>
        </w:r>
        <w:r>
          <w:instrText xml:space="preserve"> PAGEREF _Toc44115912 \h </w:instrText>
        </w:r>
        <w:r>
          <w:fldChar w:fldCharType="separate"/>
        </w:r>
        <w:r>
          <w:t>30</w:t>
        </w:r>
        <w:r>
          <w:fldChar w:fldCharType="end"/>
        </w:r>
      </w:hyperlink>
    </w:p>
    <w:p w:rsidR="00000000" w:rsidRDefault="00000000">
      <w:pPr>
        <w:pStyle w:val="TOC2"/>
        <w:rPr>
          <w:spacing w:val="0"/>
          <w:w w:val="100"/>
          <w:kern w:val="0"/>
          <w:sz w:val="24"/>
        </w:rPr>
      </w:pPr>
      <w:hyperlink w:anchor="_Toc44115913" w:history="1">
        <w:r>
          <w:rPr>
            <w:rStyle w:val="Hyperlink"/>
          </w:rPr>
          <w:t>3.2</w:t>
        </w:r>
        <w:r>
          <w:rPr>
            <w:spacing w:val="0"/>
            <w:w w:val="100"/>
            <w:kern w:val="0"/>
            <w:sz w:val="24"/>
          </w:rPr>
          <w:tab/>
        </w:r>
        <w:r>
          <w:rPr>
            <w:rStyle w:val="Hyperlink"/>
          </w:rPr>
          <w:t>Образование и профессиональная подготовка</w:t>
        </w:r>
        <w:r>
          <w:tab/>
        </w:r>
        <w:r>
          <w:fldChar w:fldCharType="begin"/>
        </w:r>
        <w:r>
          <w:instrText xml:space="preserve"> PAGEREF _Toc44115913 \h </w:instrText>
        </w:r>
        <w:r>
          <w:fldChar w:fldCharType="separate"/>
        </w:r>
        <w:r>
          <w:t>30</w:t>
        </w:r>
        <w:r>
          <w:fldChar w:fldCharType="end"/>
        </w:r>
      </w:hyperlink>
    </w:p>
    <w:p w:rsidR="00000000" w:rsidRDefault="00000000">
      <w:pPr>
        <w:pStyle w:val="TOC3"/>
        <w:rPr>
          <w:spacing w:val="0"/>
          <w:w w:val="100"/>
          <w:kern w:val="0"/>
          <w:sz w:val="24"/>
        </w:rPr>
      </w:pPr>
      <w:hyperlink w:anchor="_Toc44115914" w:history="1">
        <w:r>
          <w:rPr>
            <w:rStyle w:val="Hyperlink"/>
          </w:rPr>
          <w:t>3.2.1</w:t>
        </w:r>
        <w:r>
          <w:rPr>
            <w:spacing w:val="0"/>
            <w:w w:val="100"/>
            <w:kern w:val="0"/>
            <w:sz w:val="24"/>
          </w:rPr>
          <w:tab/>
        </w:r>
        <w:r>
          <w:rPr>
            <w:rStyle w:val="Hyperlink"/>
          </w:rPr>
          <w:t>Общие замечания</w:t>
        </w:r>
        <w:r>
          <w:tab/>
        </w:r>
        <w:r>
          <w:fldChar w:fldCharType="begin"/>
        </w:r>
        <w:r>
          <w:instrText xml:space="preserve"> PAGEREF _Toc44115914 \h </w:instrText>
        </w:r>
        <w:r>
          <w:fldChar w:fldCharType="separate"/>
        </w:r>
        <w:r>
          <w:t>30</w:t>
        </w:r>
        <w:r>
          <w:fldChar w:fldCharType="end"/>
        </w:r>
      </w:hyperlink>
    </w:p>
    <w:p w:rsidR="00000000" w:rsidRDefault="00000000">
      <w:pPr>
        <w:pStyle w:val="TOC3"/>
        <w:rPr>
          <w:spacing w:val="0"/>
          <w:w w:val="100"/>
          <w:kern w:val="0"/>
          <w:sz w:val="24"/>
        </w:rPr>
      </w:pPr>
      <w:hyperlink w:anchor="_Toc44115915" w:history="1">
        <w:r>
          <w:rPr>
            <w:rStyle w:val="Hyperlink"/>
          </w:rPr>
          <w:t>3.2.2</w:t>
        </w:r>
        <w:r>
          <w:rPr>
            <w:spacing w:val="0"/>
            <w:w w:val="100"/>
            <w:kern w:val="0"/>
            <w:sz w:val="24"/>
          </w:rPr>
          <w:tab/>
        </w:r>
        <w:r>
          <w:rPr>
            <w:rStyle w:val="Hyperlink"/>
          </w:rPr>
          <w:t>Обучение по двойной системе</w:t>
        </w:r>
        <w:r>
          <w:tab/>
        </w:r>
        <w:r>
          <w:fldChar w:fldCharType="begin"/>
        </w:r>
        <w:r>
          <w:instrText xml:space="preserve"> PAGEREF _Toc44115915 \h </w:instrText>
        </w:r>
        <w:r>
          <w:fldChar w:fldCharType="separate"/>
        </w:r>
        <w:r>
          <w:t>31</w:t>
        </w:r>
        <w:r>
          <w:fldChar w:fldCharType="end"/>
        </w:r>
      </w:hyperlink>
    </w:p>
    <w:p w:rsidR="00000000" w:rsidRDefault="00000000">
      <w:pPr>
        <w:pStyle w:val="TOC3"/>
        <w:rPr>
          <w:spacing w:val="0"/>
          <w:w w:val="100"/>
          <w:kern w:val="0"/>
          <w:sz w:val="24"/>
        </w:rPr>
      </w:pPr>
      <w:hyperlink w:anchor="_Toc44115916" w:history="1">
        <w:r>
          <w:rPr>
            <w:rStyle w:val="Hyperlink"/>
          </w:rPr>
          <w:t>3.2.3</w:t>
        </w:r>
        <w:r>
          <w:rPr>
            <w:spacing w:val="0"/>
            <w:w w:val="100"/>
            <w:kern w:val="0"/>
            <w:sz w:val="24"/>
          </w:rPr>
          <w:tab/>
        </w:r>
        <w:r>
          <w:rPr>
            <w:rStyle w:val="Hyperlink"/>
          </w:rPr>
          <w:t>Обучение женщин профессиям в области информационно-коммуникационных технологий</w:t>
        </w:r>
        <w:r>
          <w:tab/>
        </w:r>
        <w:r>
          <w:fldChar w:fldCharType="begin"/>
        </w:r>
        <w:r>
          <w:instrText xml:space="preserve"> PAGEREF _Toc44115916 \h </w:instrText>
        </w:r>
        <w:r>
          <w:fldChar w:fldCharType="separate"/>
        </w:r>
        <w:r>
          <w:t>31</w:t>
        </w:r>
        <w:r>
          <w:fldChar w:fldCharType="end"/>
        </w:r>
      </w:hyperlink>
    </w:p>
    <w:p w:rsidR="00000000" w:rsidRDefault="00000000">
      <w:pPr>
        <w:pStyle w:val="TOC2"/>
        <w:rPr>
          <w:spacing w:val="0"/>
          <w:w w:val="100"/>
          <w:kern w:val="0"/>
          <w:sz w:val="24"/>
        </w:rPr>
      </w:pPr>
      <w:hyperlink w:anchor="_Toc44115917" w:history="1">
        <w:r>
          <w:rPr>
            <w:rStyle w:val="Hyperlink"/>
          </w:rPr>
          <w:t>3.3</w:t>
        </w:r>
        <w:r>
          <w:rPr>
            <w:spacing w:val="0"/>
            <w:w w:val="100"/>
            <w:kern w:val="0"/>
            <w:sz w:val="24"/>
          </w:rPr>
          <w:tab/>
        </w:r>
        <w:r>
          <w:rPr>
            <w:rStyle w:val="Hyperlink"/>
          </w:rPr>
          <w:t>Женщины в учреждениях высшего образования и исследовательских учреждениях</w:t>
        </w:r>
        <w:r>
          <w:tab/>
        </w:r>
        <w:r>
          <w:fldChar w:fldCharType="begin"/>
        </w:r>
        <w:r>
          <w:instrText xml:space="preserve"> PAGEREF _Toc44115917 \h </w:instrText>
        </w:r>
        <w:r>
          <w:fldChar w:fldCharType="separate"/>
        </w:r>
        <w:r>
          <w:t>33</w:t>
        </w:r>
        <w:r>
          <w:fldChar w:fldCharType="end"/>
        </w:r>
      </w:hyperlink>
    </w:p>
    <w:p w:rsidR="00000000" w:rsidRDefault="00000000">
      <w:pPr>
        <w:pStyle w:val="TOC3"/>
        <w:rPr>
          <w:spacing w:val="0"/>
          <w:w w:val="100"/>
          <w:kern w:val="0"/>
          <w:sz w:val="24"/>
        </w:rPr>
      </w:pPr>
      <w:hyperlink w:anchor="_Toc44115918" w:history="1">
        <w:r>
          <w:rPr>
            <w:rStyle w:val="Hyperlink"/>
          </w:rPr>
          <w:t>3.3.1</w:t>
        </w:r>
        <w:r>
          <w:rPr>
            <w:spacing w:val="0"/>
            <w:w w:val="100"/>
            <w:kern w:val="0"/>
            <w:sz w:val="24"/>
          </w:rPr>
          <w:tab/>
        </w:r>
        <w:r>
          <w:rPr>
            <w:rStyle w:val="Hyperlink"/>
          </w:rPr>
          <w:t>Замечания общего характера</w:t>
        </w:r>
        <w:r>
          <w:tab/>
        </w:r>
        <w:r>
          <w:fldChar w:fldCharType="begin"/>
        </w:r>
        <w:r>
          <w:instrText xml:space="preserve"> PAGEREF _Toc44115918 \h </w:instrText>
        </w:r>
        <w:r>
          <w:fldChar w:fldCharType="separate"/>
        </w:r>
        <w:r>
          <w:t>33</w:t>
        </w:r>
        <w:r>
          <w:fldChar w:fldCharType="end"/>
        </w:r>
      </w:hyperlink>
    </w:p>
    <w:p w:rsidR="00000000" w:rsidRDefault="00000000">
      <w:pPr>
        <w:pStyle w:val="TOC3"/>
        <w:rPr>
          <w:spacing w:val="0"/>
          <w:w w:val="100"/>
          <w:kern w:val="0"/>
          <w:sz w:val="24"/>
        </w:rPr>
      </w:pPr>
      <w:hyperlink w:anchor="_Toc44115919" w:history="1">
        <w:r>
          <w:rPr>
            <w:rStyle w:val="Hyperlink"/>
          </w:rPr>
          <w:t>3.3.2</w:t>
        </w:r>
        <w:r>
          <w:rPr>
            <w:spacing w:val="0"/>
            <w:w w:val="100"/>
            <w:kern w:val="0"/>
            <w:sz w:val="24"/>
          </w:rPr>
          <w:tab/>
        </w:r>
        <w:r>
          <w:rPr>
            <w:rStyle w:val="Hyperlink"/>
          </w:rPr>
          <w:t>Результаты осуществления третей специальной университетской программы (HSP III)</w:t>
        </w:r>
        <w:r>
          <w:tab/>
        </w:r>
        <w:r>
          <w:fldChar w:fldCharType="begin"/>
        </w:r>
        <w:r>
          <w:instrText xml:space="preserve"> PAGEREF _Toc44115919 \h </w:instrText>
        </w:r>
        <w:r>
          <w:fldChar w:fldCharType="separate"/>
        </w:r>
        <w:r>
          <w:t>34</w:t>
        </w:r>
        <w:r>
          <w:fldChar w:fldCharType="end"/>
        </w:r>
      </w:hyperlink>
    </w:p>
    <w:p w:rsidR="00000000" w:rsidRDefault="00000000">
      <w:pPr>
        <w:pStyle w:val="TOC3"/>
        <w:rPr>
          <w:spacing w:val="0"/>
          <w:w w:val="100"/>
          <w:kern w:val="0"/>
          <w:sz w:val="24"/>
        </w:rPr>
      </w:pPr>
      <w:hyperlink w:anchor="_Toc44115920" w:history="1">
        <w:r>
          <w:rPr>
            <w:rStyle w:val="Hyperlink"/>
          </w:rPr>
          <w:t>3.3.3</w:t>
        </w:r>
        <w:r>
          <w:rPr>
            <w:spacing w:val="0"/>
            <w:w w:val="100"/>
            <w:kern w:val="0"/>
            <w:sz w:val="24"/>
          </w:rPr>
          <w:tab/>
        </w:r>
        <w:r>
          <w:rPr>
            <w:rStyle w:val="Hyperlink"/>
          </w:rPr>
          <w:t>Исследования в отношении женщин и гендерные исследования</w:t>
        </w:r>
        <w:r>
          <w:tab/>
        </w:r>
        <w:r>
          <w:fldChar w:fldCharType="begin"/>
        </w:r>
        <w:r>
          <w:instrText xml:space="preserve"> PAGEREF _Toc44115920 \h </w:instrText>
        </w:r>
        <w:r>
          <w:fldChar w:fldCharType="separate"/>
        </w:r>
        <w:r>
          <w:t>38</w:t>
        </w:r>
        <w:r>
          <w:fldChar w:fldCharType="end"/>
        </w:r>
      </w:hyperlink>
    </w:p>
    <w:p w:rsidR="00000000" w:rsidRDefault="00000000">
      <w:pPr>
        <w:pStyle w:val="TOC2"/>
        <w:rPr>
          <w:spacing w:val="0"/>
          <w:w w:val="100"/>
          <w:kern w:val="0"/>
          <w:sz w:val="24"/>
        </w:rPr>
      </w:pPr>
      <w:hyperlink w:anchor="_Toc44115921" w:history="1">
        <w:r>
          <w:rPr>
            <w:rStyle w:val="Hyperlink"/>
          </w:rPr>
          <w:t>3.4</w:t>
        </w:r>
        <w:r>
          <w:rPr>
            <w:spacing w:val="0"/>
            <w:w w:val="100"/>
            <w:kern w:val="0"/>
            <w:sz w:val="24"/>
          </w:rPr>
          <w:tab/>
        </w:r>
        <w:r>
          <w:rPr>
            <w:rStyle w:val="Hyperlink"/>
          </w:rPr>
          <w:t>Трудовая деятельность</w:t>
        </w:r>
        <w:r>
          <w:tab/>
        </w:r>
        <w:r>
          <w:fldChar w:fldCharType="begin"/>
        </w:r>
        <w:r>
          <w:instrText xml:space="preserve"> PAGEREF _Toc44115921 \h </w:instrText>
        </w:r>
        <w:r>
          <w:fldChar w:fldCharType="separate"/>
        </w:r>
        <w:r>
          <w:t>38</w:t>
        </w:r>
        <w:r>
          <w:fldChar w:fldCharType="end"/>
        </w:r>
      </w:hyperlink>
    </w:p>
    <w:p w:rsidR="00000000" w:rsidRDefault="00000000">
      <w:pPr>
        <w:pStyle w:val="TOC3"/>
        <w:rPr>
          <w:spacing w:val="0"/>
          <w:w w:val="100"/>
          <w:kern w:val="0"/>
          <w:sz w:val="24"/>
        </w:rPr>
      </w:pPr>
      <w:hyperlink w:anchor="_Toc44115922" w:history="1">
        <w:r>
          <w:rPr>
            <w:rStyle w:val="Hyperlink"/>
          </w:rPr>
          <w:t>3.4.1</w:t>
        </w:r>
        <w:r>
          <w:rPr>
            <w:spacing w:val="0"/>
            <w:w w:val="100"/>
            <w:kern w:val="0"/>
            <w:sz w:val="24"/>
          </w:rPr>
          <w:tab/>
        </w:r>
        <w:r>
          <w:rPr>
            <w:rStyle w:val="Hyperlink"/>
          </w:rPr>
          <w:t>Доля занятости</w:t>
        </w:r>
        <w:r>
          <w:tab/>
        </w:r>
        <w:r>
          <w:fldChar w:fldCharType="begin"/>
        </w:r>
        <w:r>
          <w:instrText xml:space="preserve"> PAGEREF _Toc44115922 \h </w:instrText>
        </w:r>
        <w:r>
          <w:fldChar w:fldCharType="separate"/>
        </w:r>
        <w:r>
          <w:t>38</w:t>
        </w:r>
        <w:r>
          <w:fldChar w:fldCharType="end"/>
        </w:r>
      </w:hyperlink>
    </w:p>
    <w:p w:rsidR="00000000" w:rsidRDefault="00000000">
      <w:pPr>
        <w:pStyle w:val="TOC3"/>
        <w:rPr>
          <w:spacing w:val="0"/>
          <w:w w:val="100"/>
          <w:kern w:val="0"/>
          <w:sz w:val="24"/>
        </w:rPr>
      </w:pPr>
      <w:hyperlink w:anchor="_Toc44115923" w:history="1">
        <w:r>
          <w:rPr>
            <w:rStyle w:val="Hyperlink"/>
          </w:rPr>
          <w:t>3.4.2</w:t>
        </w:r>
        <w:r>
          <w:rPr>
            <w:spacing w:val="0"/>
            <w:w w:val="100"/>
            <w:kern w:val="0"/>
            <w:sz w:val="24"/>
          </w:rPr>
          <w:tab/>
        </w:r>
        <w:r>
          <w:rPr>
            <w:rStyle w:val="Hyperlink"/>
          </w:rPr>
          <w:t>Уровень безработицы</w:t>
        </w:r>
        <w:r>
          <w:tab/>
        </w:r>
        <w:r>
          <w:fldChar w:fldCharType="begin"/>
        </w:r>
        <w:r>
          <w:instrText xml:space="preserve"> PAGEREF _Toc44115923 \h </w:instrText>
        </w:r>
        <w:r>
          <w:fldChar w:fldCharType="separate"/>
        </w:r>
        <w:r>
          <w:t>38</w:t>
        </w:r>
        <w:r>
          <w:fldChar w:fldCharType="end"/>
        </w:r>
      </w:hyperlink>
    </w:p>
    <w:p w:rsidR="00000000" w:rsidRDefault="00000000">
      <w:pPr>
        <w:pStyle w:val="TOC3"/>
        <w:rPr>
          <w:spacing w:val="0"/>
          <w:w w:val="100"/>
          <w:kern w:val="0"/>
          <w:sz w:val="24"/>
        </w:rPr>
      </w:pPr>
      <w:hyperlink w:anchor="_Toc44115924" w:history="1">
        <w:r>
          <w:rPr>
            <w:rStyle w:val="Hyperlink"/>
          </w:rPr>
          <w:t>3.4.3</w:t>
        </w:r>
        <w:r>
          <w:rPr>
            <w:spacing w:val="0"/>
            <w:w w:val="100"/>
            <w:kern w:val="0"/>
            <w:sz w:val="24"/>
          </w:rPr>
          <w:tab/>
        </w:r>
        <w:r>
          <w:rPr>
            <w:rStyle w:val="Hyperlink"/>
          </w:rPr>
          <w:t>Сравнение старых и новых федеральных земель</w:t>
        </w:r>
        <w:r>
          <w:tab/>
        </w:r>
        <w:r>
          <w:fldChar w:fldCharType="begin"/>
        </w:r>
        <w:r>
          <w:instrText xml:space="preserve"> PAGEREF _Toc44115924 \h </w:instrText>
        </w:r>
        <w:r>
          <w:fldChar w:fldCharType="separate"/>
        </w:r>
        <w:r>
          <w:t>39</w:t>
        </w:r>
        <w:r>
          <w:fldChar w:fldCharType="end"/>
        </w:r>
      </w:hyperlink>
    </w:p>
    <w:p w:rsidR="00000000" w:rsidRDefault="00000000">
      <w:pPr>
        <w:pStyle w:val="TOC3"/>
        <w:rPr>
          <w:spacing w:val="0"/>
          <w:w w:val="100"/>
          <w:kern w:val="0"/>
          <w:sz w:val="24"/>
        </w:rPr>
      </w:pPr>
      <w:hyperlink w:anchor="_Toc44115925" w:history="1">
        <w:r>
          <w:rPr>
            <w:rStyle w:val="Hyperlink"/>
          </w:rPr>
          <w:t>3.4.4</w:t>
        </w:r>
        <w:r>
          <w:rPr>
            <w:spacing w:val="0"/>
            <w:w w:val="100"/>
            <w:kern w:val="0"/>
            <w:sz w:val="24"/>
          </w:rPr>
          <w:tab/>
        </w:r>
        <w:r>
          <w:rPr>
            <w:rStyle w:val="Hyperlink"/>
          </w:rPr>
          <w:t>Занятость в течение неполного рабочего дня</w:t>
        </w:r>
        <w:r>
          <w:tab/>
        </w:r>
        <w:r>
          <w:fldChar w:fldCharType="begin"/>
        </w:r>
        <w:r>
          <w:instrText xml:space="preserve"> PAGEREF _Toc44115925 \h </w:instrText>
        </w:r>
        <w:r>
          <w:fldChar w:fldCharType="separate"/>
        </w:r>
        <w:r>
          <w:t>39</w:t>
        </w:r>
        <w:r>
          <w:fldChar w:fldCharType="end"/>
        </w:r>
      </w:hyperlink>
    </w:p>
    <w:p w:rsidR="00000000" w:rsidRDefault="00000000">
      <w:pPr>
        <w:pStyle w:val="TOC3"/>
        <w:rPr>
          <w:spacing w:val="0"/>
          <w:w w:val="100"/>
          <w:kern w:val="0"/>
          <w:sz w:val="24"/>
        </w:rPr>
      </w:pPr>
      <w:hyperlink w:anchor="_Toc44115926" w:history="1">
        <w:r>
          <w:rPr>
            <w:rStyle w:val="Hyperlink"/>
          </w:rPr>
          <w:t>3.4.5</w:t>
        </w:r>
        <w:r>
          <w:rPr>
            <w:spacing w:val="0"/>
            <w:w w:val="100"/>
            <w:kern w:val="0"/>
            <w:sz w:val="24"/>
          </w:rPr>
          <w:tab/>
        </w:r>
        <w:r>
          <w:rPr>
            <w:rStyle w:val="Hyperlink"/>
          </w:rPr>
          <w:t>Квалификация женщин и их профессиональный статус</w:t>
        </w:r>
        <w:r>
          <w:tab/>
        </w:r>
        <w:r>
          <w:fldChar w:fldCharType="begin"/>
        </w:r>
        <w:r>
          <w:instrText xml:space="preserve"> PAGEREF _Toc44115926 \h </w:instrText>
        </w:r>
        <w:r>
          <w:fldChar w:fldCharType="separate"/>
        </w:r>
        <w:r>
          <w:t>40</w:t>
        </w:r>
        <w:r>
          <w:fldChar w:fldCharType="end"/>
        </w:r>
      </w:hyperlink>
    </w:p>
    <w:p w:rsidR="00000000" w:rsidRDefault="00000000">
      <w:pPr>
        <w:pStyle w:val="TOC3"/>
        <w:rPr>
          <w:spacing w:val="0"/>
          <w:w w:val="100"/>
          <w:kern w:val="0"/>
          <w:sz w:val="24"/>
        </w:rPr>
      </w:pPr>
      <w:hyperlink w:anchor="_Toc44115927" w:history="1">
        <w:r>
          <w:rPr>
            <w:rStyle w:val="Hyperlink"/>
          </w:rPr>
          <w:t>3.4.6</w:t>
        </w:r>
        <w:r>
          <w:rPr>
            <w:spacing w:val="0"/>
            <w:w w:val="100"/>
            <w:kern w:val="0"/>
            <w:sz w:val="24"/>
          </w:rPr>
          <w:tab/>
        </w:r>
        <w:r>
          <w:rPr>
            <w:rStyle w:val="Hyperlink"/>
          </w:rPr>
          <w:t>Содействие трудовой занятости</w:t>
        </w:r>
        <w:r>
          <w:tab/>
        </w:r>
        <w:r>
          <w:fldChar w:fldCharType="begin"/>
        </w:r>
        <w:r>
          <w:instrText xml:space="preserve"> PAGEREF _Toc44115927 \h </w:instrText>
        </w:r>
        <w:r>
          <w:fldChar w:fldCharType="separate"/>
        </w:r>
        <w:r>
          <w:t>40</w:t>
        </w:r>
        <w:r>
          <w:fldChar w:fldCharType="end"/>
        </w:r>
      </w:hyperlink>
    </w:p>
    <w:p w:rsidR="00000000" w:rsidRDefault="00000000">
      <w:pPr>
        <w:pStyle w:val="TOC3"/>
        <w:rPr>
          <w:spacing w:val="0"/>
          <w:w w:val="100"/>
          <w:kern w:val="0"/>
          <w:sz w:val="24"/>
        </w:rPr>
      </w:pPr>
      <w:hyperlink w:anchor="_Toc44115928" w:history="1">
        <w:r>
          <w:rPr>
            <w:rStyle w:val="Hyperlink"/>
          </w:rPr>
          <w:t>3.4.7</w:t>
        </w:r>
        <w:r>
          <w:rPr>
            <w:spacing w:val="0"/>
            <w:w w:val="100"/>
            <w:kern w:val="0"/>
            <w:sz w:val="24"/>
          </w:rPr>
          <w:tab/>
        </w:r>
        <w:r>
          <w:rPr>
            <w:rStyle w:val="Hyperlink"/>
          </w:rPr>
          <w:t>Поправки к Закону о содействии занятости – реформа Тома III Социального кодекса (SGB III) и Закон о труде AQTIV</w:t>
        </w:r>
        <w:r>
          <w:tab/>
        </w:r>
        <w:r>
          <w:fldChar w:fldCharType="begin"/>
        </w:r>
        <w:r>
          <w:instrText xml:space="preserve"> PAGEREF _Toc44115928 \h </w:instrText>
        </w:r>
        <w:r>
          <w:fldChar w:fldCharType="separate"/>
        </w:r>
        <w:r>
          <w:t>41</w:t>
        </w:r>
        <w:r>
          <w:fldChar w:fldCharType="end"/>
        </w:r>
      </w:hyperlink>
    </w:p>
    <w:p w:rsidR="00000000" w:rsidRDefault="00000000">
      <w:pPr>
        <w:pStyle w:val="TOC3"/>
        <w:rPr>
          <w:spacing w:val="0"/>
          <w:w w:val="100"/>
          <w:kern w:val="0"/>
          <w:sz w:val="24"/>
        </w:rPr>
      </w:pPr>
      <w:hyperlink w:anchor="_Toc44115929" w:history="1">
        <w:r>
          <w:rPr>
            <w:rStyle w:val="Hyperlink"/>
          </w:rPr>
          <w:t>3.4.8</w:t>
        </w:r>
        <w:r>
          <w:rPr>
            <w:spacing w:val="0"/>
            <w:w w:val="100"/>
            <w:kern w:val="0"/>
            <w:sz w:val="24"/>
          </w:rPr>
          <w:tab/>
        </w:r>
        <w:r>
          <w:rPr>
            <w:rStyle w:val="Hyperlink"/>
          </w:rPr>
          <w:t>Другие поправки юридического характера</w:t>
        </w:r>
        <w:r>
          <w:tab/>
        </w:r>
        <w:r>
          <w:fldChar w:fldCharType="begin"/>
        </w:r>
        <w:r>
          <w:instrText xml:space="preserve"> PAGEREF _Toc44115929 \h </w:instrText>
        </w:r>
        <w:r>
          <w:fldChar w:fldCharType="separate"/>
        </w:r>
        <w:r>
          <w:t>42</w:t>
        </w:r>
        <w:r>
          <w:fldChar w:fldCharType="end"/>
        </w:r>
      </w:hyperlink>
    </w:p>
    <w:p w:rsidR="00000000" w:rsidRDefault="00000000">
      <w:pPr>
        <w:pStyle w:val="TOC3"/>
        <w:rPr>
          <w:spacing w:val="0"/>
          <w:w w:val="100"/>
          <w:kern w:val="0"/>
          <w:sz w:val="24"/>
        </w:rPr>
      </w:pPr>
      <w:hyperlink w:anchor="_Toc44115930" w:history="1">
        <w:r>
          <w:rPr>
            <w:rStyle w:val="Hyperlink"/>
          </w:rPr>
          <w:t>3.4.9</w:t>
        </w:r>
        <w:r>
          <w:rPr>
            <w:spacing w:val="0"/>
            <w:w w:val="100"/>
            <w:kern w:val="0"/>
            <w:sz w:val="24"/>
          </w:rPr>
          <w:tab/>
        </w:r>
        <w:r>
          <w:rPr>
            <w:rStyle w:val="Hyperlink"/>
          </w:rPr>
          <w:t>Незначительная занятость</w:t>
        </w:r>
        <w:r>
          <w:tab/>
        </w:r>
        <w:r>
          <w:fldChar w:fldCharType="begin"/>
        </w:r>
        <w:r>
          <w:instrText xml:space="preserve"> PAGEREF _Toc44115930 \h </w:instrText>
        </w:r>
        <w:r>
          <w:fldChar w:fldCharType="separate"/>
        </w:r>
        <w:r>
          <w:t>42</w:t>
        </w:r>
        <w:r>
          <w:fldChar w:fldCharType="end"/>
        </w:r>
      </w:hyperlink>
    </w:p>
    <w:p w:rsidR="00000000" w:rsidRDefault="00000000">
      <w:pPr>
        <w:pStyle w:val="TOC3"/>
        <w:rPr>
          <w:spacing w:val="0"/>
          <w:w w:val="100"/>
          <w:kern w:val="0"/>
          <w:sz w:val="24"/>
        </w:rPr>
      </w:pPr>
      <w:hyperlink w:anchor="_Toc44115931" w:history="1">
        <w:r>
          <w:rPr>
            <w:rStyle w:val="Hyperlink"/>
          </w:rPr>
          <w:t>3.4.10</w:t>
        </w:r>
        <w:r>
          <w:rPr>
            <w:spacing w:val="0"/>
            <w:w w:val="100"/>
            <w:kern w:val="0"/>
            <w:sz w:val="24"/>
          </w:rPr>
          <w:tab/>
        </w:r>
        <w:r>
          <w:rPr>
            <w:rStyle w:val="Hyperlink"/>
          </w:rPr>
          <w:t>Соглашение о содействии обеспечению равных возможностей для женщин и мужчин в частном секторе</w:t>
        </w:r>
        <w:r>
          <w:tab/>
        </w:r>
        <w:r>
          <w:fldChar w:fldCharType="begin"/>
        </w:r>
        <w:r>
          <w:instrText xml:space="preserve"> PAGEREF _Toc44115931 \h </w:instrText>
        </w:r>
        <w:r>
          <w:fldChar w:fldCharType="separate"/>
        </w:r>
        <w:r>
          <w:t>42</w:t>
        </w:r>
        <w:r>
          <w:fldChar w:fldCharType="end"/>
        </w:r>
      </w:hyperlink>
    </w:p>
    <w:p w:rsidR="00000000" w:rsidRDefault="00000000">
      <w:pPr>
        <w:pStyle w:val="TOC3"/>
        <w:rPr>
          <w:spacing w:val="0"/>
          <w:w w:val="100"/>
          <w:kern w:val="0"/>
          <w:sz w:val="24"/>
        </w:rPr>
      </w:pPr>
      <w:hyperlink w:anchor="_Toc44115932" w:history="1">
        <w:r>
          <w:rPr>
            <w:rStyle w:val="Hyperlink"/>
          </w:rPr>
          <w:t>3.4.11 Программа «Женщины и труд»</w:t>
        </w:r>
        <w:r>
          <w:tab/>
        </w:r>
        <w:r>
          <w:fldChar w:fldCharType="begin"/>
        </w:r>
        <w:r>
          <w:instrText xml:space="preserve"> PAGEREF _Toc44115932 \h </w:instrText>
        </w:r>
        <w:r>
          <w:fldChar w:fldCharType="separate"/>
        </w:r>
        <w:r>
          <w:t>43</w:t>
        </w:r>
        <w:r>
          <w:fldChar w:fldCharType="end"/>
        </w:r>
      </w:hyperlink>
    </w:p>
    <w:p w:rsidR="00000000" w:rsidRDefault="00000000">
      <w:pPr>
        <w:pStyle w:val="TOC3"/>
        <w:rPr>
          <w:spacing w:val="0"/>
          <w:w w:val="100"/>
          <w:kern w:val="0"/>
          <w:sz w:val="24"/>
        </w:rPr>
      </w:pPr>
      <w:hyperlink w:anchor="_Toc44115933" w:history="1">
        <w:r>
          <w:rPr>
            <w:rStyle w:val="Hyperlink"/>
          </w:rPr>
          <w:t>3.4.12 Доклад о равной оплате</w:t>
        </w:r>
        <w:r>
          <w:tab/>
        </w:r>
        <w:r>
          <w:fldChar w:fldCharType="begin"/>
        </w:r>
        <w:r>
          <w:instrText xml:space="preserve"> PAGEREF _Toc44115933 \h </w:instrText>
        </w:r>
        <w:r>
          <w:fldChar w:fldCharType="separate"/>
        </w:r>
        <w:r>
          <w:t>43</w:t>
        </w:r>
        <w:r>
          <w:fldChar w:fldCharType="end"/>
        </w:r>
      </w:hyperlink>
    </w:p>
    <w:p w:rsidR="00000000" w:rsidRDefault="00000000">
      <w:pPr>
        <w:pStyle w:val="TOC3"/>
        <w:rPr>
          <w:spacing w:val="0"/>
          <w:w w:val="100"/>
          <w:kern w:val="0"/>
          <w:sz w:val="24"/>
        </w:rPr>
      </w:pPr>
      <w:hyperlink w:anchor="_Toc44115934" w:history="1">
        <w:r>
          <w:rPr>
            <w:rStyle w:val="Hyperlink"/>
          </w:rPr>
          <w:t>3.4.13 Женщины в информационном обществе</w:t>
        </w:r>
        <w:r>
          <w:tab/>
        </w:r>
        <w:r>
          <w:fldChar w:fldCharType="begin"/>
        </w:r>
        <w:r>
          <w:instrText xml:space="preserve"> PAGEREF _Toc44115934 \h </w:instrText>
        </w:r>
        <w:r>
          <w:fldChar w:fldCharType="separate"/>
        </w:r>
        <w:r>
          <w:t>46</w:t>
        </w:r>
        <w:r>
          <w:fldChar w:fldCharType="end"/>
        </w:r>
      </w:hyperlink>
    </w:p>
    <w:p w:rsidR="00000000" w:rsidRDefault="00000000">
      <w:pPr>
        <w:pStyle w:val="TOC3"/>
        <w:rPr>
          <w:spacing w:val="0"/>
          <w:w w:val="100"/>
          <w:kern w:val="0"/>
          <w:sz w:val="24"/>
        </w:rPr>
      </w:pPr>
      <w:hyperlink w:anchor="_Toc44115935" w:history="1">
        <w:r>
          <w:rPr>
            <w:rStyle w:val="Hyperlink"/>
          </w:rPr>
          <w:t>3.14.14 Женщины в сфере культуры и средств информации</w:t>
        </w:r>
        <w:r>
          <w:tab/>
        </w:r>
        <w:r>
          <w:fldChar w:fldCharType="begin"/>
        </w:r>
        <w:r>
          <w:instrText xml:space="preserve"> PAGEREF _Toc44115935 \h </w:instrText>
        </w:r>
        <w:r>
          <w:fldChar w:fldCharType="separate"/>
        </w:r>
        <w:r>
          <w:t>47</w:t>
        </w:r>
        <w:r>
          <w:fldChar w:fldCharType="end"/>
        </w:r>
      </w:hyperlink>
    </w:p>
    <w:p w:rsidR="00000000" w:rsidRDefault="00000000">
      <w:pPr>
        <w:pStyle w:val="TOC3"/>
        <w:rPr>
          <w:spacing w:val="0"/>
          <w:w w:val="100"/>
          <w:kern w:val="0"/>
          <w:sz w:val="24"/>
        </w:rPr>
      </w:pPr>
      <w:hyperlink w:anchor="_Toc44115936" w:history="1">
        <w:r>
          <w:rPr>
            <w:rStyle w:val="Hyperlink"/>
          </w:rPr>
          <w:t>3.4.15 Женщины в качестве предпринимателей и начинающих свой бизнес лиц</w:t>
        </w:r>
        <w:r>
          <w:tab/>
        </w:r>
        <w:r>
          <w:fldChar w:fldCharType="begin"/>
        </w:r>
        <w:r>
          <w:instrText xml:space="preserve"> PAGEREF _Toc44115936 \h </w:instrText>
        </w:r>
        <w:r>
          <w:fldChar w:fldCharType="separate"/>
        </w:r>
        <w:r>
          <w:t>48</w:t>
        </w:r>
        <w:r>
          <w:fldChar w:fldCharType="end"/>
        </w:r>
      </w:hyperlink>
    </w:p>
    <w:p w:rsidR="00000000" w:rsidRDefault="00000000">
      <w:pPr>
        <w:pStyle w:val="TOC1"/>
        <w:rPr>
          <w:spacing w:val="0"/>
          <w:w w:val="100"/>
          <w:kern w:val="0"/>
          <w:sz w:val="24"/>
        </w:rPr>
      </w:pPr>
      <w:hyperlink w:anchor="_Toc44115937" w:history="1">
        <w:r>
          <w:rPr>
            <w:rStyle w:val="Hyperlink"/>
          </w:rPr>
          <w:t>4.</w:t>
        </w:r>
        <w:r>
          <w:rPr>
            <w:spacing w:val="0"/>
            <w:w w:val="100"/>
            <w:kern w:val="0"/>
            <w:sz w:val="24"/>
          </w:rPr>
          <w:tab/>
        </w:r>
        <w:r>
          <w:rPr>
            <w:rStyle w:val="Hyperlink"/>
          </w:rPr>
          <w:t>Женщины в сельском хозяйстве и в сельских районах</w:t>
        </w:r>
        <w:r>
          <w:tab/>
        </w:r>
        <w:r>
          <w:fldChar w:fldCharType="begin"/>
        </w:r>
        <w:r>
          <w:instrText xml:space="preserve"> PAGEREF _Toc44115937 \h </w:instrText>
        </w:r>
        <w:r>
          <w:fldChar w:fldCharType="separate"/>
        </w:r>
        <w:r>
          <w:t>50</w:t>
        </w:r>
        <w:r>
          <w:fldChar w:fldCharType="end"/>
        </w:r>
      </w:hyperlink>
    </w:p>
    <w:p w:rsidR="00000000" w:rsidRDefault="00000000">
      <w:pPr>
        <w:pStyle w:val="TOC2"/>
        <w:rPr>
          <w:spacing w:val="0"/>
          <w:w w:val="100"/>
          <w:kern w:val="0"/>
          <w:sz w:val="24"/>
        </w:rPr>
      </w:pPr>
      <w:hyperlink w:anchor="_Toc44115938" w:history="1">
        <w:r>
          <w:rPr>
            <w:rStyle w:val="Hyperlink"/>
          </w:rPr>
          <w:t>4.1</w:t>
        </w:r>
        <w:r>
          <w:rPr>
            <w:spacing w:val="0"/>
            <w:w w:val="100"/>
            <w:kern w:val="0"/>
            <w:sz w:val="24"/>
          </w:rPr>
          <w:tab/>
        </w:r>
        <w:r>
          <w:rPr>
            <w:rStyle w:val="Hyperlink"/>
          </w:rPr>
          <w:t>Положение женщин в сельском хозяйстве</w:t>
        </w:r>
        <w:r>
          <w:tab/>
        </w:r>
        <w:r>
          <w:fldChar w:fldCharType="begin"/>
        </w:r>
        <w:r>
          <w:instrText xml:space="preserve"> PAGEREF _Toc44115938 \h </w:instrText>
        </w:r>
        <w:r>
          <w:fldChar w:fldCharType="separate"/>
        </w:r>
        <w:r>
          <w:t>50</w:t>
        </w:r>
        <w:r>
          <w:fldChar w:fldCharType="end"/>
        </w:r>
      </w:hyperlink>
    </w:p>
    <w:p w:rsidR="00000000" w:rsidRDefault="00000000">
      <w:pPr>
        <w:pStyle w:val="TOC2"/>
        <w:rPr>
          <w:spacing w:val="0"/>
          <w:w w:val="100"/>
          <w:kern w:val="0"/>
          <w:sz w:val="24"/>
        </w:rPr>
      </w:pPr>
      <w:hyperlink w:anchor="_Toc44115939" w:history="1">
        <w:r>
          <w:rPr>
            <w:rStyle w:val="Hyperlink"/>
          </w:rPr>
          <w:t>4.2</w:t>
        </w:r>
        <w:r>
          <w:rPr>
            <w:spacing w:val="0"/>
            <w:w w:val="100"/>
            <w:kern w:val="0"/>
            <w:sz w:val="24"/>
          </w:rPr>
          <w:tab/>
        </w:r>
        <w:r>
          <w:rPr>
            <w:rStyle w:val="Hyperlink"/>
          </w:rPr>
          <w:t>Содействие расширению возможностей в области занятости женщин, работающих в сельском хозяйстве</w:t>
        </w:r>
        <w:r>
          <w:tab/>
        </w:r>
        <w:r>
          <w:fldChar w:fldCharType="begin"/>
        </w:r>
        <w:r>
          <w:instrText xml:space="preserve"> PAGEREF _Toc44115939 \h </w:instrText>
        </w:r>
        <w:r>
          <w:fldChar w:fldCharType="separate"/>
        </w:r>
        <w:r>
          <w:t>52</w:t>
        </w:r>
        <w:r>
          <w:fldChar w:fldCharType="end"/>
        </w:r>
      </w:hyperlink>
    </w:p>
    <w:p w:rsidR="00000000" w:rsidRDefault="00000000">
      <w:pPr>
        <w:pStyle w:val="TOC1"/>
        <w:rPr>
          <w:spacing w:val="0"/>
          <w:w w:val="100"/>
          <w:kern w:val="0"/>
          <w:sz w:val="24"/>
        </w:rPr>
      </w:pPr>
      <w:hyperlink w:anchor="_Toc44115940" w:history="1">
        <w:r>
          <w:rPr>
            <w:rStyle w:val="Hyperlink"/>
          </w:rPr>
          <w:t xml:space="preserve">5. </w:t>
        </w:r>
        <w:r>
          <w:rPr>
            <w:spacing w:val="0"/>
            <w:w w:val="100"/>
            <w:kern w:val="0"/>
            <w:sz w:val="24"/>
          </w:rPr>
          <w:tab/>
        </w:r>
        <w:r>
          <w:rPr>
            <w:rStyle w:val="Hyperlink"/>
          </w:rPr>
          <w:t>Женщины в общественной жизни</w:t>
        </w:r>
        <w:r>
          <w:tab/>
        </w:r>
        <w:r>
          <w:fldChar w:fldCharType="begin"/>
        </w:r>
        <w:r>
          <w:instrText xml:space="preserve"> PAGEREF _Toc44115940 \h </w:instrText>
        </w:r>
        <w:r>
          <w:fldChar w:fldCharType="separate"/>
        </w:r>
        <w:r>
          <w:t>52</w:t>
        </w:r>
        <w:r>
          <w:fldChar w:fldCharType="end"/>
        </w:r>
      </w:hyperlink>
    </w:p>
    <w:p w:rsidR="00000000" w:rsidRDefault="00000000">
      <w:pPr>
        <w:pStyle w:val="TOC2"/>
        <w:rPr>
          <w:spacing w:val="0"/>
          <w:w w:val="100"/>
          <w:kern w:val="0"/>
          <w:sz w:val="24"/>
        </w:rPr>
      </w:pPr>
      <w:hyperlink w:anchor="_Toc44115941" w:history="1">
        <w:r>
          <w:rPr>
            <w:rStyle w:val="Hyperlink"/>
          </w:rPr>
          <w:t xml:space="preserve">5.1. </w:t>
        </w:r>
        <w:r>
          <w:rPr>
            <w:spacing w:val="0"/>
            <w:w w:val="100"/>
            <w:kern w:val="0"/>
            <w:sz w:val="24"/>
          </w:rPr>
          <w:tab/>
        </w:r>
        <w:r>
          <w:rPr>
            <w:rStyle w:val="Hyperlink"/>
          </w:rPr>
          <w:t>Общие замечания</w:t>
        </w:r>
        <w:r>
          <w:tab/>
        </w:r>
        <w:r>
          <w:fldChar w:fldCharType="begin"/>
        </w:r>
        <w:r>
          <w:instrText xml:space="preserve"> PAGEREF _Toc44115941 \h </w:instrText>
        </w:r>
        <w:r>
          <w:fldChar w:fldCharType="separate"/>
        </w:r>
        <w:r>
          <w:t>52</w:t>
        </w:r>
        <w:r>
          <w:fldChar w:fldCharType="end"/>
        </w:r>
      </w:hyperlink>
    </w:p>
    <w:p w:rsidR="00000000" w:rsidRDefault="00000000">
      <w:pPr>
        <w:pStyle w:val="TOC2"/>
        <w:rPr>
          <w:spacing w:val="0"/>
          <w:w w:val="100"/>
          <w:kern w:val="0"/>
          <w:sz w:val="24"/>
        </w:rPr>
      </w:pPr>
      <w:hyperlink w:anchor="_Toc44115942" w:history="1">
        <w:r>
          <w:rPr>
            <w:rStyle w:val="Hyperlink"/>
          </w:rPr>
          <w:t>5.2</w:t>
        </w:r>
        <w:r>
          <w:rPr>
            <w:spacing w:val="0"/>
            <w:w w:val="100"/>
            <w:kern w:val="0"/>
            <w:sz w:val="24"/>
          </w:rPr>
          <w:tab/>
        </w:r>
        <w:r>
          <w:rPr>
            <w:rStyle w:val="Hyperlink"/>
          </w:rPr>
          <w:t>Участие на федеральном уровне</w:t>
        </w:r>
        <w:r>
          <w:tab/>
        </w:r>
        <w:r>
          <w:fldChar w:fldCharType="begin"/>
        </w:r>
        <w:r>
          <w:instrText xml:space="preserve"> PAGEREF _Toc44115942 \h </w:instrText>
        </w:r>
        <w:r>
          <w:fldChar w:fldCharType="separate"/>
        </w:r>
        <w:r>
          <w:t>53</w:t>
        </w:r>
        <w:r>
          <w:fldChar w:fldCharType="end"/>
        </w:r>
      </w:hyperlink>
    </w:p>
    <w:p w:rsidR="00000000" w:rsidRDefault="00000000">
      <w:pPr>
        <w:pStyle w:val="TOC2"/>
        <w:rPr>
          <w:spacing w:val="0"/>
          <w:w w:val="100"/>
          <w:kern w:val="0"/>
          <w:sz w:val="24"/>
        </w:rPr>
      </w:pPr>
      <w:hyperlink w:anchor="_Toc44115943" w:history="1">
        <w:r>
          <w:rPr>
            <w:rStyle w:val="Hyperlink"/>
          </w:rPr>
          <w:t>5.3 </w:t>
        </w:r>
        <w:r>
          <w:rPr>
            <w:spacing w:val="0"/>
            <w:w w:val="100"/>
            <w:kern w:val="0"/>
            <w:sz w:val="24"/>
          </w:rPr>
          <w:tab/>
        </w:r>
        <w:r>
          <w:rPr>
            <w:rStyle w:val="Hyperlink"/>
          </w:rPr>
          <w:t>Участие на уровне земель</w:t>
        </w:r>
        <w:r>
          <w:tab/>
        </w:r>
        <w:r>
          <w:fldChar w:fldCharType="begin"/>
        </w:r>
        <w:r>
          <w:instrText xml:space="preserve"> PAGEREF _Toc44115943 \h </w:instrText>
        </w:r>
        <w:r>
          <w:fldChar w:fldCharType="separate"/>
        </w:r>
        <w:r>
          <w:t>53</w:t>
        </w:r>
        <w:r>
          <w:fldChar w:fldCharType="end"/>
        </w:r>
      </w:hyperlink>
    </w:p>
    <w:p w:rsidR="00000000" w:rsidRDefault="00000000">
      <w:pPr>
        <w:pStyle w:val="TOC2"/>
        <w:rPr>
          <w:spacing w:val="0"/>
          <w:w w:val="100"/>
          <w:kern w:val="0"/>
          <w:sz w:val="24"/>
        </w:rPr>
      </w:pPr>
      <w:hyperlink w:anchor="_Toc44115944" w:history="1">
        <w:r>
          <w:rPr>
            <w:rStyle w:val="Hyperlink"/>
          </w:rPr>
          <w:t>5.4 </w:t>
        </w:r>
        <w:r>
          <w:rPr>
            <w:spacing w:val="0"/>
            <w:w w:val="100"/>
            <w:kern w:val="0"/>
            <w:sz w:val="24"/>
          </w:rPr>
          <w:tab/>
        </w:r>
        <w:r>
          <w:rPr>
            <w:rStyle w:val="Hyperlink"/>
          </w:rPr>
          <w:t>Участие на муниципальном уровне</w:t>
        </w:r>
        <w:r>
          <w:tab/>
        </w:r>
        <w:r>
          <w:fldChar w:fldCharType="begin"/>
        </w:r>
        <w:r>
          <w:instrText xml:space="preserve"> PAGEREF _Toc44115944 \h </w:instrText>
        </w:r>
        <w:r>
          <w:fldChar w:fldCharType="separate"/>
        </w:r>
        <w:r>
          <w:t>54</w:t>
        </w:r>
        <w:r>
          <w:fldChar w:fldCharType="end"/>
        </w:r>
      </w:hyperlink>
    </w:p>
    <w:p w:rsidR="00000000" w:rsidRDefault="00000000">
      <w:pPr>
        <w:pStyle w:val="TOC2"/>
        <w:rPr>
          <w:spacing w:val="0"/>
          <w:w w:val="100"/>
          <w:kern w:val="0"/>
          <w:sz w:val="24"/>
        </w:rPr>
      </w:pPr>
      <w:hyperlink w:anchor="_Toc44115945" w:history="1">
        <w:r>
          <w:rPr>
            <w:rStyle w:val="Hyperlink"/>
          </w:rPr>
          <w:t>5.5 </w:t>
        </w:r>
        <w:r>
          <w:rPr>
            <w:spacing w:val="0"/>
            <w:w w:val="100"/>
            <w:kern w:val="0"/>
            <w:sz w:val="24"/>
          </w:rPr>
          <w:tab/>
        </w:r>
        <w:r>
          <w:rPr>
            <w:rStyle w:val="Hyperlink"/>
          </w:rPr>
          <w:t>Участие в профсоюзах</w:t>
        </w:r>
        <w:r>
          <w:tab/>
        </w:r>
        <w:r>
          <w:fldChar w:fldCharType="begin"/>
        </w:r>
        <w:r>
          <w:instrText xml:space="preserve"> PAGEREF _Toc44115945 \h </w:instrText>
        </w:r>
        <w:r>
          <w:fldChar w:fldCharType="separate"/>
        </w:r>
        <w:r>
          <w:t>54</w:t>
        </w:r>
        <w:r>
          <w:fldChar w:fldCharType="end"/>
        </w:r>
      </w:hyperlink>
    </w:p>
    <w:p w:rsidR="00000000" w:rsidRDefault="00000000">
      <w:pPr>
        <w:pStyle w:val="TOC1"/>
        <w:rPr>
          <w:spacing w:val="0"/>
          <w:w w:val="100"/>
          <w:kern w:val="0"/>
          <w:sz w:val="24"/>
        </w:rPr>
      </w:pPr>
      <w:hyperlink w:anchor="_Toc44115946" w:history="1">
        <w:r>
          <w:rPr>
            <w:rStyle w:val="Hyperlink"/>
          </w:rPr>
          <w:t>6.</w:t>
        </w:r>
        <w:r>
          <w:rPr>
            <w:spacing w:val="0"/>
            <w:w w:val="100"/>
            <w:kern w:val="0"/>
            <w:sz w:val="24"/>
          </w:rPr>
          <w:tab/>
        </w:r>
        <w:r>
          <w:rPr>
            <w:rStyle w:val="Hyperlink"/>
          </w:rPr>
          <w:t>Учреждения и органы по обеспечению равноправия мужчин и женщин</w:t>
        </w:r>
        <w:r>
          <w:tab/>
        </w:r>
        <w:r>
          <w:fldChar w:fldCharType="begin"/>
        </w:r>
        <w:r>
          <w:instrText xml:space="preserve"> PAGEREF _Toc44115946 \h </w:instrText>
        </w:r>
        <w:r>
          <w:fldChar w:fldCharType="separate"/>
        </w:r>
        <w:r>
          <w:t>55</w:t>
        </w:r>
        <w:r>
          <w:fldChar w:fldCharType="end"/>
        </w:r>
      </w:hyperlink>
    </w:p>
    <w:p w:rsidR="00000000" w:rsidRDefault="00000000">
      <w:pPr>
        <w:pStyle w:val="TOC2"/>
        <w:rPr>
          <w:spacing w:val="0"/>
          <w:w w:val="100"/>
          <w:kern w:val="0"/>
          <w:sz w:val="24"/>
        </w:rPr>
      </w:pPr>
      <w:hyperlink w:anchor="_Toc44115947" w:history="1">
        <w:r>
          <w:rPr>
            <w:rStyle w:val="Hyperlink"/>
          </w:rPr>
          <w:t>6.1</w:t>
        </w:r>
        <w:r>
          <w:rPr>
            <w:spacing w:val="0"/>
            <w:w w:val="100"/>
            <w:kern w:val="0"/>
            <w:sz w:val="24"/>
          </w:rPr>
          <w:tab/>
        </w:r>
        <w:r>
          <w:rPr>
            <w:rStyle w:val="Hyperlink"/>
          </w:rPr>
          <w:t>Уполномоченные по вопросам равенства и делам женщин в органах власти и общественных учреждениях</w:t>
        </w:r>
        <w:r>
          <w:tab/>
        </w:r>
        <w:r>
          <w:fldChar w:fldCharType="begin"/>
        </w:r>
        <w:r>
          <w:instrText xml:space="preserve"> PAGEREF _Toc44115947 \h </w:instrText>
        </w:r>
        <w:r>
          <w:fldChar w:fldCharType="separate"/>
        </w:r>
        <w:r>
          <w:t>55</w:t>
        </w:r>
        <w:r>
          <w:fldChar w:fldCharType="end"/>
        </w:r>
      </w:hyperlink>
    </w:p>
    <w:p w:rsidR="00000000" w:rsidRDefault="00000000">
      <w:pPr>
        <w:pStyle w:val="TOC2"/>
        <w:rPr>
          <w:spacing w:val="0"/>
          <w:w w:val="100"/>
          <w:kern w:val="0"/>
          <w:sz w:val="24"/>
        </w:rPr>
      </w:pPr>
      <w:hyperlink w:anchor="_Toc44115948" w:history="1">
        <w:r>
          <w:rPr>
            <w:rStyle w:val="Hyperlink"/>
          </w:rPr>
          <w:t>6.2 </w:t>
        </w:r>
        <w:r>
          <w:rPr>
            <w:spacing w:val="0"/>
            <w:w w:val="100"/>
            <w:kern w:val="0"/>
            <w:sz w:val="24"/>
          </w:rPr>
          <w:tab/>
        </w:r>
        <w:r>
          <w:rPr>
            <w:rStyle w:val="Hyperlink"/>
          </w:rPr>
          <w:t>Уполномоченные Федерации по обеспечению равноправия</w:t>
        </w:r>
        <w:r>
          <w:tab/>
        </w:r>
        <w:r>
          <w:fldChar w:fldCharType="begin"/>
        </w:r>
        <w:r>
          <w:instrText xml:space="preserve"> PAGEREF _Toc44115948 \h </w:instrText>
        </w:r>
        <w:r>
          <w:fldChar w:fldCharType="separate"/>
        </w:r>
        <w:r>
          <w:t>55</w:t>
        </w:r>
        <w:r>
          <w:fldChar w:fldCharType="end"/>
        </w:r>
      </w:hyperlink>
    </w:p>
    <w:p w:rsidR="00000000" w:rsidRDefault="00000000">
      <w:pPr>
        <w:pStyle w:val="TOC2"/>
        <w:rPr>
          <w:spacing w:val="0"/>
          <w:w w:val="100"/>
          <w:kern w:val="0"/>
          <w:sz w:val="24"/>
        </w:rPr>
      </w:pPr>
      <w:hyperlink w:anchor="_Toc44115949" w:history="1">
        <w:r>
          <w:rPr>
            <w:rStyle w:val="Hyperlink"/>
          </w:rPr>
          <w:t>6.3 </w:t>
        </w:r>
        <w:r>
          <w:rPr>
            <w:spacing w:val="0"/>
            <w:w w:val="100"/>
            <w:kern w:val="0"/>
            <w:sz w:val="24"/>
          </w:rPr>
          <w:tab/>
        </w:r>
        <w:r>
          <w:rPr>
            <w:rStyle w:val="Hyperlink"/>
          </w:rPr>
          <w:t>Межминистерская рабочая группа</w:t>
        </w:r>
        <w:r>
          <w:tab/>
        </w:r>
        <w:r>
          <w:fldChar w:fldCharType="begin"/>
        </w:r>
        <w:r>
          <w:instrText xml:space="preserve"> PAGEREF _Toc44115949 \h </w:instrText>
        </w:r>
        <w:r>
          <w:fldChar w:fldCharType="separate"/>
        </w:r>
        <w:r>
          <w:t>55</w:t>
        </w:r>
        <w:r>
          <w:fldChar w:fldCharType="end"/>
        </w:r>
      </w:hyperlink>
    </w:p>
    <w:p w:rsidR="00000000" w:rsidRDefault="00000000">
      <w:pPr>
        <w:pStyle w:val="TOC2"/>
        <w:rPr>
          <w:spacing w:val="0"/>
          <w:w w:val="100"/>
          <w:kern w:val="0"/>
          <w:sz w:val="24"/>
        </w:rPr>
      </w:pPr>
      <w:hyperlink w:anchor="_Toc44115950" w:history="1">
        <w:r>
          <w:rPr>
            <w:rStyle w:val="Hyperlink"/>
          </w:rPr>
          <w:t>6.4 </w:t>
        </w:r>
        <w:r>
          <w:rPr>
            <w:spacing w:val="0"/>
            <w:w w:val="100"/>
            <w:kern w:val="0"/>
            <w:sz w:val="24"/>
          </w:rPr>
          <w:tab/>
        </w:r>
        <w:r>
          <w:rPr>
            <w:rStyle w:val="Hyperlink"/>
          </w:rPr>
          <w:t>Учреждения по обеспечению равенства на уровне земель</w:t>
        </w:r>
        <w:r>
          <w:tab/>
        </w:r>
        <w:r>
          <w:fldChar w:fldCharType="begin"/>
        </w:r>
        <w:r>
          <w:instrText xml:space="preserve"> PAGEREF _Toc44115950 \h </w:instrText>
        </w:r>
        <w:r>
          <w:fldChar w:fldCharType="separate"/>
        </w:r>
        <w:r>
          <w:t>56</w:t>
        </w:r>
        <w:r>
          <w:fldChar w:fldCharType="end"/>
        </w:r>
      </w:hyperlink>
    </w:p>
    <w:p w:rsidR="00000000" w:rsidRDefault="00000000">
      <w:pPr>
        <w:pStyle w:val="TOC2"/>
        <w:rPr>
          <w:spacing w:val="0"/>
          <w:w w:val="100"/>
          <w:kern w:val="0"/>
          <w:sz w:val="24"/>
        </w:rPr>
      </w:pPr>
      <w:hyperlink w:anchor="_Toc44115951" w:history="1">
        <w:r>
          <w:rPr>
            <w:rStyle w:val="Hyperlink"/>
          </w:rPr>
          <w:t>6.5 </w:t>
        </w:r>
        <w:r>
          <w:rPr>
            <w:spacing w:val="0"/>
            <w:w w:val="100"/>
            <w:kern w:val="0"/>
            <w:sz w:val="24"/>
          </w:rPr>
          <w:tab/>
        </w:r>
        <w:r>
          <w:rPr>
            <w:rStyle w:val="Hyperlink"/>
          </w:rPr>
          <w:t>Муниципальные советы по обеспечению равных возможностей</w:t>
        </w:r>
        <w:r>
          <w:tab/>
        </w:r>
        <w:r>
          <w:fldChar w:fldCharType="begin"/>
        </w:r>
        <w:r>
          <w:instrText xml:space="preserve"> PAGEREF _Toc44115951 \h </w:instrText>
        </w:r>
        <w:r>
          <w:fldChar w:fldCharType="separate"/>
        </w:r>
        <w:r>
          <w:t>57</w:t>
        </w:r>
        <w:r>
          <w:fldChar w:fldCharType="end"/>
        </w:r>
      </w:hyperlink>
    </w:p>
    <w:p w:rsidR="00000000" w:rsidRDefault="00000000">
      <w:pPr>
        <w:pStyle w:val="TOC2"/>
        <w:rPr>
          <w:spacing w:val="0"/>
          <w:w w:val="100"/>
          <w:kern w:val="0"/>
          <w:sz w:val="24"/>
        </w:rPr>
      </w:pPr>
      <w:hyperlink w:anchor="_Toc44115952" w:history="1">
        <w:r>
          <w:rPr>
            <w:rStyle w:val="Hyperlink"/>
          </w:rPr>
          <w:t>6.6</w:t>
        </w:r>
        <w:r>
          <w:rPr>
            <w:spacing w:val="0"/>
            <w:w w:val="100"/>
            <w:kern w:val="0"/>
            <w:sz w:val="24"/>
          </w:rPr>
          <w:tab/>
        </w:r>
        <w:r>
          <w:rPr>
            <w:rStyle w:val="Hyperlink"/>
          </w:rPr>
          <w:t>Реестр федеральной рабочей группы учреждений по делам женщин и советов по обеспечению равных возможностей</w:t>
        </w:r>
        <w:r>
          <w:tab/>
        </w:r>
        <w:r>
          <w:fldChar w:fldCharType="begin"/>
        </w:r>
        <w:r>
          <w:instrText xml:space="preserve"> PAGEREF _Toc44115952 \h </w:instrText>
        </w:r>
        <w:r>
          <w:fldChar w:fldCharType="separate"/>
        </w:r>
        <w:r>
          <w:t>57</w:t>
        </w:r>
        <w:r>
          <w:fldChar w:fldCharType="end"/>
        </w:r>
      </w:hyperlink>
    </w:p>
    <w:p w:rsidR="00000000" w:rsidRDefault="00000000">
      <w:pPr>
        <w:pStyle w:val="TOC2"/>
        <w:rPr>
          <w:spacing w:val="0"/>
          <w:w w:val="100"/>
          <w:kern w:val="0"/>
          <w:sz w:val="24"/>
        </w:rPr>
      </w:pPr>
      <w:hyperlink w:anchor="_Toc44115953" w:history="1">
        <w:r>
          <w:rPr>
            <w:rStyle w:val="Hyperlink"/>
          </w:rPr>
          <w:t>6.7</w:t>
        </w:r>
        <w:r>
          <w:rPr>
            <w:spacing w:val="0"/>
            <w:w w:val="100"/>
            <w:kern w:val="0"/>
            <w:sz w:val="24"/>
          </w:rPr>
          <w:tab/>
        </w:r>
        <w:r>
          <w:rPr>
            <w:rStyle w:val="Hyperlink"/>
          </w:rPr>
          <w:t>Уполномоченные по делам женщин и обеспечению равных возможностей в высших учебных заведениях</w:t>
        </w:r>
        <w:r>
          <w:tab/>
        </w:r>
        <w:r>
          <w:fldChar w:fldCharType="begin"/>
        </w:r>
        <w:r>
          <w:instrText xml:space="preserve"> PAGEREF _Toc44115953 \h </w:instrText>
        </w:r>
        <w:r>
          <w:fldChar w:fldCharType="separate"/>
        </w:r>
        <w:r>
          <w:t>58</w:t>
        </w:r>
        <w:r>
          <w:fldChar w:fldCharType="end"/>
        </w:r>
      </w:hyperlink>
    </w:p>
    <w:p w:rsidR="00000000" w:rsidRDefault="00000000">
      <w:pPr>
        <w:pStyle w:val="TOC2"/>
        <w:rPr>
          <w:spacing w:val="0"/>
          <w:w w:val="100"/>
          <w:kern w:val="0"/>
          <w:sz w:val="24"/>
        </w:rPr>
      </w:pPr>
      <w:hyperlink w:anchor="_Toc44115954" w:history="1">
        <w:r>
          <w:rPr>
            <w:rStyle w:val="Hyperlink"/>
          </w:rPr>
          <w:t>6.8</w:t>
        </w:r>
        <w:r>
          <w:rPr>
            <w:spacing w:val="0"/>
            <w:w w:val="100"/>
            <w:kern w:val="0"/>
            <w:sz w:val="24"/>
          </w:rPr>
          <w:tab/>
        </w:r>
        <w:r>
          <w:rPr>
            <w:rStyle w:val="Hyperlink"/>
          </w:rPr>
          <w:t>Уполномоченный по обеспечению равных возможностей на рынке труда</w:t>
        </w:r>
        <w:r>
          <w:tab/>
        </w:r>
        <w:r>
          <w:fldChar w:fldCharType="begin"/>
        </w:r>
        <w:r>
          <w:instrText xml:space="preserve"> PAGEREF _Toc44115954 \h </w:instrText>
        </w:r>
        <w:r>
          <w:fldChar w:fldCharType="separate"/>
        </w:r>
        <w:r>
          <w:t>58</w:t>
        </w:r>
        <w:r>
          <w:fldChar w:fldCharType="end"/>
        </w:r>
      </w:hyperlink>
    </w:p>
    <w:p w:rsidR="00000000" w:rsidRDefault="00000000">
      <w:pPr>
        <w:pStyle w:val="TOC1"/>
        <w:rPr>
          <w:spacing w:val="0"/>
          <w:w w:val="100"/>
          <w:kern w:val="0"/>
          <w:sz w:val="24"/>
        </w:rPr>
      </w:pPr>
      <w:hyperlink w:anchor="_Toc44115955" w:history="1">
        <w:r>
          <w:rPr>
            <w:rStyle w:val="Hyperlink"/>
          </w:rPr>
          <w:t xml:space="preserve">7. </w:t>
        </w:r>
        <w:r>
          <w:rPr>
            <w:spacing w:val="0"/>
            <w:w w:val="100"/>
            <w:kern w:val="0"/>
            <w:sz w:val="24"/>
          </w:rPr>
          <w:tab/>
        </w:r>
        <w:r>
          <w:rPr>
            <w:rStyle w:val="Hyperlink"/>
          </w:rPr>
          <w:t>Средства для обеспечения равноправия</w:t>
        </w:r>
        <w:r>
          <w:tab/>
        </w:r>
        <w:r>
          <w:fldChar w:fldCharType="begin"/>
        </w:r>
        <w:r>
          <w:instrText xml:space="preserve"> PAGEREF _Toc44115955 \h </w:instrText>
        </w:r>
        <w:r>
          <w:fldChar w:fldCharType="separate"/>
        </w:r>
        <w:r>
          <w:t>59</w:t>
        </w:r>
        <w:r>
          <w:fldChar w:fldCharType="end"/>
        </w:r>
      </w:hyperlink>
    </w:p>
    <w:p w:rsidR="00000000" w:rsidRDefault="00000000">
      <w:pPr>
        <w:pStyle w:val="TOC2"/>
        <w:rPr>
          <w:spacing w:val="0"/>
          <w:w w:val="100"/>
          <w:kern w:val="0"/>
          <w:sz w:val="24"/>
        </w:rPr>
      </w:pPr>
      <w:hyperlink w:anchor="_Toc44115956" w:history="1">
        <w:r>
          <w:rPr>
            <w:rStyle w:val="Hyperlink"/>
          </w:rPr>
          <w:t>7.1 </w:t>
        </w:r>
        <w:r>
          <w:rPr>
            <w:spacing w:val="0"/>
            <w:w w:val="100"/>
            <w:kern w:val="0"/>
            <w:sz w:val="24"/>
          </w:rPr>
          <w:tab/>
        </w:r>
        <w:r>
          <w:rPr>
            <w:rStyle w:val="Hyperlink"/>
          </w:rPr>
          <w:t>Значение актуализации гендерной проблематики</w:t>
        </w:r>
        <w:r>
          <w:tab/>
        </w:r>
        <w:r>
          <w:fldChar w:fldCharType="begin"/>
        </w:r>
        <w:r>
          <w:instrText xml:space="preserve"> PAGEREF _Toc44115956 \h </w:instrText>
        </w:r>
        <w:r>
          <w:fldChar w:fldCharType="separate"/>
        </w:r>
        <w:r>
          <w:t>59</w:t>
        </w:r>
        <w:r>
          <w:fldChar w:fldCharType="end"/>
        </w:r>
      </w:hyperlink>
    </w:p>
    <w:p w:rsidR="00000000" w:rsidRDefault="00000000">
      <w:pPr>
        <w:pStyle w:val="TOC2"/>
        <w:rPr>
          <w:spacing w:val="0"/>
          <w:w w:val="100"/>
          <w:kern w:val="0"/>
          <w:sz w:val="24"/>
        </w:rPr>
      </w:pPr>
      <w:hyperlink w:anchor="_Toc44115957" w:history="1">
        <w:r>
          <w:rPr>
            <w:rStyle w:val="Hyperlink"/>
          </w:rPr>
          <w:t>7.2</w:t>
        </w:r>
        <w:r>
          <w:rPr>
            <w:spacing w:val="0"/>
            <w:w w:val="100"/>
            <w:kern w:val="0"/>
            <w:sz w:val="24"/>
          </w:rPr>
          <w:tab/>
        </w:r>
        <w:r>
          <w:rPr>
            <w:rStyle w:val="Hyperlink"/>
          </w:rPr>
          <w:t>Рамочные условия – политические и правовые требования</w:t>
        </w:r>
        <w:r>
          <w:tab/>
        </w:r>
        <w:r>
          <w:fldChar w:fldCharType="begin"/>
        </w:r>
        <w:r>
          <w:instrText xml:space="preserve"> PAGEREF _Toc44115957 \h </w:instrText>
        </w:r>
        <w:r>
          <w:fldChar w:fldCharType="separate"/>
        </w:r>
        <w:r>
          <w:t>60</w:t>
        </w:r>
        <w:r>
          <w:fldChar w:fldCharType="end"/>
        </w:r>
      </w:hyperlink>
    </w:p>
    <w:p w:rsidR="00000000" w:rsidRDefault="00000000">
      <w:pPr>
        <w:pStyle w:val="TOC2"/>
        <w:rPr>
          <w:spacing w:val="0"/>
          <w:w w:val="100"/>
          <w:kern w:val="0"/>
          <w:sz w:val="24"/>
        </w:rPr>
      </w:pPr>
      <w:hyperlink w:anchor="_Toc44115958" w:history="1">
        <w:r>
          <w:rPr>
            <w:rStyle w:val="Hyperlink"/>
          </w:rPr>
          <w:t>7.3</w:t>
        </w:r>
        <w:r>
          <w:rPr>
            <w:spacing w:val="0"/>
            <w:w w:val="100"/>
            <w:kern w:val="0"/>
            <w:sz w:val="24"/>
          </w:rPr>
          <w:tab/>
        </w:r>
        <w:r>
          <w:rPr>
            <w:rStyle w:val="Hyperlink"/>
          </w:rPr>
          <w:t>Практическая стратегия федерального правительства</w:t>
        </w:r>
        <w:r>
          <w:tab/>
        </w:r>
        <w:r>
          <w:fldChar w:fldCharType="begin"/>
        </w:r>
        <w:r>
          <w:instrText xml:space="preserve"> PAGEREF _Toc44115958 \h </w:instrText>
        </w:r>
        <w:r>
          <w:fldChar w:fldCharType="separate"/>
        </w:r>
        <w:r>
          <w:t>60</w:t>
        </w:r>
        <w:r>
          <w:fldChar w:fldCharType="end"/>
        </w:r>
      </w:hyperlink>
    </w:p>
    <w:p w:rsidR="00000000" w:rsidRDefault="00000000">
      <w:pPr>
        <w:pStyle w:val="TOC1"/>
        <w:rPr>
          <w:spacing w:val="0"/>
          <w:w w:val="100"/>
          <w:kern w:val="0"/>
          <w:sz w:val="24"/>
        </w:rPr>
      </w:pPr>
      <w:hyperlink w:anchor="_Toc44115959" w:history="1">
        <w:r>
          <w:rPr>
            <w:rStyle w:val="Hyperlink"/>
          </w:rPr>
          <w:t xml:space="preserve">8. </w:t>
        </w:r>
        <w:r>
          <w:rPr>
            <w:spacing w:val="0"/>
            <w:w w:val="100"/>
            <w:kern w:val="0"/>
            <w:sz w:val="24"/>
          </w:rPr>
          <w:tab/>
        </w:r>
        <w:r>
          <w:rPr>
            <w:rStyle w:val="Hyperlink"/>
          </w:rPr>
          <w:t>Женщины, оказавшиеся в сложном положении</w:t>
        </w:r>
        <w:r>
          <w:tab/>
        </w:r>
        <w:r>
          <w:fldChar w:fldCharType="begin"/>
        </w:r>
        <w:r>
          <w:instrText xml:space="preserve"> PAGEREF _Toc44115959 \h </w:instrText>
        </w:r>
        <w:r>
          <w:fldChar w:fldCharType="separate"/>
        </w:r>
        <w:r>
          <w:t>63</w:t>
        </w:r>
        <w:r>
          <w:fldChar w:fldCharType="end"/>
        </w:r>
      </w:hyperlink>
    </w:p>
    <w:p w:rsidR="00000000" w:rsidRDefault="00000000">
      <w:pPr>
        <w:pStyle w:val="TOC2"/>
        <w:rPr>
          <w:spacing w:val="0"/>
          <w:w w:val="100"/>
          <w:kern w:val="0"/>
          <w:sz w:val="24"/>
        </w:rPr>
      </w:pPr>
      <w:hyperlink w:anchor="_Toc44115960" w:history="1">
        <w:r>
          <w:rPr>
            <w:rStyle w:val="Hyperlink"/>
          </w:rPr>
          <w:t>8.1</w:t>
        </w:r>
        <w:r>
          <w:rPr>
            <w:spacing w:val="0"/>
            <w:w w:val="100"/>
            <w:kern w:val="0"/>
            <w:sz w:val="24"/>
          </w:rPr>
          <w:tab/>
        </w:r>
        <w:r>
          <w:rPr>
            <w:rStyle w:val="Hyperlink"/>
          </w:rPr>
          <w:t>Женщины-инвалиды</w:t>
        </w:r>
        <w:r>
          <w:tab/>
        </w:r>
        <w:r>
          <w:fldChar w:fldCharType="begin"/>
        </w:r>
        <w:r>
          <w:instrText xml:space="preserve"> PAGEREF _Toc44115960 \h </w:instrText>
        </w:r>
        <w:r>
          <w:fldChar w:fldCharType="separate"/>
        </w:r>
        <w:r>
          <w:t>63</w:t>
        </w:r>
        <w:r>
          <w:fldChar w:fldCharType="end"/>
        </w:r>
      </w:hyperlink>
    </w:p>
    <w:p w:rsidR="00000000" w:rsidRDefault="00000000">
      <w:pPr>
        <w:pStyle w:val="TOC3"/>
        <w:rPr>
          <w:spacing w:val="0"/>
          <w:w w:val="100"/>
          <w:kern w:val="0"/>
          <w:sz w:val="24"/>
        </w:rPr>
      </w:pPr>
      <w:hyperlink w:anchor="_Toc44115961" w:history="1">
        <w:r>
          <w:rPr>
            <w:rStyle w:val="Hyperlink"/>
          </w:rPr>
          <w:t>8.1.1</w:t>
        </w:r>
        <w:r>
          <w:rPr>
            <w:spacing w:val="0"/>
            <w:w w:val="100"/>
            <w:kern w:val="0"/>
            <w:sz w:val="24"/>
          </w:rPr>
          <w:tab/>
        </w:r>
        <w:r>
          <w:rPr>
            <w:rStyle w:val="Hyperlink"/>
          </w:rPr>
          <w:t>Изменение политики в отношении инвалидов</w:t>
        </w:r>
        <w:r>
          <w:tab/>
        </w:r>
        <w:r>
          <w:fldChar w:fldCharType="begin"/>
        </w:r>
        <w:r>
          <w:instrText xml:space="preserve"> PAGEREF _Toc44115961 \h </w:instrText>
        </w:r>
        <w:r>
          <w:fldChar w:fldCharType="separate"/>
        </w:r>
        <w:r>
          <w:t>64</w:t>
        </w:r>
        <w:r>
          <w:fldChar w:fldCharType="end"/>
        </w:r>
      </w:hyperlink>
    </w:p>
    <w:p w:rsidR="00000000" w:rsidRDefault="00000000">
      <w:pPr>
        <w:pStyle w:val="TOC3"/>
        <w:rPr>
          <w:spacing w:val="0"/>
          <w:w w:val="100"/>
          <w:kern w:val="0"/>
          <w:sz w:val="24"/>
        </w:rPr>
      </w:pPr>
      <w:hyperlink w:anchor="_Toc44115962" w:history="1">
        <w:r>
          <w:rPr>
            <w:rStyle w:val="Hyperlink"/>
          </w:rPr>
          <w:t>8.1.2</w:t>
        </w:r>
        <w:r>
          <w:rPr>
            <w:spacing w:val="0"/>
            <w:w w:val="100"/>
            <w:kern w:val="0"/>
            <w:sz w:val="24"/>
          </w:rPr>
          <w:tab/>
        </w:r>
        <w:r>
          <w:rPr>
            <w:rStyle w:val="Hyperlink"/>
          </w:rPr>
          <w:t>Юридические поправки</w:t>
        </w:r>
        <w:r>
          <w:tab/>
        </w:r>
        <w:r>
          <w:fldChar w:fldCharType="begin"/>
        </w:r>
        <w:r>
          <w:instrText xml:space="preserve"> PAGEREF _Toc44115962 \h </w:instrText>
        </w:r>
        <w:r>
          <w:fldChar w:fldCharType="separate"/>
        </w:r>
        <w:r>
          <w:t>64</w:t>
        </w:r>
        <w:r>
          <w:fldChar w:fldCharType="end"/>
        </w:r>
      </w:hyperlink>
    </w:p>
    <w:p w:rsidR="00000000" w:rsidRDefault="00000000">
      <w:pPr>
        <w:pStyle w:val="TOC3"/>
        <w:rPr>
          <w:spacing w:val="0"/>
          <w:w w:val="100"/>
          <w:kern w:val="0"/>
          <w:sz w:val="24"/>
        </w:rPr>
      </w:pPr>
      <w:hyperlink w:anchor="_Toc44115963" w:history="1">
        <w:r>
          <w:rPr>
            <w:rStyle w:val="Hyperlink"/>
          </w:rPr>
          <w:t>8.1.3</w:t>
        </w:r>
        <w:r>
          <w:rPr>
            <w:spacing w:val="0"/>
            <w:w w:val="100"/>
            <w:kern w:val="0"/>
            <w:sz w:val="24"/>
          </w:rPr>
          <w:tab/>
        </w:r>
        <w:r>
          <w:rPr>
            <w:rStyle w:val="Hyperlink"/>
          </w:rPr>
          <w:t>Осуществление проектов</w:t>
        </w:r>
        <w:r>
          <w:tab/>
        </w:r>
        <w:r>
          <w:fldChar w:fldCharType="begin"/>
        </w:r>
        <w:r>
          <w:instrText xml:space="preserve"> PAGEREF _Toc44115963 \h </w:instrText>
        </w:r>
        <w:r>
          <w:fldChar w:fldCharType="separate"/>
        </w:r>
        <w:r>
          <w:t>66</w:t>
        </w:r>
        <w:r>
          <w:fldChar w:fldCharType="end"/>
        </w:r>
      </w:hyperlink>
    </w:p>
    <w:p w:rsidR="00000000" w:rsidRDefault="00000000">
      <w:pPr>
        <w:pStyle w:val="TOC2"/>
        <w:rPr>
          <w:spacing w:val="0"/>
          <w:w w:val="100"/>
          <w:kern w:val="0"/>
          <w:sz w:val="24"/>
        </w:rPr>
      </w:pPr>
      <w:hyperlink w:anchor="_Toc44115964" w:history="1">
        <w:r>
          <w:rPr>
            <w:rStyle w:val="Hyperlink"/>
          </w:rPr>
          <w:t>8.2</w:t>
        </w:r>
        <w:r>
          <w:rPr>
            <w:spacing w:val="0"/>
            <w:w w:val="100"/>
            <w:kern w:val="0"/>
            <w:sz w:val="24"/>
          </w:rPr>
          <w:tab/>
        </w:r>
        <w:r>
          <w:rPr>
            <w:rStyle w:val="Hyperlink"/>
          </w:rPr>
          <w:t>Пожилые женщины</w:t>
        </w:r>
        <w:r>
          <w:tab/>
        </w:r>
        <w:r>
          <w:fldChar w:fldCharType="begin"/>
        </w:r>
        <w:r>
          <w:instrText xml:space="preserve"> PAGEREF _Toc44115964 \h </w:instrText>
        </w:r>
        <w:r>
          <w:fldChar w:fldCharType="separate"/>
        </w:r>
        <w:r>
          <w:t>67</w:t>
        </w:r>
        <w:r>
          <w:fldChar w:fldCharType="end"/>
        </w:r>
      </w:hyperlink>
    </w:p>
    <w:p w:rsidR="00000000" w:rsidRDefault="00000000">
      <w:pPr>
        <w:pStyle w:val="TOC3"/>
        <w:rPr>
          <w:spacing w:val="0"/>
          <w:w w:val="100"/>
          <w:kern w:val="0"/>
          <w:sz w:val="24"/>
        </w:rPr>
      </w:pPr>
      <w:hyperlink w:anchor="_Toc44115965" w:history="1">
        <w:r>
          <w:rPr>
            <w:rStyle w:val="Hyperlink"/>
          </w:rPr>
          <w:t>8.2.1</w:t>
        </w:r>
        <w:r>
          <w:rPr>
            <w:spacing w:val="0"/>
            <w:w w:val="100"/>
            <w:kern w:val="0"/>
            <w:sz w:val="24"/>
          </w:rPr>
          <w:tab/>
        </w:r>
        <w:r>
          <w:rPr>
            <w:rStyle w:val="Hyperlink"/>
          </w:rPr>
          <w:t>Сложившаяся ситуация</w:t>
        </w:r>
        <w:r>
          <w:tab/>
        </w:r>
        <w:r>
          <w:fldChar w:fldCharType="begin"/>
        </w:r>
        <w:r>
          <w:instrText xml:space="preserve"> PAGEREF _Toc44115965 \h </w:instrText>
        </w:r>
        <w:r>
          <w:fldChar w:fldCharType="separate"/>
        </w:r>
        <w:r>
          <w:t>67</w:t>
        </w:r>
        <w:r>
          <w:fldChar w:fldCharType="end"/>
        </w:r>
      </w:hyperlink>
    </w:p>
    <w:p w:rsidR="00000000" w:rsidRDefault="00000000">
      <w:pPr>
        <w:pStyle w:val="TOC3"/>
        <w:rPr>
          <w:spacing w:val="0"/>
          <w:w w:val="100"/>
          <w:kern w:val="0"/>
          <w:sz w:val="24"/>
        </w:rPr>
      </w:pPr>
      <w:hyperlink w:anchor="_Toc44115966" w:history="1">
        <w:r>
          <w:rPr>
            <w:rStyle w:val="Hyperlink"/>
          </w:rPr>
          <w:t>8.2.2</w:t>
        </w:r>
        <w:r>
          <w:rPr>
            <w:spacing w:val="0"/>
            <w:w w:val="100"/>
            <w:kern w:val="0"/>
            <w:sz w:val="24"/>
          </w:rPr>
          <w:tab/>
        </w:r>
        <w:r>
          <w:rPr>
            <w:rStyle w:val="Hyperlink"/>
          </w:rPr>
          <w:t>Цели политики по обеспечению равенства в части, касающейся пожилых женщин</w:t>
        </w:r>
        <w:r>
          <w:tab/>
        </w:r>
        <w:r>
          <w:fldChar w:fldCharType="begin"/>
        </w:r>
        <w:r>
          <w:instrText xml:space="preserve"> PAGEREF _Toc44115966 \h </w:instrText>
        </w:r>
        <w:r>
          <w:fldChar w:fldCharType="separate"/>
        </w:r>
        <w:r>
          <w:t>68</w:t>
        </w:r>
        <w:r>
          <w:fldChar w:fldCharType="end"/>
        </w:r>
      </w:hyperlink>
    </w:p>
    <w:p w:rsidR="00000000" w:rsidRDefault="00000000">
      <w:pPr>
        <w:pStyle w:val="TOC3"/>
        <w:rPr>
          <w:spacing w:val="0"/>
          <w:w w:val="100"/>
          <w:kern w:val="0"/>
          <w:sz w:val="24"/>
        </w:rPr>
      </w:pPr>
      <w:hyperlink w:anchor="_Toc44115967" w:history="1">
        <w:r>
          <w:rPr>
            <w:rStyle w:val="Hyperlink"/>
          </w:rPr>
          <w:t>8.2.3</w:t>
        </w:r>
        <w:r>
          <w:rPr>
            <w:spacing w:val="0"/>
            <w:w w:val="100"/>
            <w:kern w:val="0"/>
            <w:sz w:val="24"/>
          </w:rPr>
          <w:tab/>
        </w:r>
        <w:r>
          <w:rPr>
            <w:rStyle w:val="Hyperlink"/>
          </w:rPr>
          <w:t>Социальное обеспечение пожилых женщин</w:t>
        </w:r>
        <w:r>
          <w:tab/>
        </w:r>
        <w:r>
          <w:fldChar w:fldCharType="begin"/>
        </w:r>
        <w:r>
          <w:instrText xml:space="preserve"> PAGEREF _Toc44115967 \h </w:instrText>
        </w:r>
        <w:r>
          <w:fldChar w:fldCharType="separate"/>
        </w:r>
        <w:r>
          <w:t>68</w:t>
        </w:r>
        <w:r>
          <w:fldChar w:fldCharType="end"/>
        </w:r>
      </w:hyperlink>
    </w:p>
    <w:p w:rsidR="00000000" w:rsidRDefault="00000000">
      <w:pPr>
        <w:pStyle w:val="TOC3"/>
        <w:rPr>
          <w:spacing w:val="0"/>
          <w:w w:val="100"/>
          <w:kern w:val="0"/>
          <w:sz w:val="24"/>
        </w:rPr>
      </w:pPr>
      <w:hyperlink w:anchor="_Toc44115968" w:history="1">
        <w:r>
          <w:rPr>
            <w:rStyle w:val="Hyperlink"/>
          </w:rPr>
          <w:t>8.2.4</w:t>
        </w:r>
        <w:r>
          <w:rPr>
            <w:spacing w:val="0"/>
            <w:w w:val="100"/>
            <w:kern w:val="0"/>
            <w:sz w:val="24"/>
          </w:rPr>
          <w:tab/>
        </w:r>
        <w:r>
          <w:rPr>
            <w:rStyle w:val="Hyperlink"/>
          </w:rPr>
          <w:t>Пожилые женщины – мигранты в Германии</w:t>
        </w:r>
        <w:r>
          <w:tab/>
        </w:r>
        <w:r>
          <w:fldChar w:fldCharType="begin"/>
        </w:r>
        <w:r>
          <w:instrText xml:space="preserve"> PAGEREF _Toc44115968 \h </w:instrText>
        </w:r>
        <w:r>
          <w:fldChar w:fldCharType="separate"/>
        </w:r>
        <w:r>
          <w:t>70</w:t>
        </w:r>
        <w:r>
          <w:fldChar w:fldCharType="end"/>
        </w:r>
      </w:hyperlink>
    </w:p>
    <w:p w:rsidR="00000000" w:rsidRDefault="00000000">
      <w:pPr>
        <w:pStyle w:val="TOC2"/>
        <w:rPr>
          <w:spacing w:val="0"/>
          <w:w w:val="100"/>
          <w:kern w:val="0"/>
          <w:sz w:val="24"/>
        </w:rPr>
      </w:pPr>
      <w:hyperlink w:anchor="_Toc44115969" w:history="1">
        <w:r>
          <w:rPr>
            <w:rStyle w:val="Hyperlink"/>
          </w:rPr>
          <w:t>8.3</w:t>
        </w:r>
        <w:r>
          <w:rPr>
            <w:spacing w:val="0"/>
            <w:w w:val="100"/>
            <w:kern w:val="0"/>
            <w:sz w:val="24"/>
          </w:rPr>
          <w:tab/>
        </w:r>
        <w:r>
          <w:rPr>
            <w:rStyle w:val="Hyperlink"/>
          </w:rPr>
          <w:t>Женщины, обратившиеся за предоставлением убежища в Германии</w:t>
        </w:r>
        <w:r>
          <w:tab/>
        </w:r>
        <w:r>
          <w:fldChar w:fldCharType="begin"/>
        </w:r>
        <w:r>
          <w:instrText xml:space="preserve"> PAGEREF _Toc44115969 \h </w:instrText>
        </w:r>
        <w:r>
          <w:fldChar w:fldCharType="separate"/>
        </w:r>
        <w:r>
          <w:t>71</w:t>
        </w:r>
        <w:r>
          <w:fldChar w:fldCharType="end"/>
        </w:r>
      </w:hyperlink>
    </w:p>
    <w:p w:rsidR="00000000" w:rsidRDefault="00000000">
      <w:pPr>
        <w:pStyle w:val="TOC1"/>
        <w:ind w:left="1276" w:firstLine="0"/>
        <w:rPr>
          <w:spacing w:val="0"/>
          <w:w w:val="100"/>
          <w:kern w:val="0"/>
          <w:sz w:val="24"/>
        </w:rPr>
      </w:pPr>
      <w:hyperlink w:anchor="_Toc44115970" w:history="1">
        <w:r>
          <w:rPr>
            <w:rStyle w:val="Hyperlink"/>
          </w:rPr>
          <w:t>Часть II. Положения Конвенции и их осуществление в Федеративной Республике Германия</w:t>
        </w:r>
        <w:r>
          <w:tab/>
        </w:r>
        <w:r>
          <w:fldChar w:fldCharType="begin"/>
        </w:r>
        <w:r>
          <w:instrText xml:space="preserve"> PAGEREF _Toc44115970 \h </w:instrText>
        </w:r>
        <w:r>
          <w:fldChar w:fldCharType="separate"/>
        </w:r>
        <w:r>
          <w:t>73</w:t>
        </w:r>
        <w:r>
          <w:fldChar w:fldCharType="end"/>
        </w:r>
      </w:hyperlink>
    </w:p>
    <w:p w:rsidR="00000000" w:rsidRDefault="00000000">
      <w:pPr>
        <w:pStyle w:val="TOC1"/>
        <w:rPr>
          <w:spacing w:val="0"/>
          <w:w w:val="100"/>
          <w:kern w:val="0"/>
          <w:sz w:val="24"/>
        </w:rPr>
      </w:pPr>
      <w:hyperlink w:anchor="_Toc44115971" w:history="1">
        <w:r>
          <w:rPr>
            <w:rStyle w:val="Hyperlink"/>
          </w:rPr>
          <w:t>1.</w:t>
        </w:r>
        <w:r>
          <w:rPr>
            <w:spacing w:val="0"/>
            <w:w w:val="100"/>
            <w:kern w:val="0"/>
            <w:sz w:val="24"/>
          </w:rPr>
          <w:tab/>
        </w:r>
        <w:r>
          <w:rPr>
            <w:rStyle w:val="Hyperlink"/>
          </w:rPr>
          <w:t>Статья 1. Определение “дискриминации”</w:t>
        </w:r>
        <w:r>
          <w:tab/>
        </w:r>
        <w:r>
          <w:fldChar w:fldCharType="begin"/>
        </w:r>
        <w:r>
          <w:instrText xml:space="preserve"> PAGEREF _Toc44115971 \h </w:instrText>
        </w:r>
        <w:r>
          <w:fldChar w:fldCharType="separate"/>
        </w:r>
        <w:r>
          <w:t>73</w:t>
        </w:r>
        <w:r>
          <w:fldChar w:fldCharType="end"/>
        </w:r>
      </w:hyperlink>
    </w:p>
    <w:p w:rsidR="00000000" w:rsidRDefault="00000000">
      <w:pPr>
        <w:pStyle w:val="TOC1"/>
        <w:rPr>
          <w:spacing w:val="0"/>
          <w:w w:val="100"/>
          <w:kern w:val="0"/>
          <w:sz w:val="24"/>
        </w:rPr>
      </w:pPr>
      <w:hyperlink w:anchor="_Toc44115972" w:history="1">
        <w:r>
          <w:rPr>
            <w:rStyle w:val="Hyperlink"/>
          </w:rPr>
          <w:t>2.</w:t>
        </w:r>
        <w:r>
          <w:rPr>
            <w:spacing w:val="0"/>
            <w:w w:val="100"/>
            <w:kern w:val="0"/>
            <w:sz w:val="24"/>
          </w:rPr>
          <w:tab/>
        </w:r>
        <w:r>
          <w:rPr>
            <w:rStyle w:val="Hyperlink"/>
          </w:rPr>
          <w:t>Статья 2. Меры, принимаемые парламентом в целях ликвидации дискриминации в отношении женщин</w:t>
        </w:r>
        <w:r>
          <w:tab/>
        </w:r>
        <w:r>
          <w:fldChar w:fldCharType="begin"/>
        </w:r>
        <w:r>
          <w:instrText xml:space="preserve"> PAGEREF _Toc44115972 \h </w:instrText>
        </w:r>
        <w:r>
          <w:fldChar w:fldCharType="separate"/>
        </w:r>
        <w:r>
          <w:t>74</w:t>
        </w:r>
        <w:r>
          <w:fldChar w:fldCharType="end"/>
        </w:r>
      </w:hyperlink>
    </w:p>
    <w:p w:rsidR="00000000" w:rsidRDefault="00000000">
      <w:pPr>
        <w:pStyle w:val="TOC2"/>
        <w:rPr>
          <w:spacing w:val="0"/>
          <w:w w:val="100"/>
          <w:kern w:val="0"/>
          <w:sz w:val="24"/>
        </w:rPr>
      </w:pPr>
      <w:hyperlink w:anchor="_Toc44115973" w:history="1">
        <w:r>
          <w:rPr>
            <w:rStyle w:val="Hyperlink"/>
          </w:rPr>
          <w:t xml:space="preserve">2.1. </w:t>
        </w:r>
        <w:r>
          <w:rPr>
            <w:spacing w:val="0"/>
            <w:w w:val="100"/>
            <w:kern w:val="0"/>
            <w:sz w:val="24"/>
          </w:rPr>
          <w:tab/>
        </w:r>
        <w:r>
          <w:rPr>
            <w:rStyle w:val="Hyperlink"/>
          </w:rPr>
          <w:t>Конституция</w:t>
        </w:r>
        <w:r>
          <w:tab/>
        </w:r>
        <w:r>
          <w:fldChar w:fldCharType="begin"/>
        </w:r>
        <w:r>
          <w:instrText xml:space="preserve"> PAGEREF _Toc44115973 \h </w:instrText>
        </w:r>
        <w:r>
          <w:fldChar w:fldCharType="separate"/>
        </w:r>
        <w:r>
          <w:t>74</w:t>
        </w:r>
        <w:r>
          <w:fldChar w:fldCharType="end"/>
        </w:r>
      </w:hyperlink>
    </w:p>
    <w:p w:rsidR="00000000" w:rsidRDefault="00000000">
      <w:pPr>
        <w:pStyle w:val="TOC2"/>
        <w:rPr>
          <w:spacing w:val="0"/>
          <w:w w:val="100"/>
          <w:kern w:val="0"/>
          <w:sz w:val="24"/>
        </w:rPr>
      </w:pPr>
      <w:hyperlink w:anchor="_Toc44115974" w:history="1">
        <w:r>
          <w:rPr>
            <w:rStyle w:val="Hyperlink"/>
          </w:rPr>
          <w:t xml:space="preserve">2.2. </w:t>
        </w:r>
        <w:r>
          <w:rPr>
            <w:spacing w:val="0"/>
            <w:w w:val="100"/>
            <w:kern w:val="0"/>
            <w:sz w:val="24"/>
          </w:rPr>
          <w:tab/>
        </w:r>
        <w:r>
          <w:rPr>
            <w:rStyle w:val="Hyperlink"/>
          </w:rPr>
          <w:t>Закон о равенстве и Закон об улучшении положения женщин</w:t>
        </w:r>
        <w:r>
          <w:tab/>
        </w:r>
        <w:r>
          <w:fldChar w:fldCharType="begin"/>
        </w:r>
        <w:r>
          <w:instrText xml:space="preserve"> PAGEREF _Toc44115974 \h </w:instrText>
        </w:r>
        <w:r>
          <w:fldChar w:fldCharType="separate"/>
        </w:r>
        <w:r>
          <w:t>74</w:t>
        </w:r>
        <w:r>
          <w:fldChar w:fldCharType="end"/>
        </w:r>
      </w:hyperlink>
    </w:p>
    <w:p w:rsidR="00000000" w:rsidRDefault="00000000">
      <w:pPr>
        <w:pStyle w:val="TOC2"/>
        <w:rPr>
          <w:spacing w:val="0"/>
          <w:w w:val="100"/>
          <w:kern w:val="0"/>
          <w:sz w:val="24"/>
        </w:rPr>
      </w:pPr>
      <w:hyperlink w:anchor="_Toc44115975" w:history="1">
        <w:r>
          <w:rPr>
            <w:rStyle w:val="Hyperlink"/>
          </w:rPr>
          <w:t>2.3.</w:t>
        </w:r>
        <w:r>
          <w:rPr>
            <w:spacing w:val="0"/>
            <w:w w:val="100"/>
            <w:kern w:val="0"/>
            <w:sz w:val="24"/>
          </w:rPr>
          <w:tab/>
        </w:r>
        <w:r>
          <w:rPr>
            <w:rStyle w:val="Hyperlink"/>
          </w:rPr>
          <w:t xml:space="preserve">Закон о внесении поправок в </w:t>
        </w:r>
        <w:r>
          <w:rPr>
            <w:rStyle w:val="Hyperlink"/>
            <w:caps/>
          </w:rPr>
          <w:t>з</w:t>
        </w:r>
        <w:r>
          <w:rPr>
            <w:rStyle w:val="Hyperlink"/>
          </w:rPr>
          <w:t>акон об оказании помощи беременным женщинам и семьям</w:t>
        </w:r>
        <w:r>
          <w:tab/>
        </w:r>
        <w:r>
          <w:fldChar w:fldCharType="begin"/>
        </w:r>
        <w:r>
          <w:instrText xml:space="preserve"> PAGEREF _Toc44115975 \h </w:instrText>
        </w:r>
        <w:r>
          <w:fldChar w:fldCharType="separate"/>
        </w:r>
        <w:r>
          <w:t>75</w:t>
        </w:r>
        <w:r>
          <w:fldChar w:fldCharType="end"/>
        </w:r>
      </w:hyperlink>
    </w:p>
    <w:p w:rsidR="00000000" w:rsidRDefault="00000000">
      <w:pPr>
        <w:pStyle w:val="TOC2"/>
        <w:rPr>
          <w:spacing w:val="0"/>
          <w:w w:val="100"/>
          <w:kern w:val="0"/>
          <w:sz w:val="24"/>
        </w:rPr>
      </w:pPr>
      <w:hyperlink w:anchor="_Toc44115976" w:history="1">
        <w:r>
          <w:rPr>
            <w:rStyle w:val="Hyperlink"/>
          </w:rPr>
          <w:t>2.4</w:t>
        </w:r>
        <w:r>
          <w:rPr>
            <w:spacing w:val="0"/>
            <w:w w:val="100"/>
            <w:kern w:val="0"/>
            <w:sz w:val="24"/>
          </w:rPr>
          <w:tab/>
        </w:r>
        <w:r>
          <w:rPr>
            <w:rStyle w:val="Hyperlink"/>
          </w:rPr>
          <w:t>Прочие законы</w:t>
        </w:r>
        <w:r>
          <w:tab/>
        </w:r>
        <w:r>
          <w:fldChar w:fldCharType="begin"/>
        </w:r>
        <w:r>
          <w:instrText xml:space="preserve"> PAGEREF _Toc44115976 \h </w:instrText>
        </w:r>
        <w:r>
          <w:fldChar w:fldCharType="separate"/>
        </w:r>
        <w:r>
          <w:t>76</w:t>
        </w:r>
        <w:r>
          <w:fldChar w:fldCharType="end"/>
        </w:r>
      </w:hyperlink>
    </w:p>
    <w:p w:rsidR="00000000" w:rsidRDefault="00000000">
      <w:pPr>
        <w:pStyle w:val="TOC1"/>
        <w:rPr>
          <w:spacing w:val="0"/>
          <w:w w:val="100"/>
          <w:kern w:val="0"/>
          <w:sz w:val="24"/>
        </w:rPr>
      </w:pPr>
      <w:hyperlink w:anchor="_Toc44115977" w:history="1">
        <w:r>
          <w:rPr>
            <w:rStyle w:val="Hyperlink"/>
          </w:rPr>
          <w:t xml:space="preserve">3. </w:t>
        </w:r>
        <w:r>
          <w:rPr>
            <w:spacing w:val="0"/>
            <w:w w:val="100"/>
            <w:kern w:val="0"/>
            <w:sz w:val="24"/>
          </w:rPr>
          <w:tab/>
        </w:r>
        <w:r>
          <w:rPr>
            <w:rStyle w:val="Hyperlink"/>
          </w:rPr>
          <w:t>Статья 3. Меры, нацеленные на поощрение всестороннего развития женщин и на его охрану</w:t>
        </w:r>
        <w:r>
          <w:tab/>
        </w:r>
        <w:r>
          <w:fldChar w:fldCharType="begin"/>
        </w:r>
        <w:r>
          <w:instrText xml:space="preserve"> PAGEREF _Toc44115977 \h </w:instrText>
        </w:r>
        <w:r>
          <w:fldChar w:fldCharType="separate"/>
        </w:r>
        <w:r>
          <w:t>76</w:t>
        </w:r>
        <w:r>
          <w:fldChar w:fldCharType="end"/>
        </w:r>
      </w:hyperlink>
    </w:p>
    <w:p w:rsidR="00000000" w:rsidRDefault="00000000">
      <w:pPr>
        <w:pStyle w:val="TOC1"/>
        <w:rPr>
          <w:spacing w:val="0"/>
          <w:w w:val="100"/>
          <w:kern w:val="0"/>
          <w:sz w:val="24"/>
        </w:rPr>
      </w:pPr>
      <w:hyperlink w:anchor="_Toc44115978" w:history="1">
        <w:r>
          <w:rPr>
            <w:rStyle w:val="Hyperlink"/>
          </w:rPr>
          <w:t>4.</w:t>
        </w:r>
        <w:r>
          <w:rPr>
            <w:spacing w:val="0"/>
            <w:w w:val="100"/>
            <w:kern w:val="0"/>
            <w:sz w:val="24"/>
          </w:rPr>
          <w:tab/>
        </w:r>
        <w:r>
          <w:rPr>
            <w:rStyle w:val="Hyperlink"/>
          </w:rPr>
          <w:t>Статья 4. Специальные меры в соответствии со статьей 4.</w:t>
        </w:r>
        <w:r>
          <w:tab/>
        </w:r>
        <w:r>
          <w:fldChar w:fldCharType="begin"/>
        </w:r>
        <w:r>
          <w:instrText xml:space="preserve"> PAGEREF _Toc44115978 \h </w:instrText>
        </w:r>
        <w:r>
          <w:fldChar w:fldCharType="separate"/>
        </w:r>
        <w:r>
          <w:t>76</w:t>
        </w:r>
        <w:r>
          <w:fldChar w:fldCharType="end"/>
        </w:r>
      </w:hyperlink>
    </w:p>
    <w:p w:rsidR="00000000" w:rsidRDefault="00000000">
      <w:pPr>
        <w:pStyle w:val="TOC1"/>
        <w:rPr>
          <w:spacing w:val="0"/>
          <w:w w:val="100"/>
          <w:kern w:val="0"/>
          <w:sz w:val="24"/>
        </w:rPr>
      </w:pPr>
      <w:hyperlink w:anchor="_Toc44115979" w:history="1">
        <w:r>
          <w:rPr>
            <w:rStyle w:val="Hyperlink"/>
          </w:rPr>
          <w:t xml:space="preserve">5. </w:t>
        </w:r>
        <w:r>
          <w:rPr>
            <w:spacing w:val="0"/>
            <w:w w:val="100"/>
            <w:kern w:val="0"/>
            <w:sz w:val="24"/>
          </w:rPr>
          <w:tab/>
        </w:r>
        <w:r>
          <w:rPr>
            <w:rStyle w:val="Hyperlink"/>
          </w:rPr>
          <w:t>Статья 5. Ликвидация ролевых стереотипов и поощрение общей ответственности женщин и мужчин за воспитание и развитие своих детей</w:t>
        </w:r>
        <w:r>
          <w:tab/>
        </w:r>
        <w:r>
          <w:fldChar w:fldCharType="begin"/>
        </w:r>
        <w:r>
          <w:instrText xml:space="preserve"> PAGEREF _Toc44115979 \h </w:instrText>
        </w:r>
        <w:r>
          <w:fldChar w:fldCharType="separate"/>
        </w:r>
        <w:r>
          <w:t>77</w:t>
        </w:r>
        <w:r>
          <w:fldChar w:fldCharType="end"/>
        </w:r>
      </w:hyperlink>
    </w:p>
    <w:p w:rsidR="00000000" w:rsidRDefault="00000000">
      <w:pPr>
        <w:pStyle w:val="TOC2"/>
        <w:rPr>
          <w:spacing w:val="0"/>
          <w:w w:val="100"/>
          <w:kern w:val="0"/>
          <w:sz w:val="24"/>
        </w:rPr>
      </w:pPr>
      <w:hyperlink w:anchor="_Toc44115980" w:history="1">
        <w:r>
          <w:rPr>
            <w:rStyle w:val="Hyperlink"/>
          </w:rPr>
          <w:t>5.1</w:t>
        </w:r>
        <w:r>
          <w:rPr>
            <w:spacing w:val="0"/>
            <w:w w:val="100"/>
            <w:kern w:val="0"/>
            <w:sz w:val="24"/>
          </w:rPr>
          <w:tab/>
        </w:r>
        <w:r>
          <w:rPr>
            <w:rStyle w:val="Hyperlink"/>
          </w:rPr>
          <w:t>Сбалансированное сочетание семейной и трудовой жизни</w:t>
        </w:r>
        <w:r>
          <w:tab/>
        </w:r>
        <w:r>
          <w:fldChar w:fldCharType="begin"/>
        </w:r>
        <w:r>
          <w:instrText xml:space="preserve"> PAGEREF _Toc44115980 \h </w:instrText>
        </w:r>
        <w:r>
          <w:fldChar w:fldCharType="separate"/>
        </w:r>
        <w:r>
          <w:t>78</w:t>
        </w:r>
        <w:r>
          <w:fldChar w:fldCharType="end"/>
        </w:r>
      </w:hyperlink>
    </w:p>
    <w:p w:rsidR="00000000" w:rsidRDefault="00000000">
      <w:pPr>
        <w:pStyle w:val="TOC2"/>
        <w:rPr>
          <w:spacing w:val="0"/>
          <w:w w:val="100"/>
          <w:kern w:val="0"/>
          <w:sz w:val="24"/>
        </w:rPr>
      </w:pPr>
      <w:hyperlink w:anchor="_Toc44115981" w:history="1">
        <w:r>
          <w:rPr>
            <w:rStyle w:val="Hyperlink"/>
          </w:rPr>
          <w:t>5.2</w:t>
        </w:r>
        <w:r>
          <w:rPr>
            <w:spacing w:val="0"/>
            <w:w w:val="100"/>
            <w:kern w:val="0"/>
            <w:sz w:val="24"/>
          </w:rPr>
          <w:tab/>
        </w:r>
        <w:r>
          <w:rPr>
            <w:rStyle w:val="Hyperlink"/>
          </w:rPr>
          <w:t>Новые представления об отцовстве</w:t>
        </w:r>
        <w:r>
          <w:tab/>
        </w:r>
        <w:r>
          <w:fldChar w:fldCharType="begin"/>
        </w:r>
        <w:r>
          <w:instrText xml:space="preserve"> PAGEREF _Toc44115981 \h </w:instrText>
        </w:r>
        <w:r>
          <w:fldChar w:fldCharType="separate"/>
        </w:r>
        <w:r>
          <w:t>78</w:t>
        </w:r>
        <w:r>
          <w:fldChar w:fldCharType="end"/>
        </w:r>
      </w:hyperlink>
    </w:p>
    <w:p w:rsidR="00000000" w:rsidRDefault="00000000">
      <w:pPr>
        <w:pStyle w:val="TOC2"/>
        <w:rPr>
          <w:spacing w:val="0"/>
          <w:w w:val="100"/>
          <w:kern w:val="0"/>
          <w:sz w:val="24"/>
        </w:rPr>
      </w:pPr>
      <w:hyperlink w:anchor="_Toc44115982" w:history="1">
        <w:r>
          <w:rPr>
            <w:rStyle w:val="Hyperlink"/>
          </w:rPr>
          <w:t>5.3 </w:t>
        </w:r>
        <w:r>
          <w:rPr>
            <w:spacing w:val="0"/>
            <w:w w:val="100"/>
            <w:kern w:val="0"/>
            <w:sz w:val="24"/>
          </w:rPr>
          <w:tab/>
        </w:r>
        <w:r>
          <w:rPr>
            <w:rStyle w:val="Hyperlink"/>
          </w:rPr>
          <w:t>Борьба с насилием в отношении женщин</w:t>
        </w:r>
        <w:r>
          <w:tab/>
        </w:r>
        <w:r>
          <w:fldChar w:fldCharType="begin"/>
        </w:r>
        <w:r>
          <w:instrText xml:space="preserve"> PAGEREF _Toc44115982 \h </w:instrText>
        </w:r>
        <w:r>
          <w:fldChar w:fldCharType="separate"/>
        </w:r>
        <w:r>
          <w:t>79</w:t>
        </w:r>
        <w:r>
          <w:fldChar w:fldCharType="end"/>
        </w:r>
      </w:hyperlink>
    </w:p>
    <w:p w:rsidR="00000000" w:rsidRDefault="00000000">
      <w:pPr>
        <w:pStyle w:val="TOC3"/>
        <w:rPr>
          <w:spacing w:val="0"/>
          <w:w w:val="100"/>
          <w:kern w:val="0"/>
          <w:sz w:val="24"/>
        </w:rPr>
      </w:pPr>
      <w:hyperlink w:anchor="_Toc44115983" w:history="1">
        <w:r>
          <w:rPr>
            <w:rStyle w:val="Hyperlink"/>
          </w:rPr>
          <w:t>5.3.1</w:t>
        </w:r>
        <w:r>
          <w:rPr>
            <w:spacing w:val="0"/>
            <w:w w:val="100"/>
            <w:kern w:val="0"/>
            <w:sz w:val="24"/>
          </w:rPr>
          <w:tab/>
        </w:r>
        <w:r>
          <w:rPr>
            <w:rStyle w:val="Hyperlink"/>
          </w:rPr>
          <w:t>План действий федерального правительства</w:t>
        </w:r>
        <w:r>
          <w:tab/>
        </w:r>
        <w:r>
          <w:fldChar w:fldCharType="begin"/>
        </w:r>
        <w:r>
          <w:instrText xml:space="preserve"> PAGEREF _Toc44115983 \h </w:instrText>
        </w:r>
        <w:r>
          <w:fldChar w:fldCharType="separate"/>
        </w:r>
        <w:r>
          <w:t>79</w:t>
        </w:r>
        <w:r>
          <w:fldChar w:fldCharType="end"/>
        </w:r>
      </w:hyperlink>
    </w:p>
    <w:p w:rsidR="00000000" w:rsidRDefault="00000000">
      <w:pPr>
        <w:pStyle w:val="TOC3"/>
        <w:rPr>
          <w:spacing w:val="0"/>
          <w:w w:val="100"/>
          <w:kern w:val="0"/>
          <w:sz w:val="24"/>
        </w:rPr>
      </w:pPr>
      <w:hyperlink w:anchor="_Toc44115984" w:history="1">
        <w:r>
          <w:rPr>
            <w:rStyle w:val="Hyperlink"/>
          </w:rPr>
          <w:t>5.3.2</w:t>
        </w:r>
        <w:r>
          <w:rPr>
            <w:spacing w:val="0"/>
            <w:w w:val="100"/>
            <w:kern w:val="0"/>
            <w:sz w:val="24"/>
          </w:rPr>
          <w:tab/>
        </w:r>
        <w:r>
          <w:rPr>
            <w:rStyle w:val="Hyperlink"/>
          </w:rPr>
          <w:t>Законодательные меры</w:t>
        </w:r>
        <w:r>
          <w:tab/>
        </w:r>
        <w:r>
          <w:fldChar w:fldCharType="begin"/>
        </w:r>
        <w:r>
          <w:instrText xml:space="preserve"> PAGEREF _Toc44115984 \h </w:instrText>
        </w:r>
        <w:r>
          <w:fldChar w:fldCharType="separate"/>
        </w:r>
        <w:r>
          <w:t>80</w:t>
        </w:r>
        <w:r>
          <w:fldChar w:fldCharType="end"/>
        </w:r>
      </w:hyperlink>
    </w:p>
    <w:p w:rsidR="00000000" w:rsidRDefault="00000000">
      <w:pPr>
        <w:pStyle w:val="TOC3"/>
        <w:rPr>
          <w:spacing w:val="0"/>
          <w:w w:val="100"/>
          <w:kern w:val="0"/>
          <w:sz w:val="24"/>
        </w:rPr>
      </w:pPr>
      <w:hyperlink w:anchor="_Toc44115985" w:history="1">
        <w:r>
          <w:rPr>
            <w:rStyle w:val="Hyperlink"/>
          </w:rPr>
          <w:t>5.3.3</w:t>
        </w:r>
        <w:r>
          <w:rPr>
            <w:spacing w:val="0"/>
            <w:w w:val="100"/>
            <w:kern w:val="0"/>
            <w:sz w:val="24"/>
          </w:rPr>
          <w:tab/>
        </w:r>
        <w:r>
          <w:rPr>
            <w:rStyle w:val="Hyperlink"/>
          </w:rPr>
          <w:t>Меры, не относящиеся к числу законодательных</w:t>
        </w:r>
        <w:r>
          <w:tab/>
        </w:r>
        <w:r>
          <w:fldChar w:fldCharType="begin"/>
        </w:r>
        <w:r>
          <w:instrText xml:space="preserve"> PAGEREF _Toc44115985 \h </w:instrText>
        </w:r>
        <w:r>
          <w:fldChar w:fldCharType="separate"/>
        </w:r>
        <w:r>
          <w:t>83</w:t>
        </w:r>
        <w:r>
          <w:fldChar w:fldCharType="end"/>
        </w:r>
      </w:hyperlink>
    </w:p>
    <w:p w:rsidR="00000000" w:rsidRDefault="00000000">
      <w:pPr>
        <w:pStyle w:val="TOC3"/>
        <w:rPr>
          <w:spacing w:val="0"/>
          <w:w w:val="100"/>
          <w:kern w:val="0"/>
          <w:sz w:val="24"/>
        </w:rPr>
      </w:pPr>
      <w:hyperlink w:anchor="_Toc44115986" w:history="1">
        <w:r>
          <w:rPr>
            <w:rStyle w:val="Hyperlink"/>
          </w:rPr>
          <w:t>5.3.4</w:t>
        </w:r>
        <w:r>
          <w:rPr>
            <w:spacing w:val="0"/>
            <w:w w:val="100"/>
            <w:kern w:val="0"/>
            <w:sz w:val="24"/>
          </w:rPr>
          <w:tab/>
        </w:r>
        <w:r>
          <w:rPr>
            <w:rStyle w:val="Hyperlink"/>
          </w:rPr>
          <w:t>Профилактика и пресечение сексуального насилия над детьми и подростками</w:t>
        </w:r>
        <w:r>
          <w:tab/>
        </w:r>
        <w:r>
          <w:fldChar w:fldCharType="begin"/>
        </w:r>
        <w:r>
          <w:instrText xml:space="preserve"> PAGEREF _Toc44115986 \h </w:instrText>
        </w:r>
        <w:r>
          <w:fldChar w:fldCharType="separate"/>
        </w:r>
        <w:r>
          <w:t>85</w:t>
        </w:r>
        <w:r>
          <w:fldChar w:fldCharType="end"/>
        </w:r>
      </w:hyperlink>
    </w:p>
    <w:p w:rsidR="00000000" w:rsidRDefault="00000000">
      <w:pPr>
        <w:pStyle w:val="TOC1"/>
        <w:rPr>
          <w:spacing w:val="0"/>
          <w:w w:val="100"/>
          <w:kern w:val="0"/>
          <w:sz w:val="24"/>
        </w:rPr>
      </w:pPr>
      <w:hyperlink w:anchor="_Toc44115987" w:history="1">
        <w:r>
          <w:rPr>
            <w:rStyle w:val="Hyperlink"/>
          </w:rPr>
          <w:t>6.</w:t>
        </w:r>
        <w:r>
          <w:rPr>
            <w:spacing w:val="0"/>
            <w:w w:val="100"/>
            <w:kern w:val="0"/>
            <w:sz w:val="24"/>
          </w:rPr>
          <w:tab/>
        </w:r>
        <w:r>
          <w:rPr>
            <w:rStyle w:val="Hyperlink"/>
          </w:rPr>
          <w:t xml:space="preserve">Статья 6: </w:t>
        </w:r>
        <w:r>
          <w:rPr>
            <w:rStyle w:val="Hyperlink"/>
            <w:caps/>
          </w:rPr>
          <w:t>п</w:t>
        </w:r>
        <w:r>
          <w:rPr>
            <w:rStyle w:val="Hyperlink"/>
          </w:rPr>
          <w:t>ресечение торговли женщинами и эксплуатации проституции женщин</w:t>
        </w:r>
        <w:r>
          <w:tab/>
        </w:r>
        <w:r>
          <w:fldChar w:fldCharType="begin"/>
        </w:r>
        <w:r>
          <w:instrText xml:space="preserve"> PAGEREF _Toc44115987 \h </w:instrText>
        </w:r>
        <w:r>
          <w:fldChar w:fldCharType="separate"/>
        </w:r>
        <w:r>
          <w:t>90</w:t>
        </w:r>
        <w:r>
          <w:fldChar w:fldCharType="end"/>
        </w:r>
      </w:hyperlink>
    </w:p>
    <w:p w:rsidR="00000000" w:rsidRDefault="00000000">
      <w:pPr>
        <w:pStyle w:val="TOC2"/>
        <w:rPr>
          <w:spacing w:val="0"/>
          <w:w w:val="100"/>
          <w:kern w:val="0"/>
          <w:sz w:val="24"/>
        </w:rPr>
      </w:pPr>
      <w:hyperlink w:anchor="_Toc44115988" w:history="1">
        <w:r>
          <w:rPr>
            <w:rStyle w:val="Hyperlink"/>
          </w:rPr>
          <w:t>6.1</w:t>
        </w:r>
        <w:r>
          <w:rPr>
            <w:spacing w:val="0"/>
            <w:w w:val="100"/>
            <w:kern w:val="0"/>
            <w:sz w:val="24"/>
          </w:rPr>
          <w:tab/>
        </w:r>
        <w:r>
          <w:rPr>
            <w:rStyle w:val="Hyperlink"/>
          </w:rPr>
          <w:t>Меры по борьбе с торговлей детьми и женщинами, детской порнографией и сексуальным туризмом</w:t>
        </w:r>
        <w:r>
          <w:tab/>
        </w:r>
        <w:r>
          <w:fldChar w:fldCharType="begin"/>
        </w:r>
        <w:r>
          <w:instrText xml:space="preserve"> PAGEREF _Toc44115988 \h </w:instrText>
        </w:r>
        <w:r>
          <w:fldChar w:fldCharType="separate"/>
        </w:r>
        <w:r>
          <w:t>91</w:t>
        </w:r>
        <w:r>
          <w:fldChar w:fldCharType="end"/>
        </w:r>
      </w:hyperlink>
    </w:p>
    <w:p w:rsidR="00000000" w:rsidRDefault="00000000">
      <w:pPr>
        <w:pStyle w:val="TOC2"/>
        <w:rPr>
          <w:spacing w:val="0"/>
          <w:w w:val="100"/>
          <w:kern w:val="0"/>
          <w:sz w:val="24"/>
        </w:rPr>
      </w:pPr>
      <w:hyperlink w:anchor="_Toc44115989" w:history="1">
        <w:r>
          <w:rPr>
            <w:rStyle w:val="Hyperlink"/>
          </w:rPr>
          <w:t>6.2 </w:t>
        </w:r>
        <w:r>
          <w:rPr>
            <w:spacing w:val="0"/>
            <w:w w:val="100"/>
            <w:kern w:val="0"/>
            <w:sz w:val="24"/>
          </w:rPr>
          <w:tab/>
        </w:r>
        <w:r>
          <w:rPr>
            <w:rStyle w:val="Hyperlink"/>
          </w:rPr>
          <w:t>Создание рабочей группы по борьбе с торговлей женщинами</w:t>
        </w:r>
        <w:r>
          <w:tab/>
        </w:r>
        <w:r>
          <w:fldChar w:fldCharType="begin"/>
        </w:r>
        <w:r>
          <w:instrText xml:space="preserve"> PAGEREF _Toc44115989 \h </w:instrText>
        </w:r>
        <w:r>
          <w:fldChar w:fldCharType="separate"/>
        </w:r>
        <w:r>
          <w:t>92</w:t>
        </w:r>
        <w:r>
          <w:fldChar w:fldCharType="end"/>
        </w:r>
      </w:hyperlink>
    </w:p>
    <w:p w:rsidR="00000000" w:rsidRDefault="00000000">
      <w:pPr>
        <w:pStyle w:val="TOC2"/>
        <w:rPr>
          <w:spacing w:val="0"/>
          <w:w w:val="100"/>
          <w:kern w:val="0"/>
          <w:sz w:val="24"/>
        </w:rPr>
      </w:pPr>
      <w:hyperlink w:anchor="_Toc44115990" w:history="1">
        <w:r>
          <w:rPr>
            <w:rStyle w:val="Hyperlink"/>
          </w:rPr>
          <w:t>6.3 </w:t>
        </w:r>
        <w:r>
          <w:rPr>
            <w:spacing w:val="0"/>
            <w:w w:val="100"/>
            <w:kern w:val="0"/>
            <w:sz w:val="24"/>
          </w:rPr>
          <w:tab/>
        </w:r>
        <w:r>
          <w:rPr>
            <w:rStyle w:val="Hyperlink"/>
          </w:rPr>
          <w:t>Дальнейшие меры по борьбе с торговлей женщинами</w:t>
        </w:r>
        <w:r>
          <w:tab/>
        </w:r>
        <w:r>
          <w:fldChar w:fldCharType="begin"/>
        </w:r>
        <w:r>
          <w:instrText xml:space="preserve"> PAGEREF _Toc44115990 \h </w:instrText>
        </w:r>
        <w:r>
          <w:fldChar w:fldCharType="separate"/>
        </w:r>
        <w:r>
          <w:t>93</w:t>
        </w:r>
        <w:r>
          <w:fldChar w:fldCharType="end"/>
        </w:r>
      </w:hyperlink>
    </w:p>
    <w:p w:rsidR="00000000" w:rsidRDefault="00000000">
      <w:pPr>
        <w:pStyle w:val="TOC2"/>
        <w:rPr>
          <w:spacing w:val="0"/>
          <w:w w:val="100"/>
          <w:kern w:val="0"/>
          <w:sz w:val="24"/>
        </w:rPr>
      </w:pPr>
      <w:hyperlink w:anchor="_Toc44115991" w:history="1">
        <w:r>
          <w:rPr>
            <w:rStyle w:val="Hyperlink"/>
          </w:rPr>
          <w:t>6.4 </w:t>
        </w:r>
        <w:r>
          <w:rPr>
            <w:spacing w:val="0"/>
            <w:w w:val="100"/>
            <w:kern w:val="0"/>
            <w:sz w:val="24"/>
          </w:rPr>
          <w:tab/>
        </w:r>
        <w:r>
          <w:rPr>
            <w:rStyle w:val="Hyperlink"/>
          </w:rPr>
          <w:t>Порядок расследования дел германских граждан, подозреваемых в совершении сексуальных злоупотреблений за рубежом</w:t>
        </w:r>
        <w:r>
          <w:tab/>
        </w:r>
        <w:r>
          <w:fldChar w:fldCharType="begin"/>
        </w:r>
        <w:r>
          <w:instrText xml:space="preserve"> PAGEREF _Toc44115991 \h </w:instrText>
        </w:r>
        <w:r>
          <w:fldChar w:fldCharType="separate"/>
        </w:r>
        <w:r>
          <w:t>94</w:t>
        </w:r>
        <w:r>
          <w:fldChar w:fldCharType="end"/>
        </w:r>
      </w:hyperlink>
    </w:p>
    <w:p w:rsidR="00000000" w:rsidRDefault="00000000">
      <w:pPr>
        <w:pStyle w:val="TOC2"/>
        <w:rPr>
          <w:spacing w:val="0"/>
          <w:w w:val="100"/>
          <w:kern w:val="0"/>
          <w:sz w:val="24"/>
        </w:rPr>
      </w:pPr>
      <w:hyperlink w:anchor="_Toc44115992" w:history="1">
        <w:r>
          <w:rPr>
            <w:rStyle w:val="Hyperlink"/>
          </w:rPr>
          <w:t>6.5 </w:t>
        </w:r>
        <w:r>
          <w:rPr>
            <w:spacing w:val="0"/>
            <w:w w:val="100"/>
            <w:kern w:val="0"/>
            <w:sz w:val="24"/>
          </w:rPr>
          <w:tab/>
        </w:r>
        <w:r>
          <w:rPr>
            <w:rStyle w:val="Hyperlink"/>
          </w:rPr>
          <w:t>Меры, предусмотренные законодательством</w:t>
        </w:r>
        <w:r>
          <w:tab/>
        </w:r>
        <w:r>
          <w:fldChar w:fldCharType="begin"/>
        </w:r>
        <w:r>
          <w:instrText xml:space="preserve"> PAGEREF _Toc44115992 \h </w:instrText>
        </w:r>
        <w:r>
          <w:fldChar w:fldCharType="separate"/>
        </w:r>
        <w:r>
          <w:t>95</w:t>
        </w:r>
        <w:r>
          <w:fldChar w:fldCharType="end"/>
        </w:r>
      </w:hyperlink>
    </w:p>
    <w:p w:rsidR="00000000" w:rsidRDefault="00000000">
      <w:pPr>
        <w:pStyle w:val="TOC1"/>
        <w:rPr>
          <w:spacing w:val="0"/>
          <w:w w:val="100"/>
          <w:kern w:val="0"/>
          <w:sz w:val="24"/>
        </w:rPr>
      </w:pPr>
      <w:hyperlink w:anchor="_Toc44115993" w:history="1">
        <w:r>
          <w:rPr>
            <w:rStyle w:val="Hyperlink"/>
          </w:rPr>
          <w:t>7.</w:t>
        </w:r>
        <w:r>
          <w:rPr>
            <w:spacing w:val="0"/>
            <w:w w:val="100"/>
            <w:kern w:val="0"/>
            <w:sz w:val="24"/>
          </w:rPr>
          <w:tab/>
        </w:r>
        <w:r>
          <w:rPr>
            <w:rStyle w:val="Hyperlink"/>
          </w:rPr>
          <w:t>Статья 7: Участие женщин в политической и общественной жизни</w:t>
        </w:r>
        <w:r>
          <w:tab/>
        </w:r>
        <w:r>
          <w:fldChar w:fldCharType="begin"/>
        </w:r>
        <w:r>
          <w:instrText xml:space="preserve"> PAGEREF _Toc44115993 \h </w:instrText>
        </w:r>
        <w:r>
          <w:fldChar w:fldCharType="separate"/>
        </w:r>
        <w:r>
          <w:t>96</w:t>
        </w:r>
        <w:r>
          <w:fldChar w:fldCharType="end"/>
        </w:r>
      </w:hyperlink>
    </w:p>
    <w:p w:rsidR="00000000" w:rsidRDefault="00000000">
      <w:pPr>
        <w:pStyle w:val="TOC2"/>
        <w:rPr>
          <w:spacing w:val="0"/>
          <w:w w:val="100"/>
          <w:kern w:val="0"/>
          <w:sz w:val="24"/>
        </w:rPr>
      </w:pPr>
      <w:hyperlink w:anchor="_Toc44115994" w:history="1">
        <w:r>
          <w:rPr>
            <w:rStyle w:val="Hyperlink"/>
          </w:rPr>
          <w:t>7.1 </w:t>
        </w:r>
        <w:r>
          <w:rPr>
            <w:spacing w:val="0"/>
            <w:w w:val="100"/>
            <w:kern w:val="0"/>
            <w:sz w:val="24"/>
          </w:rPr>
          <w:tab/>
        </w:r>
        <w:r>
          <w:rPr>
            <w:rStyle w:val="Hyperlink"/>
          </w:rPr>
          <w:t>Федеральный закон о назначениях в органы власти (Bundesgremienbesetzungsgesetz)</w:t>
        </w:r>
        <w:r>
          <w:tab/>
        </w:r>
        <w:r>
          <w:fldChar w:fldCharType="begin"/>
        </w:r>
        <w:r>
          <w:instrText xml:space="preserve"> PAGEREF _Toc44115994 \h </w:instrText>
        </w:r>
        <w:r>
          <w:fldChar w:fldCharType="separate"/>
        </w:r>
        <w:r>
          <w:t>96</w:t>
        </w:r>
        <w:r>
          <w:fldChar w:fldCharType="end"/>
        </w:r>
      </w:hyperlink>
    </w:p>
    <w:p w:rsidR="00000000" w:rsidRDefault="00000000">
      <w:pPr>
        <w:pStyle w:val="TOC2"/>
        <w:rPr>
          <w:spacing w:val="0"/>
          <w:w w:val="100"/>
          <w:kern w:val="0"/>
          <w:sz w:val="24"/>
        </w:rPr>
      </w:pPr>
      <w:hyperlink w:anchor="_Toc44115995" w:history="1">
        <w:r>
          <w:rPr>
            <w:rStyle w:val="Hyperlink"/>
          </w:rPr>
          <w:t>7.2 </w:t>
        </w:r>
        <w:r>
          <w:rPr>
            <w:spacing w:val="0"/>
            <w:w w:val="100"/>
            <w:kern w:val="0"/>
            <w:sz w:val="24"/>
          </w:rPr>
          <w:tab/>
        </w:r>
        <w:r>
          <w:rPr>
            <w:rStyle w:val="Hyperlink"/>
            <w:caps/>
          </w:rPr>
          <w:t>п</w:t>
        </w:r>
        <w:r>
          <w:rPr>
            <w:rStyle w:val="Hyperlink"/>
          </w:rPr>
          <w:t>рограммы действий ЕС по обеспечению равноправия между мужчинами и женщинами</w:t>
        </w:r>
        <w:r>
          <w:tab/>
        </w:r>
        <w:r>
          <w:fldChar w:fldCharType="begin"/>
        </w:r>
        <w:r>
          <w:instrText xml:space="preserve"> PAGEREF _Toc44115995 \h </w:instrText>
        </w:r>
        <w:r>
          <w:fldChar w:fldCharType="separate"/>
        </w:r>
        <w:r>
          <w:t>98</w:t>
        </w:r>
        <w:r>
          <w:fldChar w:fldCharType="end"/>
        </w:r>
      </w:hyperlink>
    </w:p>
    <w:p w:rsidR="00000000" w:rsidRDefault="00000000">
      <w:pPr>
        <w:pStyle w:val="TOC2"/>
        <w:rPr>
          <w:spacing w:val="0"/>
          <w:w w:val="100"/>
          <w:kern w:val="0"/>
          <w:sz w:val="24"/>
        </w:rPr>
      </w:pPr>
      <w:hyperlink w:anchor="_Toc44115996" w:history="1">
        <w:r>
          <w:rPr>
            <w:rStyle w:val="Hyperlink"/>
          </w:rPr>
          <w:t>7.3 </w:t>
        </w:r>
        <w:r>
          <w:rPr>
            <w:spacing w:val="0"/>
            <w:w w:val="100"/>
            <w:kern w:val="0"/>
            <w:sz w:val="24"/>
          </w:rPr>
          <w:tab/>
        </w:r>
        <w:r>
          <w:rPr>
            <w:rStyle w:val="Hyperlink"/>
          </w:rPr>
          <w:t>Посещение церквей женщинами</w:t>
        </w:r>
        <w:r>
          <w:tab/>
        </w:r>
        <w:r>
          <w:fldChar w:fldCharType="begin"/>
        </w:r>
        <w:r>
          <w:instrText xml:space="preserve"> PAGEREF _Toc44115996 \h </w:instrText>
        </w:r>
        <w:r>
          <w:fldChar w:fldCharType="separate"/>
        </w:r>
        <w:r>
          <w:t>98</w:t>
        </w:r>
        <w:r>
          <w:fldChar w:fldCharType="end"/>
        </w:r>
      </w:hyperlink>
    </w:p>
    <w:p w:rsidR="00000000" w:rsidRDefault="00000000">
      <w:pPr>
        <w:pStyle w:val="TOC2"/>
        <w:rPr>
          <w:spacing w:val="0"/>
          <w:w w:val="100"/>
          <w:kern w:val="0"/>
          <w:sz w:val="24"/>
        </w:rPr>
      </w:pPr>
      <w:hyperlink w:anchor="_Toc44115997" w:history="1">
        <w:r>
          <w:rPr>
            <w:rStyle w:val="Hyperlink"/>
          </w:rPr>
          <w:t>7.4 </w:t>
        </w:r>
        <w:r>
          <w:rPr>
            <w:spacing w:val="0"/>
            <w:w w:val="100"/>
            <w:kern w:val="0"/>
            <w:sz w:val="24"/>
          </w:rPr>
          <w:tab/>
        </w:r>
        <w:r>
          <w:rPr>
            <w:rStyle w:val="Hyperlink"/>
          </w:rPr>
          <w:t>Женские организации</w:t>
        </w:r>
        <w:r>
          <w:tab/>
        </w:r>
        <w:r>
          <w:fldChar w:fldCharType="begin"/>
        </w:r>
        <w:r>
          <w:instrText xml:space="preserve"> PAGEREF _Toc44115997 \h </w:instrText>
        </w:r>
        <w:r>
          <w:fldChar w:fldCharType="separate"/>
        </w:r>
        <w:r>
          <w:t>99</w:t>
        </w:r>
        <w:r>
          <w:fldChar w:fldCharType="end"/>
        </w:r>
      </w:hyperlink>
    </w:p>
    <w:p w:rsidR="00000000" w:rsidRDefault="00000000">
      <w:pPr>
        <w:pStyle w:val="TOC2"/>
        <w:rPr>
          <w:spacing w:val="0"/>
          <w:w w:val="100"/>
          <w:kern w:val="0"/>
          <w:sz w:val="24"/>
        </w:rPr>
      </w:pPr>
      <w:hyperlink w:anchor="_Toc44115998" w:history="1">
        <w:r>
          <w:rPr>
            <w:rStyle w:val="Hyperlink"/>
          </w:rPr>
          <w:t>7.5 </w:t>
        </w:r>
        <w:r>
          <w:rPr>
            <w:spacing w:val="0"/>
            <w:w w:val="100"/>
            <w:kern w:val="0"/>
            <w:sz w:val="24"/>
          </w:rPr>
          <w:tab/>
        </w:r>
        <w:r>
          <w:rPr>
            <w:rStyle w:val="Hyperlink"/>
          </w:rPr>
          <w:t>Женщины в средствах массовой информации</w:t>
        </w:r>
        <w:r>
          <w:tab/>
        </w:r>
        <w:r>
          <w:fldChar w:fldCharType="begin"/>
        </w:r>
        <w:r>
          <w:instrText xml:space="preserve"> PAGEREF _Toc44115998 \h </w:instrText>
        </w:r>
        <w:r>
          <w:fldChar w:fldCharType="separate"/>
        </w:r>
        <w:r>
          <w:t>99</w:t>
        </w:r>
        <w:r>
          <w:fldChar w:fldCharType="end"/>
        </w:r>
      </w:hyperlink>
    </w:p>
    <w:p w:rsidR="00000000" w:rsidRDefault="00000000">
      <w:pPr>
        <w:pStyle w:val="TOC1"/>
        <w:rPr>
          <w:spacing w:val="0"/>
          <w:w w:val="100"/>
          <w:kern w:val="0"/>
          <w:sz w:val="24"/>
        </w:rPr>
      </w:pPr>
      <w:hyperlink w:anchor="_Toc44115999" w:history="1">
        <w:r>
          <w:rPr>
            <w:rStyle w:val="Hyperlink"/>
          </w:rPr>
          <w:t xml:space="preserve">8. </w:t>
        </w:r>
        <w:r>
          <w:rPr>
            <w:spacing w:val="0"/>
            <w:w w:val="100"/>
            <w:kern w:val="0"/>
            <w:sz w:val="24"/>
          </w:rPr>
          <w:tab/>
        </w:r>
        <w:r>
          <w:rPr>
            <w:rStyle w:val="Hyperlink"/>
          </w:rPr>
          <w:t>Статья 8: Участие женщин в международной деятельности</w:t>
        </w:r>
        <w:r>
          <w:tab/>
        </w:r>
        <w:r>
          <w:fldChar w:fldCharType="begin"/>
        </w:r>
        <w:r>
          <w:instrText xml:space="preserve"> PAGEREF _Toc44115999 \h </w:instrText>
        </w:r>
        <w:r>
          <w:fldChar w:fldCharType="separate"/>
        </w:r>
        <w:r>
          <w:t>100</w:t>
        </w:r>
        <w:r>
          <w:fldChar w:fldCharType="end"/>
        </w:r>
      </w:hyperlink>
    </w:p>
    <w:p w:rsidR="00000000" w:rsidRDefault="00000000">
      <w:pPr>
        <w:pStyle w:val="TOC2"/>
        <w:rPr>
          <w:spacing w:val="0"/>
          <w:w w:val="100"/>
          <w:kern w:val="0"/>
          <w:sz w:val="24"/>
        </w:rPr>
      </w:pPr>
      <w:hyperlink w:anchor="_Toc44116000" w:history="1">
        <w:r>
          <w:rPr>
            <w:rStyle w:val="Hyperlink"/>
          </w:rPr>
          <w:t>8.1 </w:t>
        </w:r>
        <w:r>
          <w:rPr>
            <w:spacing w:val="0"/>
            <w:w w:val="100"/>
            <w:kern w:val="0"/>
            <w:sz w:val="24"/>
          </w:rPr>
          <w:tab/>
        </w:r>
        <w:r>
          <w:rPr>
            <w:rStyle w:val="Hyperlink"/>
          </w:rPr>
          <w:t>Система Организации Объединенных Наций</w:t>
        </w:r>
        <w:r>
          <w:tab/>
        </w:r>
        <w:r>
          <w:fldChar w:fldCharType="begin"/>
        </w:r>
        <w:r>
          <w:instrText xml:space="preserve"> PAGEREF _Toc44116000 \h </w:instrText>
        </w:r>
        <w:r>
          <w:fldChar w:fldCharType="separate"/>
        </w:r>
        <w:r>
          <w:t>100</w:t>
        </w:r>
        <w:r>
          <w:fldChar w:fldCharType="end"/>
        </w:r>
      </w:hyperlink>
    </w:p>
    <w:p w:rsidR="00000000" w:rsidRDefault="00000000">
      <w:pPr>
        <w:pStyle w:val="TOC2"/>
        <w:rPr>
          <w:spacing w:val="0"/>
          <w:w w:val="100"/>
          <w:kern w:val="0"/>
          <w:sz w:val="24"/>
        </w:rPr>
      </w:pPr>
      <w:hyperlink w:anchor="_Toc44116001" w:history="1">
        <w:r>
          <w:rPr>
            <w:rStyle w:val="Hyperlink"/>
          </w:rPr>
          <w:t>8.2</w:t>
        </w:r>
        <w:r>
          <w:rPr>
            <w:spacing w:val="0"/>
            <w:w w:val="100"/>
            <w:kern w:val="0"/>
            <w:sz w:val="24"/>
          </w:rPr>
          <w:tab/>
        </w:r>
        <w:r>
          <w:rPr>
            <w:rStyle w:val="Hyperlink"/>
          </w:rPr>
          <w:t>Система Европейского союза</w:t>
        </w:r>
        <w:r>
          <w:tab/>
        </w:r>
        <w:r>
          <w:fldChar w:fldCharType="begin"/>
        </w:r>
        <w:r>
          <w:instrText xml:space="preserve"> PAGEREF _Toc44116001 \h </w:instrText>
        </w:r>
        <w:r>
          <w:fldChar w:fldCharType="separate"/>
        </w:r>
        <w:r>
          <w:t>101</w:t>
        </w:r>
        <w:r>
          <w:fldChar w:fldCharType="end"/>
        </w:r>
      </w:hyperlink>
    </w:p>
    <w:p w:rsidR="00000000" w:rsidRDefault="00000000">
      <w:pPr>
        <w:pStyle w:val="TOC2"/>
        <w:rPr>
          <w:spacing w:val="0"/>
          <w:w w:val="100"/>
          <w:kern w:val="0"/>
          <w:sz w:val="24"/>
        </w:rPr>
      </w:pPr>
      <w:hyperlink w:anchor="_Toc44116002" w:history="1">
        <w:r>
          <w:rPr>
            <w:rStyle w:val="Hyperlink"/>
          </w:rPr>
          <w:t>8.3</w:t>
        </w:r>
        <w:r>
          <w:rPr>
            <w:spacing w:val="0"/>
            <w:w w:val="100"/>
            <w:kern w:val="0"/>
            <w:sz w:val="24"/>
          </w:rPr>
          <w:tab/>
        </w:r>
        <w:r>
          <w:rPr>
            <w:rStyle w:val="Hyperlink"/>
          </w:rPr>
          <w:t xml:space="preserve">Дипломатическая служба Федеративной </w:t>
        </w:r>
        <w:r>
          <w:rPr>
            <w:rStyle w:val="Hyperlink"/>
            <w:caps/>
          </w:rPr>
          <w:t>р</w:t>
        </w:r>
        <w:r>
          <w:rPr>
            <w:rStyle w:val="Hyperlink"/>
          </w:rPr>
          <w:t>еспублики Германии</w:t>
        </w:r>
        <w:r>
          <w:tab/>
        </w:r>
        <w:r>
          <w:fldChar w:fldCharType="begin"/>
        </w:r>
        <w:r>
          <w:instrText xml:space="preserve"> PAGEREF _Toc44116002 \h </w:instrText>
        </w:r>
        <w:r>
          <w:fldChar w:fldCharType="separate"/>
        </w:r>
        <w:r>
          <w:t>101</w:t>
        </w:r>
        <w:r>
          <w:fldChar w:fldCharType="end"/>
        </w:r>
      </w:hyperlink>
    </w:p>
    <w:p w:rsidR="00000000" w:rsidRDefault="00000000">
      <w:pPr>
        <w:pStyle w:val="TOC1"/>
        <w:rPr>
          <w:spacing w:val="0"/>
          <w:w w:val="100"/>
          <w:kern w:val="0"/>
          <w:sz w:val="24"/>
        </w:rPr>
      </w:pPr>
      <w:hyperlink w:anchor="_Toc44116003" w:history="1">
        <w:r>
          <w:rPr>
            <w:rStyle w:val="Hyperlink"/>
          </w:rPr>
          <w:t xml:space="preserve">9. </w:t>
        </w:r>
        <w:r>
          <w:rPr>
            <w:spacing w:val="0"/>
            <w:w w:val="100"/>
            <w:kern w:val="0"/>
            <w:sz w:val="24"/>
          </w:rPr>
          <w:tab/>
        </w:r>
        <w:r>
          <w:rPr>
            <w:rStyle w:val="Hyperlink"/>
          </w:rPr>
          <w:t>Статья 9: Гражданство женщин и детей</w:t>
        </w:r>
        <w:r>
          <w:tab/>
        </w:r>
        <w:r>
          <w:fldChar w:fldCharType="begin"/>
        </w:r>
        <w:r>
          <w:instrText xml:space="preserve"> PAGEREF _Toc44116003 \h </w:instrText>
        </w:r>
        <w:r>
          <w:fldChar w:fldCharType="separate"/>
        </w:r>
        <w:r>
          <w:t>102</w:t>
        </w:r>
        <w:r>
          <w:fldChar w:fldCharType="end"/>
        </w:r>
      </w:hyperlink>
    </w:p>
    <w:p w:rsidR="00000000" w:rsidRDefault="00000000">
      <w:pPr>
        <w:pStyle w:val="TOC1"/>
        <w:rPr>
          <w:spacing w:val="0"/>
          <w:w w:val="100"/>
          <w:kern w:val="0"/>
          <w:sz w:val="24"/>
        </w:rPr>
      </w:pPr>
      <w:hyperlink w:anchor="_Toc44116004" w:history="1">
        <w:r>
          <w:rPr>
            <w:rStyle w:val="Hyperlink"/>
          </w:rPr>
          <w:t xml:space="preserve">10. </w:t>
        </w:r>
        <w:r>
          <w:rPr>
            <w:spacing w:val="0"/>
            <w:w w:val="100"/>
            <w:kern w:val="0"/>
            <w:sz w:val="24"/>
          </w:rPr>
          <w:tab/>
        </w:r>
        <w:r>
          <w:rPr>
            <w:rStyle w:val="Hyperlink"/>
          </w:rPr>
          <w:t>Статья 10: Равноправие мужчин и женщин в области образования и спорта</w:t>
        </w:r>
        <w:r>
          <w:tab/>
        </w:r>
        <w:r>
          <w:fldChar w:fldCharType="begin"/>
        </w:r>
        <w:r>
          <w:instrText xml:space="preserve"> PAGEREF _Toc44116004 \h </w:instrText>
        </w:r>
        <w:r>
          <w:fldChar w:fldCharType="separate"/>
        </w:r>
        <w:r>
          <w:t>102</w:t>
        </w:r>
        <w:r>
          <w:fldChar w:fldCharType="end"/>
        </w:r>
      </w:hyperlink>
    </w:p>
    <w:p w:rsidR="00000000" w:rsidRDefault="00000000">
      <w:pPr>
        <w:pStyle w:val="TOC2"/>
        <w:rPr>
          <w:spacing w:val="0"/>
          <w:w w:val="100"/>
          <w:kern w:val="0"/>
          <w:sz w:val="24"/>
        </w:rPr>
      </w:pPr>
      <w:hyperlink w:anchor="_Toc44116005" w:history="1">
        <w:r>
          <w:rPr>
            <w:rStyle w:val="Hyperlink"/>
          </w:rPr>
          <w:t>10.1 </w:t>
        </w:r>
        <w:r>
          <w:rPr>
            <w:spacing w:val="0"/>
            <w:w w:val="100"/>
            <w:kern w:val="0"/>
            <w:sz w:val="24"/>
          </w:rPr>
          <w:tab/>
        </w:r>
        <w:r>
          <w:rPr>
            <w:rStyle w:val="Hyperlink"/>
          </w:rPr>
          <w:t>Женщины и спорт</w:t>
        </w:r>
        <w:r>
          <w:tab/>
        </w:r>
        <w:r>
          <w:fldChar w:fldCharType="begin"/>
        </w:r>
        <w:r>
          <w:instrText xml:space="preserve"> PAGEREF _Toc44116005 \h </w:instrText>
        </w:r>
        <w:r>
          <w:fldChar w:fldCharType="separate"/>
        </w:r>
        <w:r>
          <w:t>103</w:t>
        </w:r>
        <w:r>
          <w:fldChar w:fldCharType="end"/>
        </w:r>
      </w:hyperlink>
    </w:p>
    <w:p w:rsidR="00000000" w:rsidRDefault="00000000">
      <w:pPr>
        <w:pStyle w:val="TOC2"/>
        <w:rPr>
          <w:spacing w:val="0"/>
          <w:w w:val="100"/>
          <w:kern w:val="0"/>
          <w:sz w:val="24"/>
        </w:rPr>
      </w:pPr>
      <w:hyperlink w:anchor="_Toc44116006" w:history="1">
        <w:r>
          <w:rPr>
            <w:rStyle w:val="Hyperlink"/>
          </w:rPr>
          <w:t>10.2 </w:t>
        </w:r>
        <w:r>
          <w:rPr>
            <w:spacing w:val="0"/>
            <w:w w:val="100"/>
            <w:kern w:val="0"/>
            <w:sz w:val="24"/>
          </w:rPr>
          <w:tab/>
        </w:r>
        <w:r>
          <w:rPr>
            <w:rStyle w:val="Hyperlink"/>
          </w:rPr>
          <w:t>Планирование, образование и консультирование по вопросам семьи</w:t>
        </w:r>
        <w:r>
          <w:tab/>
        </w:r>
        <w:r>
          <w:fldChar w:fldCharType="begin"/>
        </w:r>
        <w:r>
          <w:instrText xml:space="preserve"> PAGEREF _Toc44116006 \h </w:instrText>
        </w:r>
        <w:r>
          <w:fldChar w:fldCharType="separate"/>
        </w:r>
        <w:r>
          <w:t>104</w:t>
        </w:r>
        <w:r>
          <w:fldChar w:fldCharType="end"/>
        </w:r>
      </w:hyperlink>
    </w:p>
    <w:p w:rsidR="00000000" w:rsidRDefault="00000000">
      <w:pPr>
        <w:pStyle w:val="TOC1"/>
        <w:rPr>
          <w:spacing w:val="0"/>
          <w:w w:val="100"/>
          <w:kern w:val="0"/>
          <w:sz w:val="24"/>
        </w:rPr>
      </w:pPr>
      <w:hyperlink w:anchor="_Toc44116007" w:history="1">
        <w:r>
          <w:rPr>
            <w:rStyle w:val="Hyperlink"/>
          </w:rPr>
          <w:t xml:space="preserve">11. </w:t>
        </w:r>
        <w:r>
          <w:rPr>
            <w:spacing w:val="0"/>
            <w:w w:val="100"/>
            <w:kern w:val="0"/>
            <w:sz w:val="24"/>
          </w:rPr>
          <w:tab/>
        </w:r>
        <w:r>
          <w:rPr>
            <w:rStyle w:val="Hyperlink"/>
          </w:rPr>
          <w:t>Статья 11: Равноправие мужчин и женщин в области занятости</w:t>
        </w:r>
        <w:r>
          <w:tab/>
        </w:r>
        <w:r>
          <w:fldChar w:fldCharType="begin"/>
        </w:r>
        <w:r>
          <w:instrText xml:space="preserve"> PAGEREF _Toc44116007 \h </w:instrText>
        </w:r>
        <w:r>
          <w:fldChar w:fldCharType="separate"/>
        </w:r>
        <w:r>
          <w:t>105</w:t>
        </w:r>
        <w:r>
          <w:fldChar w:fldCharType="end"/>
        </w:r>
      </w:hyperlink>
    </w:p>
    <w:p w:rsidR="00000000" w:rsidRDefault="00000000">
      <w:pPr>
        <w:pStyle w:val="TOC2"/>
        <w:rPr>
          <w:spacing w:val="0"/>
          <w:w w:val="100"/>
          <w:kern w:val="0"/>
          <w:sz w:val="24"/>
        </w:rPr>
      </w:pPr>
      <w:hyperlink w:anchor="_Toc44116008" w:history="1">
        <w:r>
          <w:rPr>
            <w:rStyle w:val="Hyperlink"/>
          </w:rPr>
          <w:t>11.1 </w:t>
        </w:r>
        <w:r>
          <w:rPr>
            <w:spacing w:val="0"/>
            <w:w w:val="100"/>
            <w:kern w:val="0"/>
            <w:sz w:val="24"/>
          </w:rPr>
          <w:tab/>
        </w:r>
        <w:r>
          <w:rPr>
            <w:rStyle w:val="Hyperlink"/>
          </w:rPr>
          <w:t>Гражданский кодекс и другие законодательные акты</w:t>
        </w:r>
        <w:r>
          <w:tab/>
        </w:r>
        <w:r>
          <w:fldChar w:fldCharType="begin"/>
        </w:r>
        <w:r>
          <w:instrText xml:space="preserve"> PAGEREF _Toc44116008 \h </w:instrText>
        </w:r>
        <w:r>
          <w:fldChar w:fldCharType="separate"/>
        </w:r>
        <w:r>
          <w:t>106</w:t>
        </w:r>
        <w:r>
          <w:fldChar w:fldCharType="end"/>
        </w:r>
      </w:hyperlink>
    </w:p>
    <w:p w:rsidR="00000000" w:rsidRDefault="00000000">
      <w:pPr>
        <w:pStyle w:val="TOC2"/>
        <w:rPr>
          <w:spacing w:val="0"/>
          <w:w w:val="100"/>
          <w:kern w:val="0"/>
          <w:sz w:val="24"/>
        </w:rPr>
      </w:pPr>
      <w:hyperlink w:anchor="_Toc44116009" w:history="1">
        <w:r>
          <w:rPr>
            <w:rStyle w:val="Hyperlink"/>
          </w:rPr>
          <w:t>11.2 </w:t>
        </w:r>
        <w:r>
          <w:rPr>
            <w:spacing w:val="0"/>
            <w:w w:val="100"/>
            <w:kern w:val="0"/>
            <w:sz w:val="24"/>
          </w:rPr>
          <w:tab/>
        </w:r>
        <w:r>
          <w:rPr>
            <w:rStyle w:val="Hyperlink"/>
          </w:rPr>
          <w:t>Федеральная государственная служба</w:t>
        </w:r>
        <w:r>
          <w:tab/>
        </w:r>
        <w:r>
          <w:fldChar w:fldCharType="begin"/>
        </w:r>
        <w:r>
          <w:instrText xml:space="preserve"> PAGEREF _Toc44116009 \h </w:instrText>
        </w:r>
        <w:r>
          <w:fldChar w:fldCharType="separate"/>
        </w:r>
        <w:r>
          <w:t>108</w:t>
        </w:r>
        <w:r>
          <w:fldChar w:fldCharType="end"/>
        </w:r>
      </w:hyperlink>
    </w:p>
    <w:p w:rsidR="00000000" w:rsidRDefault="00000000">
      <w:pPr>
        <w:pStyle w:val="TOC2"/>
        <w:rPr>
          <w:spacing w:val="0"/>
          <w:w w:val="100"/>
          <w:kern w:val="0"/>
          <w:sz w:val="24"/>
        </w:rPr>
      </w:pPr>
      <w:hyperlink w:anchor="_Toc44116010" w:history="1">
        <w:r>
          <w:rPr>
            <w:rStyle w:val="Hyperlink"/>
          </w:rPr>
          <w:t>11.3 </w:t>
        </w:r>
        <w:r>
          <w:rPr>
            <w:spacing w:val="0"/>
            <w:w w:val="100"/>
            <w:kern w:val="0"/>
            <w:sz w:val="24"/>
          </w:rPr>
          <w:tab/>
        </w:r>
        <w:r>
          <w:rPr>
            <w:rStyle w:val="Hyperlink"/>
          </w:rPr>
          <w:t>Закон об охране материнства</w:t>
        </w:r>
        <w:r>
          <w:tab/>
        </w:r>
        <w:r>
          <w:fldChar w:fldCharType="begin"/>
        </w:r>
        <w:r>
          <w:instrText xml:space="preserve"> PAGEREF _Toc44116010 \h </w:instrText>
        </w:r>
        <w:r>
          <w:fldChar w:fldCharType="separate"/>
        </w:r>
        <w:r>
          <w:t>109</w:t>
        </w:r>
        <w:r>
          <w:fldChar w:fldCharType="end"/>
        </w:r>
      </w:hyperlink>
    </w:p>
    <w:p w:rsidR="00000000" w:rsidRDefault="00000000">
      <w:pPr>
        <w:pStyle w:val="TOC2"/>
        <w:rPr>
          <w:spacing w:val="0"/>
          <w:w w:val="100"/>
          <w:kern w:val="0"/>
          <w:sz w:val="24"/>
        </w:rPr>
      </w:pPr>
      <w:hyperlink w:anchor="_Toc44116011" w:history="1">
        <w:r>
          <w:rPr>
            <w:rStyle w:val="Hyperlink"/>
          </w:rPr>
          <w:t>11.4 </w:t>
        </w:r>
        <w:r>
          <w:rPr>
            <w:spacing w:val="0"/>
            <w:w w:val="100"/>
            <w:kern w:val="0"/>
            <w:sz w:val="24"/>
          </w:rPr>
          <w:tab/>
        </w:r>
        <w:r>
          <w:rPr>
            <w:rStyle w:val="Hyperlink"/>
          </w:rPr>
          <w:t>Разница в оплате труда. обусловленная гендерным фактором</w:t>
        </w:r>
        <w:r>
          <w:tab/>
        </w:r>
        <w:r>
          <w:fldChar w:fldCharType="begin"/>
        </w:r>
        <w:r>
          <w:instrText xml:space="preserve"> PAGEREF _Toc44116011 \h </w:instrText>
        </w:r>
        <w:r>
          <w:fldChar w:fldCharType="separate"/>
        </w:r>
        <w:r>
          <w:t>110</w:t>
        </w:r>
        <w:r>
          <w:fldChar w:fldCharType="end"/>
        </w:r>
      </w:hyperlink>
    </w:p>
    <w:p w:rsidR="00000000" w:rsidRDefault="00000000">
      <w:pPr>
        <w:pStyle w:val="TOC2"/>
        <w:rPr>
          <w:spacing w:val="0"/>
          <w:w w:val="100"/>
          <w:kern w:val="0"/>
          <w:sz w:val="24"/>
        </w:rPr>
      </w:pPr>
      <w:hyperlink w:anchor="_Toc44116012" w:history="1">
        <w:r>
          <w:rPr>
            <w:rStyle w:val="Hyperlink"/>
          </w:rPr>
          <w:t>11.5 </w:t>
        </w:r>
        <w:r>
          <w:rPr>
            <w:spacing w:val="0"/>
            <w:w w:val="100"/>
            <w:kern w:val="0"/>
            <w:sz w:val="24"/>
          </w:rPr>
          <w:tab/>
        </w:r>
        <w:r>
          <w:rPr>
            <w:rStyle w:val="Hyperlink"/>
          </w:rPr>
          <w:t>Совмещение семейных и производственных обязанностей/политика в отношении женщин на рынке труда</w:t>
        </w:r>
        <w:r>
          <w:tab/>
        </w:r>
        <w:r>
          <w:fldChar w:fldCharType="begin"/>
        </w:r>
        <w:r>
          <w:instrText xml:space="preserve"> PAGEREF _Toc44116012 \h </w:instrText>
        </w:r>
        <w:r>
          <w:fldChar w:fldCharType="separate"/>
        </w:r>
        <w:r>
          <w:t>111</w:t>
        </w:r>
        <w:r>
          <w:fldChar w:fldCharType="end"/>
        </w:r>
      </w:hyperlink>
    </w:p>
    <w:p w:rsidR="00000000" w:rsidRDefault="00000000">
      <w:pPr>
        <w:pStyle w:val="TOC3"/>
        <w:rPr>
          <w:spacing w:val="0"/>
          <w:w w:val="100"/>
          <w:kern w:val="0"/>
          <w:sz w:val="24"/>
        </w:rPr>
      </w:pPr>
      <w:hyperlink w:anchor="_Toc44116013" w:history="1">
        <w:r>
          <w:rPr>
            <w:rStyle w:val="Hyperlink"/>
          </w:rPr>
          <w:t>11.5.1 Совмещение семейных и производственных обязанностей</w:t>
        </w:r>
        <w:r>
          <w:tab/>
        </w:r>
        <w:r>
          <w:fldChar w:fldCharType="begin"/>
        </w:r>
        <w:r>
          <w:instrText xml:space="preserve"> PAGEREF _Toc44116013 \h </w:instrText>
        </w:r>
        <w:r>
          <w:fldChar w:fldCharType="separate"/>
        </w:r>
        <w:r>
          <w:t>111</w:t>
        </w:r>
        <w:r>
          <w:fldChar w:fldCharType="end"/>
        </w:r>
      </w:hyperlink>
    </w:p>
    <w:p w:rsidR="00000000" w:rsidRDefault="00000000">
      <w:pPr>
        <w:pStyle w:val="TOC3"/>
        <w:rPr>
          <w:spacing w:val="0"/>
          <w:w w:val="100"/>
          <w:kern w:val="0"/>
          <w:sz w:val="24"/>
        </w:rPr>
      </w:pPr>
      <w:hyperlink w:anchor="_Toc44116014" w:history="1">
        <w:r>
          <w:rPr>
            <w:rStyle w:val="Hyperlink"/>
          </w:rPr>
          <w:t>11.5.2. Политика в отношении женщин на рынке труда – экспериментальные проекты федерального правительства</w:t>
        </w:r>
        <w:r>
          <w:tab/>
        </w:r>
        <w:r>
          <w:fldChar w:fldCharType="begin"/>
        </w:r>
        <w:r>
          <w:instrText xml:space="preserve"> PAGEREF _Toc44116014 \h </w:instrText>
        </w:r>
        <w:r>
          <w:fldChar w:fldCharType="separate"/>
        </w:r>
        <w:r>
          <w:t>116</w:t>
        </w:r>
        <w:r>
          <w:fldChar w:fldCharType="end"/>
        </w:r>
      </w:hyperlink>
    </w:p>
    <w:p w:rsidR="00000000" w:rsidRDefault="00000000">
      <w:pPr>
        <w:pStyle w:val="TOC3"/>
        <w:rPr>
          <w:spacing w:val="0"/>
          <w:w w:val="100"/>
          <w:kern w:val="0"/>
          <w:sz w:val="24"/>
        </w:rPr>
      </w:pPr>
      <w:hyperlink w:anchor="_Toc44116015" w:history="1">
        <w:r>
          <w:rPr>
            <w:rStyle w:val="Hyperlink"/>
          </w:rPr>
          <w:t>11.5.3 Обзаведение собственным делом</w:t>
        </w:r>
        <w:r>
          <w:tab/>
        </w:r>
        <w:r>
          <w:fldChar w:fldCharType="begin"/>
        </w:r>
        <w:r>
          <w:instrText xml:space="preserve"> PAGEREF _Toc44116015 \h </w:instrText>
        </w:r>
        <w:r>
          <w:fldChar w:fldCharType="separate"/>
        </w:r>
        <w:r>
          <w:t>117</w:t>
        </w:r>
        <w:r>
          <w:fldChar w:fldCharType="end"/>
        </w:r>
      </w:hyperlink>
    </w:p>
    <w:p w:rsidR="00000000" w:rsidRDefault="00000000">
      <w:pPr>
        <w:pStyle w:val="TOC2"/>
        <w:rPr>
          <w:spacing w:val="0"/>
          <w:w w:val="100"/>
          <w:kern w:val="0"/>
          <w:sz w:val="24"/>
        </w:rPr>
      </w:pPr>
      <w:hyperlink w:anchor="_Toc44116016" w:history="1">
        <w:r>
          <w:rPr>
            <w:rStyle w:val="Hyperlink"/>
          </w:rPr>
          <w:t>11.6 </w:t>
        </w:r>
        <w:r>
          <w:rPr>
            <w:spacing w:val="0"/>
            <w:w w:val="100"/>
            <w:kern w:val="0"/>
            <w:sz w:val="24"/>
          </w:rPr>
          <w:tab/>
        </w:r>
        <w:r>
          <w:rPr>
            <w:rStyle w:val="Hyperlink"/>
          </w:rPr>
          <w:t>Право на социальное обеспечение</w:t>
        </w:r>
        <w:r>
          <w:tab/>
        </w:r>
        <w:r>
          <w:fldChar w:fldCharType="begin"/>
        </w:r>
        <w:r>
          <w:instrText xml:space="preserve"> PAGEREF _Toc44116016 \h </w:instrText>
        </w:r>
        <w:r>
          <w:fldChar w:fldCharType="separate"/>
        </w:r>
        <w:r>
          <w:t>118</w:t>
        </w:r>
        <w:r>
          <w:fldChar w:fldCharType="end"/>
        </w:r>
      </w:hyperlink>
    </w:p>
    <w:p w:rsidR="00000000" w:rsidRDefault="00000000">
      <w:pPr>
        <w:pStyle w:val="TOC1"/>
        <w:rPr>
          <w:spacing w:val="0"/>
          <w:w w:val="100"/>
          <w:kern w:val="0"/>
          <w:sz w:val="24"/>
        </w:rPr>
      </w:pPr>
      <w:hyperlink w:anchor="_Toc44116017" w:history="1">
        <w:r>
          <w:rPr>
            <w:rStyle w:val="Hyperlink"/>
          </w:rPr>
          <w:t>12.</w:t>
        </w:r>
        <w:r>
          <w:rPr>
            <w:spacing w:val="0"/>
            <w:w w:val="100"/>
            <w:kern w:val="0"/>
            <w:sz w:val="24"/>
          </w:rPr>
          <w:tab/>
        </w:r>
        <w:r>
          <w:rPr>
            <w:rStyle w:val="Hyperlink"/>
          </w:rPr>
          <w:t>Статья 12: Равноправие мужчин и женщин в области здравоохранения</w:t>
        </w:r>
        <w:r>
          <w:tab/>
        </w:r>
        <w:r>
          <w:fldChar w:fldCharType="begin"/>
        </w:r>
        <w:r>
          <w:instrText xml:space="preserve"> PAGEREF _Toc44116017 \h </w:instrText>
        </w:r>
        <w:r>
          <w:fldChar w:fldCharType="separate"/>
        </w:r>
        <w:r>
          <w:t>120</w:t>
        </w:r>
        <w:r>
          <w:fldChar w:fldCharType="end"/>
        </w:r>
      </w:hyperlink>
    </w:p>
    <w:p w:rsidR="00000000" w:rsidRDefault="00000000">
      <w:pPr>
        <w:pStyle w:val="TOC2"/>
        <w:rPr>
          <w:spacing w:val="0"/>
          <w:w w:val="100"/>
          <w:kern w:val="0"/>
          <w:sz w:val="24"/>
        </w:rPr>
      </w:pPr>
      <w:hyperlink w:anchor="_Toc44116018" w:history="1">
        <w:r>
          <w:rPr>
            <w:rStyle w:val="Hyperlink"/>
          </w:rPr>
          <w:t>12.1</w:t>
        </w:r>
        <w:r>
          <w:rPr>
            <w:spacing w:val="0"/>
            <w:w w:val="100"/>
            <w:kern w:val="0"/>
            <w:sz w:val="24"/>
          </w:rPr>
          <w:tab/>
        </w:r>
        <w:r>
          <w:rPr>
            <w:rStyle w:val="Hyperlink"/>
          </w:rPr>
          <w:t>Особые потребности женщин в области здравоохранения</w:t>
        </w:r>
        <w:r>
          <w:tab/>
        </w:r>
        <w:r>
          <w:fldChar w:fldCharType="begin"/>
        </w:r>
        <w:r>
          <w:instrText xml:space="preserve"> PAGEREF _Toc44116018 \h </w:instrText>
        </w:r>
        <w:r>
          <w:fldChar w:fldCharType="separate"/>
        </w:r>
        <w:r>
          <w:t>120</w:t>
        </w:r>
        <w:r>
          <w:fldChar w:fldCharType="end"/>
        </w:r>
      </w:hyperlink>
    </w:p>
    <w:p w:rsidR="00000000" w:rsidRDefault="00000000">
      <w:pPr>
        <w:pStyle w:val="TOC2"/>
        <w:rPr>
          <w:spacing w:val="0"/>
          <w:w w:val="100"/>
          <w:kern w:val="0"/>
          <w:sz w:val="24"/>
        </w:rPr>
      </w:pPr>
      <w:hyperlink w:anchor="_Toc44116019" w:history="1">
        <w:r>
          <w:rPr>
            <w:rStyle w:val="Hyperlink"/>
          </w:rPr>
          <w:t>12.2</w:t>
        </w:r>
        <w:r>
          <w:rPr>
            <w:spacing w:val="0"/>
            <w:w w:val="100"/>
            <w:kern w:val="0"/>
            <w:sz w:val="24"/>
          </w:rPr>
          <w:tab/>
        </w:r>
        <w:r>
          <w:rPr>
            <w:rStyle w:val="Hyperlink"/>
          </w:rPr>
          <w:t>Женщины и наркомания</w:t>
        </w:r>
        <w:r>
          <w:tab/>
        </w:r>
        <w:r>
          <w:fldChar w:fldCharType="begin"/>
        </w:r>
        <w:r>
          <w:instrText xml:space="preserve"> PAGEREF _Toc44116019 \h </w:instrText>
        </w:r>
        <w:r>
          <w:fldChar w:fldCharType="separate"/>
        </w:r>
        <w:r>
          <w:t>122</w:t>
        </w:r>
        <w:r>
          <w:fldChar w:fldCharType="end"/>
        </w:r>
      </w:hyperlink>
    </w:p>
    <w:p w:rsidR="00000000" w:rsidRDefault="00000000">
      <w:pPr>
        <w:pStyle w:val="TOC2"/>
        <w:rPr>
          <w:spacing w:val="0"/>
          <w:w w:val="100"/>
          <w:kern w:val="0"/>
          <w:sz w:val="24"/>
        </w:rPr>
      </w:pPr>
      <w:hyperlink w:anchor="_Toc44116020" w:history="1">
        <w:r>
          <w:rPr>
            <w:rStyle w:val="Hyperlink"/>
          </w:rPr>
          <w:t>12.3</w:t>
        </w:r>
        <w:r>
          <w:rPr>
            <w:spacing w:val="0"/>
            <w:w w:val="100"/>
            <w:kern w:val="0"/>
            <w:sz w:val="24"/>
          </w:rPr>
          <w:tab/>
        </w:r>
        <w:r>
          <w:rPr>
            <w:rStyle w:val="Hyperlink"/>
          </w:rPr>
          <w:t>Сотрудничество федерального правительства с различными организациями в области здравоохранения</w:t>
        </w:r>
        <w:r>
          <w:tab/>
        </w:r>
        <w:r>
          <w:fldChar w:fldCharType="begin"/>
        </w:r>
        <w:r>
          <w:instrText xml:space="preserve"> PAGEREF _Toc44116020 \h </w:instrText>
        </w:r>
        <w:r>
          <w:fldChar w:fldCharType="separate"/>
        </w:r>
        <w:r>
          <w:t>123</w:t>
        </w:r>
        <w:r>
          <w:fldChar w:fldCharType="end"/>
        </w:r>
      </w:hyperlink>
    </w:p>
    <w:p w:rsidR="00000000" w:rsidRDefault="00000000">
      <w:pPr>
        <w:pStyle w:val="TOC2"/>
        <w:rPr>
          <w:spacing w:val="0"/>
          <w:w w:val="100"/>
          <w:kern w:val="0"/>
          <w:sz w:val="24"/>
        </w:rPr>
      </w:pPr>
      <w:hyperlink w:anchor="_Toc44116021" w:history="1">
        <w:r>
          <w:rPr>
            <w:rStyle w:val="Hyperlink"/>
          </w:rPr>
          <w:t>12.4 </w:t>
        </w:r>
        <w:r>
          <w:rPr>
            <w:spacing w:val="0"/>
            <w:w w:val="100"/>
            <w:kern w:val="0"/>
            <w:sz w:val="24"/>
          </w:rPr>
          <w:tab/>
        </w:r>
        <w:r>
          <w:rPr>
            <w:rStyle w:val="Hyperlink"/>
          </w:rPr>
          <w:t>ВИЧ-инфицирование и СПИД</w:t>
        </w:r>
        <w:r>
          <w:tab/>
        </w:r>
        <w:r>
          <w:fldChar w:fldCharType="begin"/>
        </w:r>
        <w:r>
          <w:instrText xml:space="preserve"> PAGEREF _Toc44116021 \h </w:instrText>
        </w:r>
        <w:r>
          <w:fldChar w:fldCharType="separate"/>
        </w:r>
        <w:r>
          <w:t>125</w:t>
        </w:r>
        <w:r>
          <w:fldChar w:fldCharType="end"/>
        </w:r>
      </w:hyperlink>
    </w:p>
    <w:p w:rsidR="00000000" w:rsidRDefault="00000000">
      <w:pPr>
        <w:pStyle w:val="TOC2"/>
        <w:rPr>
          <w:spacing w:val="0"/>
          <w:w w:val="100"/>
          <w:kern w:val="0"/>
          <w:sz w:val="24"/>
        </w:rPr>
      </w:pPr>
      <w:hyperlink w:anchor="_Toc44116022" w:history="1">
        <w:r>
          <w:rPr>
            <w:rStyle w:val="Hyperlink"/>
          </w:rPr>
          <w:t>12.5 </w:t>
        </w:r>
        <w:r>
          <w:rPr>
            <w:spacing w:val="0"/>
            <w:w w:val="100"/>
            <w:kern w:val="0"/>
            <w:sz w:val="24"/>
          </w:rPr>
          <w:tab/>
        </w:r>
        <w:r>
          <w:rPr>
            <w:rStyle w:val="Hyperlink"/>
          </w:rPr>
          <w:t>Исследования в области охраны здоровья женщин</w:t>
        </w:r>
        <w:r>
          <w:tab/>
        </w:r>
        <w:r>
          <w:fldChar w:fldCharType="begin"/>
        </w:r>
        <w:r>
          <w:instrText xml:space="preserve"> PAGEREF _Toc44116022 \h </w:instrText>
        </w:r>
        <w:r>
          <w:fldChar w:fldCharType="separate"/>
        </w:r>
        <w:r>
          <w:t>126</w:t>
        </w:r>
        <w:r>
          <w:fldChar w:fldCharType="end"/>
        </w:r>
      </w:hyperlink>
    </w:p>
    <w:p w:rsidR="00000000" w:rsidRDefault="00000000">
      <w:pPr>
        <w:pStyle w:val="TOC1"/>
        <w:rPr>
          <w:spacing w:val="0"/>
          <w:w w:val="100"/>
          <w:kern w:val="0"/>
          <w:sz w:val="24"/>
        </w:rPr>
      </w:pPr>
      <w:hyperlink w:anchor="_Toc44116023" w:history="1">
        <w:r>
          <w:rPr>
            <w:rStyle w:val="Hyperlink"/>
          </w:rPr>
          <w:t>13.</w:t>
        </w:r>
        <w:r>
          <w:rPr>
            <w:spacing w:val="0"/>
            <w:w w:val="100"/>
            <w:kern w:val="0"/>
            <w:sz w:val="24"/>
          </w:rPr>
          <w:tab/>
        </w:r>
        <w:r>
          <w:rPr>
            <w:rStyle w:val="Hyperlink"/>
          </w:rPr>
          <w:t>Статья 13: Равноправие женщин и мужчин в экономической, социальной и культурной областях</w:t>
        </w:r>
        <w:r>
          <w:tab/>
        </w:r>
        <w:r>
          <w:fldChar w:fldCharType="begin"/>
        </w:r>
        <w:r>
          <w:instrText xml:space="preserve"> PAGEREF _Toc44116023 \h </w:instrText>
        </w:r>
        <w:r>
          <w:fldChar w:fldCharType="separate"/>
        </w:r>
        <w:r>
          <w:t>127</w:t>
        </w:r>
        <w:r>
          <w:fldChar w:fldCharType="end"/>
        </w:r>
      </w:hyperlink>
    </w:p>
    <w:p w:rsidR="00000000" w:rsidRDefault="00000000">
      <w:pPr>
        <w:pStyle w:val="TOC2"/>
        <w:rPr>
          <w:spacing w:val="0"/>
          <w:w w:val="100"/>
          <w:kern w:val="0"/>
          <w:sz w:val="24"/>
        </w:rPr>
      </w:pPr>
      <w:hyperlink w:anchor="_Toc44116024" w:history="1">
        <w:r>
          <w:rPr>
            <w:rStyle w:val="Hyperlink"/>
          </w:rPr>
          <w:t>13.1</w:t>
        </w:r>
        <w:r>
          <w:rPr>
            <w:spacing w:val="0"/>
            <w:w w:val="100"/>
            <w:kern w:val="0"/>
            <w:sz w:val="24"/>
          </w:rPr>
          <w:tab/>
        </w:r>
        <w:r>
          <w:rPr>
            <w:rStyle w:val="Hyperlink"/>
          </w:rPr>
          <w:t>Пособия на детей и надбавки на детей</w:t>
        </w:r>
        <w:r>
          <w:tab/>
        </w:r>
        <w:r>
          <w:fldChar w:fldCharType="begin"/>
        </w:r>
        <w:r>
          <w:instrText xml:space="preserve"> PAGEREF _Toc44116024 \h </w:instrText>
        </w:r>
        <w:r>
          <w:fldChar w:fldCharType="separate"/>
        </w:r>
        <w:r>
          <w:t>128</w:t>
        </w:r>
        <w:r>
          <w:fldChar w:fldCharType="end"/>
        </w:r>
      </w:hyperlink>
    </w:p>
    <w:p w:rsidR="00000000" w:rsidRDefault="00000000">
      <w:pPr>
        <w:pStyle w:val="TOC2"/>
        <w:rPr>
          <w:spacing w:val="0"/>
          <w:w w:val="100"/>
          <w:kern w:val="0"/>
          <w:sz w:val="24"/>
        </w:rPr>
      </w:pPr>
      <w:hyperlink w:anchor="_Toc44116025" w:history="1">
        <w:r>
          <w:rPr>
            <w:rStyle w:val="Hyperlink"/>
          </w:rPr>
          <w:t>13.2 </w:t>
        </w:r>
        <w:r>
          <w:rPr>
            <w:spacing w:val="0"/>
            <w:w w:val="100"/>
            <w:kern w:val="0"/>
            <w:sz w:val="24"/>
          </w:rPr>
          <w:tab/>
        </w:r>
        <w:r>
          <w:rPr>
            <w:rStyle w:val="Hyperlink"/>
          </w:rPr>
          <w:t>Сбалансированность семейных пособий и услуг в 2002 году</w:t>
        </w:r>
        <w:r>
          <w:tab/>
        </w:r>
        <w:r>
          <w:fldChar w:fldCharType="begin"/>
        </w:r>
        <w:r>
          <w:instrText xml:space="preserve"> PAGEREF _Toc44116025 \h </w:instrText>
        </w:r>
        <w:r>
          <w:fldChar w:fldCharType="separate"/>
        </w:r>
        <w:r>
          <w:t>129</w:t>
        </w:r>
        <w:r>
          <w:fldChar w:fldCharType="end"/>
        </w:r>
      </w:hyperlink>
    </w:p>
    <w:p w:rsidR="00000000" w:rsidRDefault="00000000">
      <w:pPr>
        <w:pStyle w:val="TOC2"/>
        <w:rPr>
          <w:spacing w:val="0"/>
          <w:w w:val="100"/>
          <w:kern w:val="0"/>
          <w:sz w:val="24"/>
        </w:rPr>
      </w:pPr>
      <w:hyperlink w:anchor="_Toc44116026" w:history="1">
        <w:r>
          <w:rPr>
            <w:rStyle w:val="Hyperlink"/>
          </w:rPr>
          <w:t>13.3</w:t>
        </w:r>
        <w:r>
          <w:rPr>
            <w:spacing w:val="0"/>
            <w:w w:val="100"/>
            <w:kern w:val="0"/>
            <w:sz w:val="24"/>
          </w:rPr>
          <w:tab/>
        </w:r>
        <w:r>
          <w:rPr>
            <w:rStyle w:val="Hyperlink"/>
          </w:rPr>
          <w:t>Реформа пособия на жилье</w:t>
        </w:r>
        <w:r>
          <w:tab/>
        </w:r>
        <w:r>
          <w:fldChar w:fldCharType="begin"/>
        </w:r>
        <w:r>
          <w:instrText xml:space="preserve"> PAGEREF _Toc44116026 \h </w:instrText>
        </w:r>
        <w:r>
          <w:fldChar w:fldCharType="separate"/>
        </w:r>
        <w:r>
          <w:t>130</w:t>
        </w:r>
        <w:r>
          <w:fldChar w:fldCharType="end"/>
        </w:r>
      </w:hyperlink>
    </w:p>
    <w:p w:rsidR="00000000" w:rsidRDefault="00000000">
      <w:pPr>
        <w:pStyle w:val="TOC2"/>
        <w:rPr>
          <w:spacing w:val="0"/>
          <w:w w:val="100"/>
          <w:kern w:val="0"/>
          <w:sz w:val="24"/>
        </w:rPr>
      </w:pPr>
      <w:hyperlink w:anchor="_Toc44116027" w:history="1">
        <w:r>
          <w:rPr>
            <w:rStyle w:val="Hyperlink"/>
          </w:rPr>
          <w:t>13.4</w:t>
        </w:r>
        <w:r>
          <w:rPr>
            <w:spacing w:val="0"/>
            <w:w w:val="100"/>
            <w:kern w:val="0"/>
            <w:sz w:val="24"/>
          </w:rPr>
          <w:tab/>
        </w:r>
        <w:r>
          <w:rPr>
            <w:rStyle w:val="Hyperlink"/>
          </w:rPr>
          <w:t>Реформа системы содействия профессиональной подготовке</w:t>
        </w:r>
        <w:r>
          <w:tab/>
        </w:r>
        <w:r>
          <w:fldChar w:fldCharType="begin"/>
        </w:r>
        <w:r>
          <w:instrText xml:space="preserve"> PAGEREF _Toc44116027 \h </w:instrText>
        </w:r>
        <w:r>
          <w:fldChar w:fldCharType="separate"/>
        </w:r>
        <w:r>
          <w:t>130</w:t>
        </w:r>
        <w:r>
          <w:fldChar w:fldCharType="end"/>
        </w:r>
      </w:hyperlink>
    </w:p>
    <w:p w:rsidR="00000000" w:rsidRDefault="00000000">
      <w:pPr>
        <w:pStyle w:val="TOC2"/>
        <w:rPr>
          <w:spacing w:val="0"/>
          <w:w w:val="100"/>
          <w:kern w:val="0"/>
          <w:sz w:val="24"/>
        </w:rPr>
      </w:pPr>
      <w:hyperlink w:anchor="_Toc44116028" w:history="1">
        <w:r>
          <w:rPr>
            <w:rStyle w:val="Hyperlink"/>
          </w:rPr>
          <w:t>13.5</w:t>
        </w:r>
        <w:r>
          <w:rPr>
            <w:spacing w:val="0"/>
            <w:w w:val="100"/>
            <w:kern w:val="0"/>
            <w:sz w:val="24"/>
          </w:rPr>
          <w:tab/>
        </w:r>
        <w:r>
          <w:rPr>
            <w:rStyle w:val="Hyperlink"/>
          </w:rPr>
          <w:t>Пособие на воспитание детей</w:t>
        </w:r>
        <w:r>
          <w:tab/>
        </w:r>
        <w:r>
          <w:fldChar w:fldCharType="begin"/>
        </w:r>
        <w:r>
          <w:instrText xml:space="preserve"> PAGEREF _Toc44116028 \h </w:instrText>
        </w:r>
        <w:r>
          <w:fldChar w:fldCharType="separate"/>
        </w:r>
        <w:r>
          <w:t>131</w:t>
        </w:r>
        <w:r>
          <w:fldChar w:fldCharType="end"/>
        </w:r>
      </w:hyperlink>
    </w:p>
    <w:p w:rsidR="00000000" w:rsidRDefault="00000000">
      <w:pPr>
        <w:pStyle w:val="TOC2"/>
        <w:rPr>
          <w:spacing w:val="0"/>
          <w:w w:val="100"/>
          <w:kern w:val="0"/>
          <w:sz w:val="24"/>
        </w:rPr>
      </w:pPr>
      <w:hyperlink w:anchor="_Toc44116029" w:history="1">
        <w:r>
          <w:rPr>
            <w:rStyle w:val="Hyperlink"/>
          </w:rPr>
          <w:t>13.6</w:t>
        </w:r>
        <w:r>
          <w:rPr>
            <w:spacing w:val="0"/>
            <w:w w:val="100"/>
            <w:kern w:val="0"/>
            <w:sz w:val="24"/>
          </w:rPr>
          <w:tab/>
        </w:r>
        <w:r>
          <w:rPr>
            <w:rStyle w:val="Hyperlink"/>
          </w:rPr>
          <w:t>Объем финансовой помощи</w:t>
        </w:r>
        <w:r>
          <w:tab/>
        </w:r>
        <w:r>
          <w:fldChar w:fldCharType="begin"/>
        </w:r>
        <w:r>
          <w:instrText xml:space="preserve"> PAGEREF _Toc44116029 \h </w:instrText>
        </w:r>
        <w:r>
          <w:fldChar w:fldCharType="separate"/>
        </w:r>
        <w:r>
          <w:t>132</w:t>
        </w:r>
        <w:r>
          <w:fldChar w:fldCharType="end"/>
        </w:r>
      </w:hyperlink>
    </w:p>
    <w:p w:rsidR="00000000" w:rsidRDefault="00000000">
      <w:pPr>
        <w:pStyle w:val="TOC1"/>
        <w:rPr>
          <w:spacing w:val="0"/>
          <w:w w:val="100"/>
          <w:kern w:val="0"/>
          <w:sz w:val="24"/>
        </w:rPr>
      </w:pPr>
      <w:hyperlink w:anchor="_Toc44116030" w:history="1">
        <w:r>
          <w:rPr>
            <w:rStyle w:val="Hyperlink"/>
          </w:rPr>
          <w:t>14.</w:t>
        </w:r>
        <w:r>
          <w:rPr>
            <w:spacing w:val="0"/>
            <w:w w:val="100"/>
            <w:kern w:val="0"/>
            <w:sz w:val="24"/>
          </w:rPr>
          <w:tab/>
        </w:r>
        <w:r>
          <w:rPr>
            <w:rStyle w:val="Hyperlink"/>
          </w:rPr>
          <w:t>Статья 14: Равноправие мужчин и женщин, проживающих в сельской местности</w:t>
        </w:r>
        <w:r>
          <w:tab/>
        </w:r>
        <w:r>
          <w:fldChar w:fldCharType="begin"/>
        </w:r>
        <w:r>
          <w:instrText xml:space="preserve"> PAGEREF _Toc44116030 \h </w:instrText>
        </w:r>
        <w:r>
          <w:fldChar w:fldCharType="separate"/>
        </w:r>
        <w:r>
          <w:t>132</w:t>
        </w:r>
        <w:r>
          <w:fldChar w:fldCharType="end"/>
        </w:r>
      </w:hyperlink>
    </w:p>
    <w:p w:rsidR="00000000" w:rsidRDefault="00000000">
      <w:pPr>
        <w:pStyle w:val="TOC1"/>
        <w:rPr>
          <w:spacing w:val="0"/>
          <w:w w:val="100"/>
          <w:kern w:val="0"/>
          <w:sz w:val="24"/>
        </w:rPr>
      </w:pPr>
      <w:hyperlink w:anchor="_Toc44116031" w:history="1">
        <w:r>
          <w:rPr>
            <w:rStyle w:val="Hyperlink"/>
          </w:rPr>
          <w:t xml:space="preserve">15. </w:t>
        </w:r>
        <w:r>
          <w:rPr>
            <w:spacing w:val="0"/>
            <w:w w:val="100"/>
            <w:kern w:val="0"/>
            <w:sz w:val="24"/>
          </w:rPr>
          <w:tab/>
        </w:r>
        <w:r>
          <w:rPr>
            <w:rStyle w:val="Hyperlink"/>
          </w:rPr>
          <w:t>Статья 15: Равная правоспособность и равные права мужчин и женщин в отношении выбора места жительства</w:t>
        </w:r>
        <w:r>
          <w:tab/>
        </w:r>
        <w:r>
          <w:fldChar w:fldCharType="begin"/>
        </w:r>
        <w:r>
          <w:instrText xml:space="preserve"> PAGEREF _Toc44116031 \h </w:instrText>
        </w:r>
        <w:r>
          <w:fldChar w:fldCharType="separate"/>
        </w:r>
        <w:r>
          <w:t>133</w:t>
        </w:r>
        <w:r>
          <w:fldChar w:fldCharType="end"/>
        </w:r>
      </w:hyperlink>
    </w:p>
    <w:p w:rsidR="00000000" w:rsidRDefault="00000000">
      <w:pPr>
        <w:pStyle w:val="TOC1"/>
        <w:rPr>
          <w:spacing w:val="0"/>
          <w:w w:val="100"/>
          <w:kern w:val="0"/>
          <w:sz w:val="24"/>
        </w:rPr>
      </w:pPr>
      <w:hyperlink w:anchor="_Toc44116032" w:history="1">
        <w:r>
          <w:rPr>
            <w:rStyle w:val="Hyperlink"/>
          </w:rPr>
          <w:t>16.</w:t>
        </w:r>
        <w:r>
          <w:rPr>
            <w:spacing w:val="0"/>
            <w:w w:val="100"/>
            <w:kern w:val="0"/>
            <w:sz w:val="24"/>
          </w:rPr>
          <w:tab/>
        </w:r>
        <w:r>
          <w:rPr>
            <w:rStyle w:val="Hyperlink"/>
          </w:rPr>
          <w:t>Статья 16: Равноправие мужчин и женщин во всех вопросах, касающихся брака и семейных отношений</w:t>
        </w:r>
        <w:r>
          <w:tab/>
        </w:r>
        <w:r>
          <w:fldChar w:fldCharType="begin"/>
        </w:r>
        <w:r>
          <w:instrText xml:space="preserve"> PAGEREF _Toc44116032 \h </w:instrText>
        </w:r>
        <w:r>
          <w:fldChar w:fldCharType="separate"/>
        </w:r>
        <w:r>
          <w:t>134</w:t>
        </w:r>
        <w:r>
          <w:fldChar w:fldCharType="end"/>
        </w:r>
      </w:hyperlink>
    </w:p>
    <w:p w:rsidR="00000000" w:rsidRDefault="00000000">
      <w:pPr>
        <w:pStyle w:val="TOC2"/>
        <w:rPr>
          <w:spacing w:val="0"/>
          <w:w w:val="100"/>
          <w:kern w:val="0"/>
          <w:sz w:val="24"/>
        </w:rPr>
      </w:pPr>
      <w:hyperlink w:anchor="_Toc44116033" w:history="1">
        <w:r>
          <w:rPr>
            <w:rStyle w:val="Hyperlink"/>
          </w:rPr>
          <w:t>16.1</w:t>
        </w:r>
        <w:r>
          <w:rPr>
            <w:spacing w:val="0"/>
            <w:w w:val="100"/>
            <w:kern w:val="0"/>
            <w:sz w:val="24"/>
          </w:rPr>
          <w:tab/>
        </w:r>
        <w:r>
          <w:rPr>
            <w:rStyle w:val="Hyperlink"/>
          </w:rPr>
          <w:t>Реформа Закона о браке и семье</w:t>
        </w:r>
        <w:r>
          <w:tab/>
        </w:r>
        <w:r>
          <w:fldChar w:fldCharType="begin"/>
        </w:r>
        <w:r>
          <w:instrText xml:space="preserve"> PAGEREF _Toc44116033 \h </w:instrText>
        </w:r>
        <w:r>
          <w:fldChar w:fldCharType="separate"/>
        </w:r>
        <w:r>
          <w:t>135</w:t>
        </w:r>
        <w:r>
          <w:fldChar w:fldCharType="end"/>
        </w:r>
      </w:hyperlink>
    </w:p>
    <w:p w:rsidR="00000000" w:rsidRDefault="00000000">
      <w:pPr>
        <w:pStyle w:val="TOC2"/>
        <w:rPr>
          <w:spacing w:val="0"/>
          <w:w w:val="100"/>
          <w:kern w:val="0"/>
          <w:sz w:val="24"/>
        </w:rPr>
      </w:pPr>
      <w:hyperlink w:anchor="_Toc44116034" w:history="1">
        <w:r>
          <w:rPr>
            <w:rStyle w:val="Hyperlink"/>
          </w:rPr>
          <w:t>16.2</w:t>
        </w:r>
        <w:r>
          <w:rPr>
            <w:spacing w:val="0"/>
            <w:w w:val="100"/>
            <w:kern w:val="0"/>
            <w:sz w:val="24"/>
          </w:rPr>
          <w:tab/>
        </w:r>
        <w:r>
          <w:rPr>
            <w:rStyle w:val="Hyperlink"/>
          </w:rPr>
          <w:t>Закон о наследовании и алиментах</w:t>
        </w:r>
        <w:r>
          <w:tab/>
        </w:r>
        <w:r>
          <w:fldChar w:fldCharType="begin"/>
        </w:r>
        <w:r>
          <w:instrText xml:space="preserve"> PAGEREF _Toc44116034 \h </w:instrText>
        </w:r>
        <w:r>
          <w:fldChar w:fldCharType="separate"/>
        </w:r>
        <w:r>
          <w:t>137</w:t>
        </w:r>
        <w:r>
          <w:fldChar w:fldCharType="end"/>
        </w:r>
      </w:hyperlink>
    </w:p>
    <w:p w:rsidR="00000000" w:rsidRDefault="00000000">
      <w:pPr>
        <w:pStyle w:val="TOC1"/>
        <w:rPr>
          <w:spacing w:val="0"/>
          <w:w w:val="100"/>
          <w:kern w:val="0"/>
          <w:sz w:val="24"/>
        </w:rPr>
      </w:pPr>
      <w:hyperlink w:anchor="_Toc44116035" w:history="1">
        <w:r>
          <w:rPr>
            <w:rStyle w:val="Hyperlink"/>
          </w:rPr>
          <w:t>Приложения</w:t>
        </w:r>
        <w:r>
          <w:tab/>
        </w:r>
        <w:r>
          <w:fldChar w:fldCharType="begin"/>
        </w:r>
        <w:r>
          <w:instrText xml:space="preserve"> PAGEREF _Toc44116035 \h </w:instrText>
        </w:r>
        <w:r>
          <w:fldChar w:fldCharType="separate"/>
        </w:r>
        <w:r>
          <w:t>139</w:t>
        </w:r>
        <w:r>
          <w:fldChar w:fldCharType="end"/>
        </w:r>
      </w:hyperlink>
    </w:p>
    <w:p w:rsidR="00000000" w:rsidRDefault="00000000">
      <w:pPr>
        <w:pStyle w:val="TOC1"/>
        <w:rPr>
          <w:spacing w:val="0"/>
          <w:w w:val="100"/>
          <w:kern w:val="0"/>
          <w:sz w:val="24"/>
        </w:rPr>
      </w:pPr>
      <w:hyperlink w:anchor="_Toc44116036" w:history="1">
        <w:r>
          <w:rPr>
            <w:rStyle w:val="Hyperlink"/>
          </w:rPr>
          <w:t>Приложение I: Таблицы и диаграммы</w:t>
        </w:r>
        <w:r>
          <w:tab/>
        </w:r>
        <w:r>
          <w:fldChar w:fldCharType="begin"/>
        </w:r>
        <w:r>
          <w:instrText xml:space="preserve"> PAGEREF _Toc44116036 \h </w:instrText>
        </w:r>
        <w:r>
          <w:fldChar w:fldCharType="separate"/>
        </w:r>
        <w:r>
          <w:t>140</w:t>
        </w:r>
        <w:r>
          <w:fldChar w:fldCharType="end"/>
        </w:r>
      </w:hyperlink>
    </w:p>
    <w:p w:rsidR="00000000" w:rsidRDefault="00000000">
      <w:pPr>
        <w:pStyle w:val="TOC2"/>
        <w:ind w:hanging="992"/>
        <w:rPr>
          <w:spacing w:val="0"/>
          <w:w w:val="100"/>
          <w:kern w:val="0"/>
          <w:sz w:val="24"/>
        </w:rPr>
      </w:pPr>
      <w:hyperlink w:anchor="_Toc44116037" w:history="1">
        <w:r>
          <w:rPr>
            <w:rStyle w:val="Hyperlink"/>
          </w:rPr>
          <w:t>Население Германии</w:t>
        </w:r>
        <w:r>
          <w:tab/>
        </w:r>
        <w:r>
          <w:fldChar w:fldCharType="begin"/>
        </w:r>
        <w:r>
          <w:instrText xml:space="preserve"> PAGEREF _Toc44116037 \h </w:instrText>
        </w:r>
        <w:r>
          <w:fldChar w:fldCharType="separate"/>
        </w:r>
        <w:r>
          <w:t>140</w:t>
        </w:r>
        <w:r>
          <w:fldChar w:fldCharType="end"/>
        </w:r>
      </w:hyperlink>
    </w:p>
    <w:p w:rsidR="00000000" w:rsidRDefault="00000000">
      <w:pPr>
        <w:pStyle w:val="TOC2"/>
        <w:ind w:hanging="992"/>
        <w:rPr>
          <w:spacing w:val="0"/>
          <w:w w:val="100"/>
          <w:kern w:val="0"/>
          <w:sz w:val="24"/>
        </w:rPr>
      </w:pPr>
      <w:hyperlink w:anchor="_Toc44116038" w:history="1">
        <w:r>
          <w:rPr>
            <w:rStyle w:val="Hyperlink"/>
          </w:rPr>
          <w:t>Таблица 1: Возрастная структура (по состоянию на 31 декабря 2000 года)</w:t>
        </w:r>
        <w:r>
          <w:tab/>
        </w:r>
        <w:r>
          <w:fldChar w:fldCharType="begin"/>
        </w:r>
        <w:r>
          <w:instrText xml:space="preserve"> PAGEREF _Toc44116038 \h </w:instrText>
        </w:r>
        <w:r>
          <w:fldChar w:fldCharType="separate"/>
        </w:r>
        <w:r>
          <w:t>140</w:t>
        </w:r>
        <w:r>
          <w:fldChar w:fldCharType="end"/>
        </w:r>
      </w:hyperlink>
    </w:p>
    <w:p w:rsidR="00000000" w:rsidRDefault="00000000">
      <w:pPr>
        <w:pStyle w:val="TOC2"/>
        <w:ind w:hanging="992"/>
        <w:rPr>
          <w:spacing w:val="0"/>
          <w:w w:val="100"/>
          <w:kern w:val="0"/>
          <w:sz w:val="24"/>
        </w:rPr>
      </w:pPr>
      <w:hyperlink w:anchor="_Toc44116039" w:history="1">
        <w:r>
          <w:rPr>
            <w:rStyle w:val="Hyperlink"/>
          </w:rPr>
          <w:t>Таблица 2.1: Семейное положение женщин (2000 год)</w:t>
        </w:r>
        <w:r>
          <w:tab/>
        </w:r>
        <w:r>
          <w:fldChar w:fldCharType="begin"/>
        </w:r>
        <w:r>
          <w:instrText xml:space="preserve"> PAGEREF _Toc44116039 \h </w:instrText>
        </w:r>
        <w:r>
          <w:fldChar w:fldCharType="separate"/>
        </w:r>
        <w:r>
          <w:t>140</w:t>
        </w:r>
        <w:r>
          <w:fldChar w:fldCharType="end"/>
        </w:r>
      </w:hyperlink>
    </w:p>
    <w:p w:rsidR="00000000" w:rsidRDefault="00000000">
      <w:pPr>
        <w:pStyle w:val="TOC2"/>
        <w:ind w:hanging="992"/>
        <w:rPr>
          <w:spacing w:val="0"/>
          <w:w w:val="100"/>
          <w:kern w:val="0"/>
          <w:sz w:val="24"/>
        </w:rPr>
      </w:pPr>
      <w:hyperlink w:anchor="_Toc44116040" w:history="1">
        <w:r>
          <w:rPr>
            <w:rStyle w:val="Hyperlink"/>
          </w:rPr>
          <w:t>Таблица 2.2: Число детей на семью (дети в возрасте до 18 лет)</w:t>
        </w:r>
        <w:r>
          <w:tab/>
        </w:r>
        <w:r>
          <w:fldChar w:fldCharType="begin"/>
        </w:r>
        <w:r>
          <w:instrText xml:space="preserve"> PAGEREF _Toc44116040 \h </w:instrText>
        </w:r>
        <w:r>
          <w:fldChar w:fldCharType="separate"/>
        </w:r>
        <w:r>
          <w:t>140</w:t>
        </w:r>
        <w:r>
          <w:fldChar w:fldCharType="end"/>
        </w:r>
      </w:hyperlink>
    </w:p>
    <w:p w:rsidR="00000000" w:rsidRDefault="00000000">
      <w:pPr>
        <w:pStyle w:val="TOC1"/>
        <w:rPr>
          <w:spacing w:val="0"/>
          <w:w w:val="100"/>
          <w:kern w:val="0"/>
          <w:sz w:val="24"/>
        </w:rPr>
      </w:pPr>
      <w:hyperlink w:anchor="_Toc44116041" w:history="1">
        <w:r>
          <w:rPr>
            <w:rStyle w:val="Hyperlink"/>
          </w:rPr>
          <w:t>Женщины на оплачиваемой работе</w:t>
        </w:r>
        <w:r>
          <w:tab/>
        </w:r>
        <w:r>
          <w:fldChar w:fldCharType="begin"/>
        </w:r>
        <w:r>
          <w:instrText xml:space="preserve"> PAGEREF _Toc44116041 \h </w:instrText>
        </w:r>
        <w:r>
          <w:fldChar w:fldCharType="separate"/>
        </w:r>
        <w:r>
          <w:t>141</w:t>
        </w:r>
        <w:r>
          <w:fldChar w:fldCharType="end"/>
        </w:r>
      </w:hyperlink>
    </w:p>
    <w:p w:rsidR="00000000" w:rsidRDefault="00000000">
      <w:pPr>
        <w:pStyle w:val="TOC2"/>
        <w:ind w:hanging="992"/>
        <w:rPr>
          <w:spacing w:val="0"/>
          <w:w w:val="100"/>
          <w:kern w:val="0"/>
          <w:sz w:val="24"/>
        </w:rPr>
      </w:pPr>
      <w:hyperlink w:anchor="_Toc44116042" w:history="1">
        <w:r>
          <w:rPr>
            <w:rStyle w:val="Hyperlink"/>
          </w:rPr>
          <w:t>Таблица 3.1: Численность и доля женщин, занятых на оплачиваемой работе, 1988–2001 год (по результатам микропереписи населения)</w:t>
        </w:r>
        <w:r>
          <w:tab/>
        </w:r>
        <w:r>
          <w:fldChar w:fldCharType="begin"/>
        </w:r>
        <w:r>
          <w:instrText xml:space="preserve"> PAGEREF _Toc44116042 \h </w:instrText>
        </w:r>
        <w:r>
          <w:fldChar w:fldCharType="separate"/>
        </w:r>
        <w:r>
          <w:t>141</w:t>
        </w:r>
        <w:r>
          <w:fldChar w:fldCharType="end"/>
        </w:r>
      </w:hyperlink>
    </w:p>
    <w:p w:rsidR="00000000" w:rsidRDefault="00000000">
      <w:pPr>
        <w:pStyle w:val="TOC2"/>
        <w:ind w:hanging="992"/>
        <w:rPr>
          <w:spacing w:val="0"/>
          <w:w w:val="100"/>
          <w:kern w:val="0"/>
          <w:sz w:val="24"/>
        </w:rPr>
      </w:pPr>
      <w:hyperlink w:anchor="_Toc44116043" w:history="1">
        <w:r>
          <w:rPr>
            <w:rStyle w:val="Hyperlink"/>
          </w:rPr>
          <w:t>Таблица 3.2: Женщины в разбивке по отдельным областям занятости и доля женщин, занимающихся оплачиваемой работой в отдельных областях занятости (по результатам микропереписи населения)</w:t>
        </w:r>
        <w:r>
          <w:tab/>
        </w:r>
        <w:r>
          <w:fldChar w:fldCharType="begin"/>
        </w:r>
        <w:r>
          <w:instrText xml:space="preserve"> PAGEREF _Toc44116043 \h </w:instrText>
        </w:r>
        <w:r>
          <w:fldChar w:fldCharType="separate"/>
        </w:r>
        <w:r>
          <w:t>143</w:t>
        </w:r>
        <w:r>
          <w:fldChar w:fldCharType="end"/>
        </w:r>
      </w:hyperlink>
    </w:p>
    <w:p w:rsidR="00000000" w:rsidRDefault="00000000">
      <w:pPr>
        <w:pStyle w:val="TOC2"/>
        <w:ind w:hanging="992"/>
        <w:rPr>
          <w:spacing w:val="0"/>
          <w:w w:val="100"/>
          <w:kern w:val="0"/>
          <w:sz w:val="24"/>
        </w:rPr>
      </w:pPr>
      <w:hyperlink w:anchor="_Toc44116044" w:history="1">
        <w:r>
          <w:rPr>
            <w:rStyle w:val="Hyperlink"/>
          </w:rPr>
          <w:t>Таблица 3.3: Распределение самодеятельного женского населения по профессиональным группам (по результатам микропереписи населения, проведенной в мае 2001 года)</w:t>
        </w:r>
        <w:r>
          <w:tab/>
        </w:r>
        <w:r>
          <w:fldChar w:fldCharType="begin"/>
        </w:r>
        <w:r>
          <w:instrText xml:space="preserve"> PAGEREF _Toc44116044 \h </w:instrText>
        </w:r>
        <w:r>
          <w:fldChar w:fldCharType="separate"/>
        </w:r>
        <w:r>
          <w:t>144</w:t>
        </w:r>
        <w:r>
          <w:fldChar w:fldCharType="end"/>
        </w:r>
      </w:hyperlink>
    </w:p>
    <w:p w:rsidR="00000000" w:rsidRDefault="00000000">
      <w:pPr>
        <w:pStyle w:val="TOC2"/>
        <w:ind w:hanging="992"/>
        <w:rPr>
          <w:spacing w:val="0"/>
          <w:w w:val="100"/>
          <w:kern w:val="0"/>
          <w:sz w:val="24"/>
        </w:rPr>
      </w:pPr>
      <w:hyperlink w:anchor="_Toc44116045" w:history="1">
        <w:r>
          <w:rPr>
            <w:rStyle w:val="Hyperlink"/>
          </w:rPr>
          <w:t>Таблица 3.4: Сопоставление доходов мужчин и женщин</w:t>
        </w:r>
        <w:r>
          <w:tab/>
        </w:r>
        <w:r>
          <w:fldChar w:fldCharType="begin"/>
        </w:r>
        <w:r>
          <w:instrText xml:space="preserve"> PAGEREF _Toc44116045 \h </w:instrText>
        </w:r>
        <w:r>
          <w:fldChar w:fldCharType="separate"/>
        </w:r>
        <w:r>
          <w:t>145</w:t>
        </w:r>
        <w:r>
          <w:fldChar w:fldCharType="end"/>
        </w:r>
      </w:hyperlink>
    </w:p>
    <w:p w:rsidR="00000000" w:rsidRDefault="00000000">
      <w:pPr>
        <w:pStyle w:val="TOC2"/>
        <w:ind w:hanging="992"/>
        <w:rPr>
          <w:spacing w:val="0"/>
          <w:w w:val="100"/>
          <w:kern w:val="0"/>
          <w:sz w:val="24"/>
        </w:rPr>
      </w:pPr>
      <w:hyperlink w:anchor="_Toc44116046" w:history="1">
        <w:r>
          <w:rPr>
            <w:rStyle w:val="Hyperlink"/>
          </w:rPr>
          <w:t>Таблица 3.5 Динамика среднегодовых показателей безработицы среди женщин  (прежняя федеральная территория)</w:t>
        </w:r>
        <w:r>
          <w:tab/>
        </w:r>
        <w:r>
          <w:fldChar w:fldCharType="begin"/>
        </w:r>
        <w:r>
          <w:instrText xml:space="preserve"> PAGEREF _Toc44116046 \h </w:instrText>
        </w:r>
        <w:r>
          <w:fldChar w:fldCharType="separate"/>
        </w:r>
        <w:r>
          <w:t>148</w:t>
        </w:r>
        <w:r>
          <w:fldChar w:fldCharType="end"/>
        </w:r>
      </w:hyperlink>
    </w:p>
    <w:p w:rsidR="00000000" w:rsidRDefault="00000000">
      <w:pPr>
        <w:pStyle w:val="TOC2"/>
        <w:ind w:hanging="992"/>
        <w:rPr>
          <w:spacing w:val="0"/>
          <w:w w:val="100"/>
          <w:kern w:val="0"/>
          <w:sz w:val="24"/>
        </w:rPr>
      </w:pPr>
      <w:hyperlink w:anchor="_Toc44116047" w:history="1">
        <w:r>
          <w:rPr>
            <w:rStyle w:val="Hyperlink"/>
          </w:rPr>
          <w:t>Таблица 3.6 Динамика среднегодовых показателей безработицы среди женщин  (новая федеральная территория и Восточный Берлин)</w:t>
        </w:r>
        <w:r>
          <w:tab/>
        </w:r>
        <w:r>
          <w:fldChar w:fldCharType="begin"/>
        </w:r>
        <w:r>
          <w:instrText xml:space="preserve"> PAGEREF _Toc44116047 \h </w:instrText>
        </w:r>
        <w:r>
          <w:fldChar w:fldCharType="separate"/>
        </w:r>
        <w:r>
          <w:t>149</w:t>
        </w:r>
        <w:r>
          <w:fldChar w:fldCharType="end"/>
        </w:r>
      </w:hyperlink>
    </w:p>
    <w:p w:rsidR="00000000" w:rsidRDefault="00000000">
      <w:pPr>
        <w:pStyle w:val="TOC2"/>
        <w:ind w:hanging="992"/>
        <w:rPr>
          <w:spacing w:val="0"/>
          <w:w w:val="100"/>
          <w:kern w:val="0"/>
          <w:sz w:val="24"/>
        </w:rPr>
      </w:pPr>
      <w:hyperlink w:anchor="_Toc44116048" w:history="1">
        <w:r>
          <w:rPr>
            <w:rStyle w:val="Hyperlink"/>
          </w:rPr>
          <w:t>Таблица 3.7 Количество самозанятых лиц в Германии (в тыс.)</w:t>
        </w:r>
        <w:r>
          <w:tab/>
        </w:r>
        <w:r>
          <w:fldChar w:fldCharType="begin"/>
        </w:r>
        <w:r>
          <w:instrText xml:space="preserve"> PAGEREF _Toc44116048 \h </w:instrText>
        </w:r>
        <w:r>
          <w:fldChar w:fldCharType="separate"/>
        </w:r>
        <w:r>
          <w:t>150</w:t>
        </w:r>
        <w:r>
          <w:fldChar w:fldCharType="end"/>
        </w:r>
      </w:hyperlink>
    </w:p>
    <w:p w:rsidR="00000000" w:rsidRDefault="00000000">
      <w:pPr>
        <w:pStyle w:val="TOC1"/>
        <w:rPr>
          <w:spacing w:val="0"/>
          <w:w w:val="100"/>
          <w:kern w:val="0"/>
          <w:sz w:val="24"/>
        </w:rPr>
      </w:pPr>
      <w:hyperlink w:anchor="_Toc44116049" w:history="1">
        <w:r>
          <w:rPr>
            <w:rStyle w:val="Hyperlink"/>
          </w:rPr>
          <w:t>Женщины в секторе образования</w:t>
        </w:r>
        <w:r>
          <w:tab/>
        </w:r>
        <w:r>
          <w:fldChar w:fldCharType="begin"/>
        </w:r>
        <w:r>
          <w:instrText xml:space="preserve"> PAGEREF _Toc44116049 \h </w:instrText>
        </w:r>
        <w:r>
          <w:fldChar w:fldCharType="separate"/>
        </w:r>
        <w:r>
          <w:t>151</w:t>
        </w:r>
        <w:r>
          <w:fldChar w:fldCharType="end"/>
        </w:r>
      </w:hyperlink>
    </w:p>
    <w:p w:rsidR="00000000" w:rsidRDefault="00000000">
      <w:pPr>
        <w:pStyle w:val="TOC2"/>
        <w:ind w:hanging="992"/>
        <w:rPr>
          <w:spacing w:val="0"/>
          <w:w w:val="100"/>
          <w:kern w:val="0"/>
          <w:sz w:val="24"/>
        </w:rPr>
      </w:pPr>
      <w:hyperlink w:anchor="_Toc44116050" w:history="1">
        <w:r>
          <w:rPr>
            <w:rStyle w:val="Hyperlink"/>
          </w:rPr>
          <w:t>Таблица 4.1 Доля учениц в общеобразовательных школах (в процентах)</w:t>
        </w:r>
        <w:r>
          <w:tab/>
        </w:r>
        <w:r>
          <w:fldChar w:fldCharType="begin"/>
        </w:r>
        <w:r>
          <w:instrText xml:space="preserve"> PAGEREF _Toc44116050 \h </w:instrText>
        </w:r>
        <w:r>
          <w:fldChar w:fldCharType="separate"/>
        </w:r>
        <w:r>
          <w:t>151</w:t>
        </w:r>
        <w:r>
          <w:fldChar w:fldCharType="end"/>
        </w:r>
      </w:hyperlink>
    </w:p>
    <w:p w:rsidR="00000000" w:rsidRDefault="00000000">
      <w:pPr>
        <w:pStyle w:val="TOC2"/>
        <w:ind w:hanging="992"/>
        <w:rPr>
          <w:spacing w:val="0"/>
          <w:w w:val="100"/>
          <w:kern w:val="0"/>
          <w:sz w:val="24"/>
        </w:rPr>
      </w:pPr>
      <w:hyperlink w:anchor="_Toc44116051" w:history="1">
        <w:r>
          <w:rPr>
            <w:rStyle w:val="Hyperlink"/>
          </w:rPr>
          <w:t>Таблица 4.2.1 Слушатели-женщины в отдельных профессиональных группах</w:t>
        </w:r>
        <w:r>
          <w:tab/>
        </w:r>
        <w:r>
          <w:fldChar w:fldCharType="begin"/>
        </w:r>
        <w:r>
          <w:instrText xml:space="preserve"> PAGEREF _Toc44116051 \h </w:instrText>
        </w:r>
        <w:r>
          <w:fldChar w:fldCharType="separate"/>
        </w:r>
        <w:r>
          <w:t>152</w:t>
        </w:r>
        <w:r>
          <w:fldChar w:fldCharType="end"/>
        </w:r>
      </w:hyperlink>
    </w:p>
    <w:p w:rsidR="00000000" w:rsidRDefault="00000000">
      <w:pPr>
        <w:pStyle w:val="TOC2"/>
        <w:ind w:hanging="992"/>
        <w:rPr>
          <w:spacing w:val="0"/>
          <w:w w:val="100"/>
          <w:kern w:val="0"/>
          <w:sz w:val="24"/>
        </w:rPr>
      </w:pPr>
      <w:hyperlink w:anchor="_Toc44116052" w:history="1">
        <w:r>
          <w:rPr>
            <w:rStyle w:val="Hyperlink"/>
          </w:rPr>
          <w:t>Таблица 4.2.2: Число слушателей-женщин в Германии в одной из десяти профессий, в которых в наибольшей степени преобладают мужчины, 2001 год</w:t>
        </w:r>
        <w:r>
          <w:tab/>
        </w:r>
        <w:r>
          <w:fldChar w:fldCharType="begin"/>
        </w:r>
        <w:r>
          <w:instrText xml:space="preserve"> PAGEREF _Toc44116052 \h </w:instrText>
        </w:r>
        <w:r>
          <w:fldChar w:fldCharType="separate"/>
        </w:r>
        <w:r>
          <w:t>153</w:t>
        </w:r>
        <w:r>
          <w:fldChar w:fldCharType="end"/>
        </w:r>
      </w:hyperlink>
    </w:p>
    <w:p w:rsidR="00000000" w:rsidRDefault="00000000">
      <w:pPr>
        <w:pStyle w:val="TOC2"/>
        <w:ind w:hanging="992"/>
        <w:rPr>
          <w:spacing w:val="0"/>
          <w:w w:val="100"/>
          <w:kern w:val="0"/>
          <w:sz w:val="24"/>
        </w:rPr>
      </w:pPr>
      <w:hyperlink w:anchor="_Toc44116053" w:history="1">
        <w:r>
          <w:rPr>
            <w:rStyle w:val="Hyperlink"/>
          </w:rPr>
          <w:t>Таблица 4.2.3 Слушатели, заключившие в 2001 году новые контракты на получение профессиональной подготовки по десяти наиболее распространенным профессиям</w:t>
        </w:r>
        <w:r>
          <w:tab/>
        </w:r>
        <w:r>
          <w:fldChar w:fldCharType="begin"/>
        </w:r>
        <w:r>
          <w:instrText xml:space="preserve"> PAGEREF _Toc44116053 \h </w:instrText>
        </w:r>
        <w:r>
          <w:fldChar w:fldCharType="separate"/>
        </w:r>
        <w:r>
          <w:t>154</w:t>
        </w:r>
        <w:r>
          <w:fldChar w:fldCharType="end"/>
        </w:r>
      </w:hyperlink>
    </w:p>
    <w:p w:rsidR="00000000" w:rsidRDefault="00000000">
      <w:pPr>
        <w:pStyle w:val="TOC2"/>
        <w:ind w:hanging="992"/>
        <w:rPr>
          <w:spacing w:val="0"/>
          <w:w w:val="100"/>
          <w:kern w:val="0"/>
          <w:sz w:val="24"/>
        </w:rPr>
      </w:pPr>
      <w:hyperlink w:anchor="_Toc44116054" w:history="1">
        <w:r>
          <w:rPr>
            <w:rStyle w:val="Hyperlink"/>
          </w:rPr>
          <w:t>Таблица 4.2.4 Количество слушателей в разбивке по землям (двойная система)</w:t>
        </w:r>
        <w:r>
          <w:tab/>
        </w:r>
        <w:r>
          <w:fldChar w:fldCharType="begin"/>
        </w:r>
        <w:r>
          <w:instrText xml:space="preserve"> PAGEREF _Toc44116054 \h </w:instrText>
        </w:r>
        <w:r>
          <w:fldChar w:fldCharType="separate"/>
        </w:r>
        <w:r>
          <w:t>155</w:t>
        </w:r>
        <w:r>
          <w:fldChar w:fldCharType="end"/>
        </w:r>
      </w:hyperlink>
    </w:p>
    <w:p w:rsidR="00000000" w:rsidRDefault="00000000">
      <w:pPr>
        <w:pStyle w:val="TOC2"/>
        <w:ind w:hanging="992"/>
        <w:rPr>
          <w:spacing w:val="0"/>
          <w:w w:val="100"/>
          <w:kern w:val="0"/>
          <w:sz w:val="24"/>
        </w:rPr>
      </w:pPr>
      <w:hyperlink w:anchor="_Toc44116055" w:history="1">
        <w:r>
          <w:rPr>
            <w:rStyle w:val="Hyperlink"/>
          </w:rPr>
          <w:t>Таблица 4.2.5 Предварительное школьное образование, полученное слушателями, заключившими новые контракты о прохождении профессиональной подготовки в 1996 и 2001 годах</w:t>
        </w:r>
        <w:r>
          <w:tab/>
        </w:r>
        <w:r>
          <w:fldChar w:fldCharType="begin"/>
        </w:r>
        <w:r>
          <w:instrText xml:space="preserve"> PAGEREF _Toc44116055 \h </w:instrText>
        </w:r>
        <w:r>
          <w:fldChar w:fldCharType="separate"/>
        </w:r>
        <w:r>
          <w:t>156</w:t>
        </w:r>
        <w:r>
          <w:fldChar w:fldCharType="end"/>
        </w:r>
      </w:hyperlink>
    </w:p>
    <w:p w:rsidR="00000000" w:rsidRDefault="00000000">
      <w:pPr>
        <w:pStyle w:val="TOC2"/>
        <w:ind w:hanging="992"/>
        <w:rPr>
          <w:spacing w:val="0"/>
          <w:w w:val="100"/>
          <w:kern w:val="0"/>
          <w:sz w:val="24"/>
        </w:rPr>
      </w:pPr>
      <w:hyperlink w:anchor="_Toc44116056" w:history="1">
        <w:r>
          <w:rPr>
            <w:rStyle w:val="Hyperlink"/>
          </w:rPr>
          <w:t>Таблица 4.2.6 Учащиеся-мужчины и учащиеся-женщины профессионально-технических училищ в разбивке по возрасту (двойная система)</w:t>
        </w:r>
        <w:r>
          <w:tab/>
        </w:r>
        <w:r>
          <w:fldChar w:fldCharType="begin"/>
        </w:r>
        <w:r>
          <w:instrText xml:space="preserve"> PAGEREF _Toc44116056 \h </w:instrText>
        </w:r>
        <w:r>
          <w:fldChar w:fldCharType="separate"/>
        </w:r>
        <w:r>
          <w:t>157</w:t>
        </w:r>
        <w:r>
          <w:fldChar w:fldCharType="end"/>
        </w:r>
      </w:hyperlink>
    </w:p>
    <w:p w:rsidR="00000000" w:rsidRDefault="00000000">
      <w:pPr>
        <w:pStyle w:val="TOC2"/>
        <w:ind w:hanging="992"/>
        <w:rPr>
          <w:spacing w:val="0"/>
          <w:w w:val="100"/>
          <w:kern w:val="0"/>
          <w:sz w:val="24"/>
        </w:rPr>
      </w:pPr>
      <w:hyperlink w:anchor="_Toc44116057" w:history="1">
        <w:r>
          <w:rPr>
            <w:rStyle w:val="Hyperlink"/>
          </w:rPr>
          <w:t>Таблица 4.3.1 Доля учащихся-женщин среди студентов первого курса высших учебных заведений</w:t>
        </w:r>
        <w:r>
          <w:tab/>
        </w:r>
        <w:r>
          <w:fldChar w:fldCharType="begin"/>
        </w:r>
        <w:r>
          <w:instrText xml:space="preserve"> PAGEREF _Toc44116057 \h </w:instrText>
        </w:r>
        <w:r>
          <w:fldChar w:fldCharType="separate"/>
        </w:r>
        <w:r>
          <w:t>158</w:t>
        </w:r>
        <w:r>
          <w:fldChar w:fldCharType="end"/>
        </w:r>
      </w:hyperlink>
    </w:p>
    <w:p w:rsidR="00000000" w:rsidRDefault="00000000">
      <w:pPr>
        <w:pStyle w:val="TOC2"/>
        <w:ind w:hanging="992"/>
        <w:rPr>
          <w:spacing w:val="0"/>
          <w:w w:val="100"/>
          <w:kern w:val="0"/>
          <w:sz w:val="24"/>
        </w:rPr>
      </w:pPr>
      <w:r>
        <w:rPr>
          <w:rStyle w:val="Hyperlink"/>
          <w:color w:val="auto"/>
          <w:u w:val="none"/>
        </w:rPr>
        <w:t xml:space="preserve">Таблица </w:t>
      </w:r>
      <w:hyperlink w:anchor="_Toc44116058" w:history="1">
        <w:r>
          <w:rPr>
            <w:rStyle w:val="Hyperlink"/>
          </w:rPr>
          <w:t>4.3.2 </w:t>
        </w:r>
        <w:r>
          <w:rPr>
            <w:rStyle w:val="Hyperlink"/>
          </w:rPr>
          <w:tab/>
          <w:t xml:space="preserve">Доля учащихся-женщин среди студентов высших учебных заведений </w:t>
        </w:r>
        <w:r>
          <w:rPr>
            <w:rStyle w:val="Hyperlink"/>
            <w:vertAlign w:val="superscript"/>
          </w:rPr>
          <w:t>*)</w:t>
        </w:r>
        <w:r>
          <w:tab/>
        </w:r>
        <w:r>
          <w:fldChar w:fldCharType="begin"/>
        </w:r>
        <w:r>
          <w:instrText xml:space="preserve"> PAGEREF _Toc44116058 \h </w:instrText>
        </w:r>
        <w:r>
          <w:fldChar w:fldCharType="separate"/>
        </w:r>
        <w:r>
          <w:t>158</w:t>
        </w:r>
        <w:r>
          <w:fldChar w:fldCharType="end"/>
        </w:r>
      </w:hyperlink>
    </w:p>
    <w:p w:rsidR="00000000" w:rsidRDefault="00000000">
      <w:pPr>
        <w:pStyle w:val="TOC2"/>
        <w:ind w:hanging="992"/>
        <w:rPr>
          <w:spacing w:val="0"/>
          <w:w w:val="100"/>
          <w:kern w:val="0"/>
          <w:sz w:val="24"/>
        </w:rPr>
      </w:pPr>
      <w:hyperlink w:anchor="_Toc44116059" w:history="1">
        <w:r>
          <w:rPr>
            <w:rStyle w:val="Hyperlink"/>
          </w:rPr>
          <w:t>Таблица 4.3.3 Студенты первого курса высших учебных заведений Германии (зимний семестр) в разбивке по предметам изучения</w:t>
        </w:r>
        <w:r>
          <w:tab/>
        </w:r>
        <w:r>
          <w:fldChar w:fldCharType="begin"/>
        </w:r>
        <w:r>
          <w:instrText xml:space="preserve"> PAGEREF _Toc44116059 \h </w:instrText>
        </w:r>
        <w:r>
          <w:fldChar w:fldCharType="separate"/>
        </w:r>
        <w:r>
          <w:t>159</w:t>
        </w:r>
        <w:r>
          <w:fldChar w:fldCharType="end"/>
        </w:r>
      </w:hyperlink>
    </w:p>
    <w:p w:rsidR="00000000" w:rsidRDefault="00000000">
      <w:pPr>
        <w:pStyle w:val="TOC2"/>
        <w:ind w:hanging="992"/>
        <w:rPr>
          <w:spacing w:val="0"/>
          <w:w w:val="100"/>
          <w:kern w:val="0"/>
          <w:sz w:val="24"/>
        </w:rPr>
      </w:pPr>
      <w:hyperlink w:anchor="_Toc44116060" w:history="1">
        <w:r>
          <w:rPr>
            <w:rStyle w:val="Hyperlink"/>
          </w:rPr>
          <w:t>Таблица 4.3.4 Учащиеся первого курса (зимний семестр) высших профессионально-технических учебных заведений</w:t>
        </w:r>
        <w:r>
          <w:rPr>
            <w:rStyle w:val="Hyperlink"/>
            <w:vertAlign w:val="superscript"/>
          </w:rPr>
          <w:t>*)</w:t>
        </w:r>
        <w:r>
          <w:rPr>
            <w:rStyle w:val="Hyperlink"/>
          </w:rPr>
          <w:t xml:space="preserve"> Германии в разбивке по предметам изучения</w:t>
        </w:r>
        <w:r>
          <w:tab/>
        </w:r>
        <w:r>
          <w:fldChar w:fldCharType="begin"/>
        </w:r>
        <w:r>
          <w:instrText xml:space="preserve"> PAGEREF _Toc44116060 \h </w:instrText>
        </w:r>
        <w:r>
          <w:fldChar w:fldCharType="separate"/>
        </w:r>
        <w:r>
          <w:t>160</w:t>
        </w:r>
        <w:r>
          <w:fldChar w:fldCharType="end"/>
        </w:r>
      </w:hyperlink>
    </w:p>
    <w:p w:rsidR="00000000" w:rsidRDefault="00000000">
      <w:pPr>
        <w:pStyle w:val="TOC2"/>
        <w:ind w:hanging="992"/>
        <w:rPr>
          <w:spacing w:val="0"/>
          <w:w w:val="100"/>
          <w:kern w:val="0"/>
          <w:sz w:val="24"/>
        </w:rPr>
      </w:pPr>
      <w:hyperlink w:anchor="_Toc44116061" w:history="1">
        <w:r>
          <w:rPr>
            <w:rStyle w:val="Hyperlink"/>
          </w:rPr>
          <w:t>Таблица 4.4 Доля женщин в науке и образовании в 2000 году, общие показатели</w:t>
        </w:r>
        <w:r>
          <w:tab/>
        </w:r>
        <w:r>
          <w:fldChar w:fldCharType="begin"/>
        </w:r>
        <w:r>
          <w:instrText xml:space="preserve"> PAGEREF _Toc44116061 \h </w:instrText>
        </w:r>
        <w:r>
          <w:fldChar w:fldCharType="separate"/>
        </w:r>
        <w:r>
          <w:t>161</w:t>
        </w:r>
        <w:r>
          <w:fldChar w:fldCharType="end"/>
        </w:r>
      </w:hyperlink>
    </w:p>
    <w:p w:rsidR="00000000" w:rsidRDefault="00000000">
      <w:pPr>
        <w:pStyle w:val="TOC1"/>
        <w:ind w:left="1276" w:firstLine="0"/>
        <w:rPr>
          <w:spacing w:val="0"/>
          <w:w w:val="100"/>
          <w:kern w:val="0"/>
          <w:sz w:val="24"/>
        </w:rPr>
      </w:pPr>
      <w:hyperlink w:anchor="_Toc44116062" w:history="1">
        <w:r>
          <w:rPr>
            <w:rStyle w:val="Hyperlink"/>
          </w:rPr>
          <w:t>Приложение II Обзор мер, принятых после 1998 года в целях реализации принципа равноправия</w:t>
        </w:r>
        <w:r>
          <w:tab/>
        </w:r>
        <w:r>
          <w:fldChar w:fldCharType="begin"/>
        </w:r>
        <w:r>
          <w:instrText xml:space="preserve"> PAGEREF _Toc44116062 \h </w:instrText>
        </w:r>
        <w:r>
          <w:fldChar w:fldCharType="separate"/>
        </w:r>
        <w:r>
          <w:t>162</w:t>
        </w:r>
        <w:r>
          <w:fldChar w:fldCharType="end"/>
        </w:r>
      </w:hyperlink>
    </w:p>
    <w:p w:rsidR="00000000" w:rsidRDefault="00000000">
      <w:pPr>
        <w:pStyle w:val="TOC1"/>
        <w:rPr>
          <w:spacing w:val="0"/>
          <w:w w:val="100"/>
          <w:kern w:val="0"/>
          <w:sz w:val="24"/>
        </w:rPr>
      </w:pPr>
      <w:hyperlink w:anchor="_Toc44116063" w:history="1">
        <w:r>
          <w:rPr>
            <w:rStyle w:val="Hyperlink"/>
          </w:rPr>
          <w:t>1)</w:t>
        </w:r>
        <w:r>
          <w:rPr>
            <w:spacing w:val="0"/>
            <w:w w:val="100"/>
            <w:kern w:val="0"/>
            <w:sz w:val="24"/>
          </w:rPr>
          <w:tab/>
        </w:r>
        <w:r>
          <w:rPr>
            <w:rStyle w:val="Hyperlink"/>
          </w:rPr>
          <w:t>Законы</w:t>
        </w:r>
        <w:r>
          <w:tab/>
        </w:r>
        <w:r>
          <w:fldChar w:fldCharType="begin"/>
        </w:r>
        <w:r>
          <w:instrText xml:space="preserve"> PAGEREF _Toc44116063 \h </w:instrText>
        </w:r>
        <w:r>
          <w:fldChar w:fldCharType="separate"/>
        </w:r>
        <w:r>
          <w:t>162</w:t>
        </w:r>
        <w:r>
          <w:fldChar w:fldCharType="end"/>
        </w:r>
      </w:hyperlink>
    </w:p>
    <w:p w:rsidR="00000000" w:rsidRDefault="00000000">
      <w:pPr>
        <w:pStyle w:val="TOC1"/>
        <w:rPr>
          <w:spacing w:val="0"/>
          <w:w w:val="100"/>
          <w:kern w:val="0"/>
          <w:sz w:val="24"/>
        </w:rPr>
      </w:pPr>
      <w:hyperlink w:anchor="_Toc44116064" w:history="1">
        <w:r>
          <w:rPr>
            <w:rStyle w:val="Hyperlink"/>
          </w:rPr>
          <w:t>2)</w:t>
        </w:r>
        <w:r>
          <w:rPr>
            <w:spacing w:val="0"/>
            <w:w w:val="100"/>
            <w:kern w:val="0"/>
            <w:sz w:val="24"/>
          </w:rPr>
          <w:tab/>
        </w:r>
        <w:r>
          <w:rPr>
            <w:rStyle w:val="Hyperlink"/>
          </w:rPr>
          <w:t>Другие мероприятия и события, связанные с политикой обеспечения равных прав (начиная с мая 1998 года)</w:t>
        </w:r>
        <w:r>
          <w:tab/>
        </w:r>
        <w:r>
          <w:fldChar w:fldCharType="begin"/>
        </w:r>
        <w:r>
          <w:instrText xml:space="preserve"> PAGEREF _Toc44116064 \h </w:instrText>
        </w:r>
        <w:r>
          <w:fldChar w:fldCharType="separate"/>
        </w:r>
        <w:r>
          <w:t>168</w:t>
        </w:r>
        <w:r>
          <w:fldChar w:fldCharType="end"/>
        </w:r>
      </w:hyperlink>
    </w:p>
    <w:p w:rsidR="00000000" w:rsidRDefault="00000000">
      <w:pPr>
        <w:pStyle w:val="TOC1"/>
        <w:rPr>
          <w:spacing w:val="0"/>
          <w:w w:val="100"/>
          <w:kern w:val="0"/>
          <w:sz w:val="24"/>
        </w:rPr>
      </w:pPr>
      <w:hyperlink w:anchor="_Toc44116065" w:history="1">
        <w:r>
          <w:rPr>
            <w:rStyle w:val="Hyperlink"/>
          </w:rPr>
          <w:t>3)</w:t>
        </w:r>
        <w:r>
          <w:rPr>
            <w:spacing w:val="0"/>
            <w:w w:val="100"/>
            <w:kern w:val="0"/>
            <w:sz w:val="24"/>
          </w:rPr>
          <w:tab/>
        </w:r>
        <w:r>
          <w:rPr>
            <w:rStyle w:val="Hyperlink"/>
          </w:rPr>
          <w:t>Меры, осуществляемые агентствами земель по обеспечению равных прав</w:t>
        </w:r>
        <w:r>
          <w:tab/>
        </w:r>
        <w:r>
          <w:fldChar w:fldCharType="begin"/>
        </w:r>
        <w:r>
          <w:instrText xml:space="preserve"> PAGEREF _Toc44116065 \h </w:instrText>
        </w:r>
        <w:r>
          <w:fldChar w:fldCharType="separate"/>
        </w:r>
        <w:r>
          <w:t>171</w:t>
        </w:r>
        <w:r>
          <w:fldChar w:fldCharType="end"/>
        </w:r>
      </w:hyperlink>
    </w:p>
    <w:p w:rsidR="00000000" w:rsidRDefault="00000000">
      <w:pPr>
        <w:pStyle w:val="TOC2"/>
        <w:rPr>
          <w:spacing w:val="0"/>
          <w:w w:val="100"/>
          <w:kern w:val="0"/>
          <w:sz w:val="24"/>
        </w:rPr>
      </w:pPr>
      <w:hyperlink w:anchor="_Toc44116066" w:history="1">
        <w:r>
          <w:rPr>
            <w:rStyle w:val="Hyperlink"/>
          </w:rPr>
          <w:t>3.1</w:t>
        </w:r>
        <w:r>
          <w:rPr>
            <w:spacing w:val="0"/>
            <w:w w:val="100"/>
            <w:kern w:val="0"/>
            <w:sz w:val="24"/>
          </w:rPr>
          <w:tab/>
        </w:r>
        <w:r>
          <w:rPr>
            <w:rStyle w:val="Hyperlink"/>
          </w:rPr>
          <w:t>Основные направления деятельности</w:t>
        </w:r>
        <w:r>
          <w:tab/>
        </w:r>
        <w:r>
          <w:fldChar w:fldCharType="begin"/>
        </w:r>
        <w:r>
          <w:instrText xml:space="preserve"> PAGEREF _Toc44116066 \h </w:instrText>
        </w:r>
        <w:r>
          <w:fldChar w:fldCharType="separate"/>
        </w:r>
        <w:r>
          <w:t>171</w:t>
        </w:r>
        <w:r>
          <w:fldChar w:fldCharType="end"/>
        </w:r>
      </w:hyperlink>
    </w:p>
    <w:p w:rsidR="00000000" w:rsidRDefault="00000000">
      <w:pPr>
        <w:pStyle w:val="TOC2"/>
        <w:rPr>
          <w:spacing w:val="0"/>
          <w:w w:val="100"/>
          <w:kern w:val="0"/>
          <w:sz w:val="24"/>
        </w:rPr>
      </w:pPr>
      <w:hyperlink w:anchor="_Toc44116067" w:history="1">
        <w:r>
          <w:rPr>
            <w:rStyle w:val="Hyperlink"/>
          </w:rPr>
          <w:t>3.2</w:t>
        </w:r>
        <w:r>
          <w:rPr>
            <w:spacing w:val="0"/>
            <w:w w:val="100"/>
            <w:kern w:val="0"/>
            <w:sz w:val="24"/>
          </w:rPr>
          <w:tab/>
        </w:r>
        <w:r>
          <w:rPr>
            <w:rStyle w:val="Hyperlink"/>
          </w:rPr>
          <w:t>Общие и специальные меры и программы</w:t>
        </w:r>
        <w:r>
          <w:tab/>
        </w:r>
        <w:r>
          <w:fldChar w:fldCharType="begin"/>
        </w:r>
        <w:r>
          <w:instrText xml:space="preserve"> PAGEREF _Toc44116067 \h </w:instrText>
        </w:r>
        <w:r>
          <w:fldChar w:fldCharType="separate"/>
        </w:r>
        <w:r>
          <w:t>172</w:t>
        </w:r>
        <w:r>
          <w:fldChar w:fldCharType="end"/>
        </w:r>
      </w:hyperlink>
    </w:p>
    <w:p w:rsidR="00000000" w:rsidRDefault="00000000">
      <w:pPr>
        <w:pStyle w:val="TOC1"/>
        <w:rPr>
          <w:spacing w:val="0"/>
          <w:w w:val="100"/>
          <w:kern w:val="0"/>
          <w:sz w:val="24"/>
        </w:rPr>
      </w:pPr>
      <w:hyperlink w:anchor="_Toc44116088" w:history="1">
        <w:r>
          <w:rPr>
            <w:rStyle w:val="Hyperlink"/>
          </w:rPr>
          <w:t>4.</w:t>
        </w:r>
        <w:r>
          <w:rPr>
            <w:spacing w:val="0"/>
            <w:w w:val="100"/>
            <w:kern w:val="0"/>
            <w:sz w:val="24"/>
          </w:rPr>
          <w:tab/>
        </w:r>
        <w:r>
          <w:rPr>
            <w:rStyle w:val="Hyperlink"/>
          </w:rPr>
          <w:t>Публикации федерального министерства по делам семьи, престарелых, женщин и молодежи по темам, касающимся политики в области обеспечения равенства</w:t>
        </w:r>
        <w:r>
          <w:tab/>
        </w:r>
        <w:r>
          <w:fldChar w:fldCharType="begin"/>
        </w:r>
        <w:r>
          <w:instrText xml:space="preserve"> PAGEREF _Toc44116088 \h </w:instrText>
        </w:r>
        <w:r>
          <w:fldChar w:fldCharType="separate"/>
        </w:r>
        <w:r>
          <w:t>222</w:t>
        </w:r>
        <w:r>
          <w:fldChar w:fldCharType="end"/>
        </w:r>
      </w:hyperlink>
    </w:p>
    <w:p w:rsidR="00000000" w:rsidRDefault="00000000">
      <w:pPr>
        <w:pStyle w:val="TOC2"/>
        <w:rPr>
          <w:spacing w:val="0"/>
          <w:w w:val="100"/>
          <w:kern w:val="0"/>
          <w:sz w:val="24"/>
        </w:rPr>
      </w:pPr>
      <w:hyperlink w:anchor="_Toc44116089" w:history="1">
        <w:r>
          <w:rPr>
            <w:rStyle w:val="Hyperlink"/>
          </w:rPr>
          <w:t>4.1</w:t>
        </w:r>
        <w:r>
          <w:rPr>
            <w:spacing w:val="0"/>
            <w:w w:val="100"/>
            <w:kern w:val="0"/>
            <w:sz w:val="24"/>
          </w:rPr>
          <w:tab/>
        </w:r>
        <w:r>
          <w:rPr>
            <w:rStyle w:val="Hyperlink"/>
          </w:rPr>
          <w:t>Серия публикаций федерального министерства по делам семьи, престарелых, женщин и молодежи</w:t>
        </w:r>
        <w:r>
          <w:tab/>
        </w:r>
        <w:r>
          <w:fldChar w:fldCharType="begin"/>
        </w:r>
        <w:r>
          <w:instrText xml:space="preserve"> PAGEREF _Toc44116089 \h </w:instrText>
        </w:r>
        <w:r>
          <w:fldChar w:fldCharType="separate"/>
        </w:r>
        <w:r>
          <w:t>222</w:t>
        </w:r>
        <w:r>
          <w:fldChar w:fldCharType="end"/>
        </w:r>
      </w:hyperlink>
    </w:p>
    <w:p w:rsidR="00000000" w:rsidRDefault="00000000">
      <w:pPr>
        <w:pStyle w:val="TOC2"/>
        <w:rPr>
          <w:spacing w:val="0"/>
          <w:w w:val="100"/>
          <w:kern w:val="0"/>
          <w:sz w:val="24"/>
        </w:rPr>
      </w:pPr>
      <w:hyperlink w:anchor="_Toc44116090" w:history="1">
        <w:r>
          <w:rPr>
            <w:rStyle w:val="Hyperlink"/>
          </w:rPr>
          <w:t>4.2</w:t>
        </w:r>
        <w:r>
          <w:rPr>
            <w:spacing w:val="0"/>
            <w:w w:val="100"/>
            <w:kern w:val="0"/>
            <w:sz w:val="24"/>
          </w:rPr>
          <w:tab/>
        </w:r>
        <w:r>
          <w:rPr>
            <w:rStyle w:val="Hyperlink"/>
          </w:rPr>
          <w:t>Брошюры, доклады, документы и материалы федерального министерства по делам семьи, престарелых, женщин и молодежи по темам, касающимся политики в области обеспечения равенства</w:t>
        </w:r>
        <w:r>
          <w:tab/>
        </w:r>
        <w:r>
          <w:fldChar w:fldCharType="begin"/>
        </w:r>
        <w:r>
          <w:instrText xml:space="preserve"> PAGEREF _Toc44116090 \h </w:instrText>
        </w:r>
        <w:r>
          <w:fldChar w:fldCharType="separate"/>
        </w:r>
        <w:r>
          <w:t>224</w:t>
        </w:r>
        <w:r>
          <w:fldChar w:fldCharType="end"/>
        </w:r>
      </w:hyperlink>
    </w:p>
    <w:p w:rsidR="00000000" w:rsidRDefault="00000000">
      <w:pPr>
        <w:pStyle w:val="TOC2"/>
        <w:rPr>
          <w:rStyle w:val="Hyperlink"/>
        </w:rPr>
      </w:pPr>
      <w:hyperlink w:anchor="_Toc44116104" w:history="1">
        <w:r>
          <w:rPr>
            <w:rStyle w:val="Hyperlink"/>
          </w:rPr>
          <w:t>5.</w:t>
        </w:r>
        <w:r>
          <w:rPr>
            <w:spacing w:val="0"/>
            <w:w w:val="100"/>
            <w:kern w:val="0"/>
            <w:sz w:val="24"/>
          </w:rPr>
          <w:tab/>
        </w:r>
        <w:r>
          <w:rPr>
            <w:rStyle w:val="Hyperlink"/>
          </w:rPr>
          <w:t>Публикации других федеральных министерств и учреждений по вопросам равенства</w:t>
        </w:r>
        <w:r>
          <w:tab/>
        </w:r>
        <w:r>
          <w:fldChar w:fldCharType="begin"/>
        </w:r>
        <w:r>
          <w:instrText xml:space="preserve"> PAGEREF _Toc44116104 \h </w:instrText>
        </w:r>
        <w:r>
          <w:fldChar w:fldCharType="separate"/>
        </w:r>
        <w:r>
          <w:t>232</w:t>
        </w:r>
        <w:r>
          <w:fldChar w:fldCharType="end"/>
        </w:r>
      </w:hyperlink>
    </w:p>
    <w:p w:rsidR="00000000" w:rsidRDefault="00000000">
      <w:pPr>
        <w:pStyle w:val="SingleTxt"/>
        <w:spacing w:before="120"/>
        <w:ind w:right="1701" w:firstLine="11"/>
        <w:jc w:val="left"/>
      </w:pPr>
      <w:r>
        <w:fldChar w:fldCharType="end"/>
      </w:r>
      <w:r>
        <w:rPr>
          <w:b/>
        </w:rPr>
        <w:t xml:space="preserve">Приложение </w:t>
      </w:r>
      <w:r>
        <w:rPr>
          <w:b/>
          <w:lang w:val="en-US"/>
        </w:rPr>
        <w:t>III</w:t>
      </w:r>
      <w:r>
        <w:rPr>
          <w:b/>
        </w:rPr>
        <w:t xml:space="preserve"> Рассмотрение докладов Комитета по ликвидации </w:t>
      </w:r>
      <w:r>
        <w:rPr>
          <w:b/>
        </w:rPr>
        <w:br/>
        <w:t>дискр</w:t>
      </w:r>
      <w:r>
        <w:rPr>
          <w:b/>
        </w:rPr>
        <w:t>и</w:t>
      </w:r>
      <w:r>
        <w:rPr>
          <w:b/>
        </w:rPr>
        <w:t>минации в отношении женщин от 1 февраля 2000 года</w:t>
      </w:r>
      <w:r>
        <w:rPr>
          <w:rStyle w:val="FootnoteReference"/>
          <w:b/>
          <w:sz w:val="20"/>
        </w:rPr>
        <w:footnoteReference w:id="3"/>
      </w:r>
    </w:p>
    <w:p w:rsidR="00000000" w:rsidRDefault="00000000">
      <w:pPr>
        <w:pStyle w:val="HCh"/>
      </w:pPr>
      <w:r>
        <w:br w:type="page"/>
      </w:r>
      <w:bookmarkStart w:id="31" w:name="_Toc44113448"/>
      <w:bookmarkStart w:id="32" w:name="_Toc44113714"/>
      <w:bookmarkStart w:id="33" w:name="_Toc44114220"/>
      <w:bookmarkStart w:id="34" w:name="_Toc44115897"/>
      <w:r>
        <w:t>Введение</w:t>
      </w:r>
      <w:bookmarkEnd w:id="31"/>
      <w:bookmarkEnd w:id="32"/>
      <w:bookmarkEnd w:id="33"/>
      <w:bookmarkEnd w:id="34"/>
    </w:p>
    <w:p w:rsidR="00000000" w:rsidRDefault="00000000">
      <w:pPr>
        <w:pStyle w:val="SingleTxt"/>
      </w:pPr>
      <w:r>
        <w:t>В апреле 1985 года Федеративная Республика Германия ратифицировала Конвенцию о ликвидации всех форм дискриминации в отношении женщин от 18 декабря 1979 года. Конвенция вступила в силу на территории Федеративной Республики Германии 9 августа 1985 года («Федеральный юридический вес</w:t>
      </w:r>
      <w:r>
        <w:t>т</w:t>
      </w:r>
      <w:r>
        <w:t>ник» [</w:t>
      </w:r>
      <w:r>
        <w:rPr>
          <w:lang w:val="en-US"/>
        </w:rPr>
        <w:t>BGBI</w:t>
      </w:r>
      <w:r>
        <w:t xml:space="preserve">], часть </w:t>
      </w:r>
      <w:r>
        <w:rPr>
          <w:lang w:val="en-US"/>
        </w:rPr>
        <w:t>II</w:t>
      </w:r>
      <w:r>
        <w:t>, стр. 1234). Конвенция была одобрена при условии, что подпункт (</w:t>
      </w:r>
      <w:r>
        <w:rPr>
          <w:lang w:val="en-US"/>
        </w:rPr>
        <w:t>b</w:t>
      </w:r>
      <w:r>
        <w:t>) статьи 7 Конвенции не будет применяться, поскольку он против</w:t>
      </w:r>
      <w:r>
        <w:t>о</w:t>
      </w:r>
      <w:r>
        <w:t>речит второму предложению в пункте 4 статьи 12а Основного закона Федер</w:t>
      </w:r>
      <w:r>
        <w:t>а</w:t>
      </w:r>
      <w:r>
        <w:t>тивной Республики Германии (</w:t>
      </w:r>
      <w:r>
        <w:rPr>
          <w:lang w:val="en-US"/>
        </w:rPr>
        <w:t>Grundgesetz</w:t>
      </w:r>
      <w:r>
        <w:t xml:space="preserve"> </w:t>
      </w:r>
      <w:r>
        <w:rPr>
          <w:lang w:val="en-US"/>
        </w:rPr>
        <w:t>f</w:t>
      </w:r>
      <w:r>
        <w:t>ü</w:t>
      </w:r>
      <w:r>
        <w:rPr>
          <w:lang w:val="en-US"/>
        </w:rPr>
        <w:t>r</w:t>
      </w:r>
      <w:r>
        <w:t xml:space="preserve"> </w:t>
      </w:r>
      <w:r>
        <w:rPr>
          <w:lang w:val="en-US"/>
        </w:rPr>
        <w:t>die</w:t>
      </w:r>
      <w:r>
        <w:t xml:space="preserve"> </w:t>
      </w:r>
      <w:r>
        <w:rPr>
          <w:lang w:val="en-US"/>
        </w:rPr>
        <w:t>Bundesrepublik</w:t>
      </w:r>
      <w:r>
        <w:t xml:space="preserve"> </w:t>
      </w:r>
      <w:r>
        <w:rPr>
          <w:lang w:val="en-US"/>
        </w:rPr>
        <w:t>Deutschland</w:t>
      </w:r>
      <w:r>
        <w:t>) (женщины «ни при каких обстоятельствах не могут заниматься деятельностью, связанной с применением оружия»).</w:t>
      </w:r>
    </w:p>
    <w:p w:rsidR="00000000" w:rsidRDefault="00000000">
      <w:pPr>
        <w:pStyle w:val="SingleTxt"/>
      </w:pPr>
      <w:r>
        <w:t>С принятием поправки к второму предложению в пункте 4 статьи 12а О</w:t>
      </w:r>
      <w:r>
        <w:t>с</w:t>
      </w:r>
      <w:r>
        <w:t>новного закона, вступившей в силу 23 декабря 2000 года («Федеральный юр</w:t>
      </w:r>
      <w:r>
        <w:t>и</w:t>
      </w:r>
      <w:r>
        <w:t xml:space="preserve">дический вестник», часть </w:t>
      </w:r>
      <w:r>
        <w:rPr>
          <w:lang w:val="en-US"/>
        </w:rPr>
        <w:t>I</w:t>
      </w:r>
      <w:r>
        <w:t>, стр. 1755), добровольная служба женщин в рядах федеральных вооруженных сил с применением оружия была поставлена на прочную конституционную основу и женщины получили право служить во всех родах войск. В связи с этим Федеративная Республика Германия объявила 10 декабря 2001 года о снятии оговорки к подпункту (</w:t>
      </w:r>
      <w:r>
        <w:rPr>
          <w:lang w:val="en-US"/>
        </w:rPr>
        <w:t>b</w:t>
      </w:r>
      <w:r>
        <w:t>) статьи 7 в соответс</w:t>
      </w:r>
      <w:r>
        <w:t>т</w:t>
      </w:r>
      <w:r>
        <w:t>вии с первым предложением в пункте 3 статьи 28 Конвенции.</w:t>
      </w:r>
    </w:p>
    <w:p w:rsidR="00000000" w:rsidRDefault="00000000">
      <w:pPr>
        <w:pStyle w:val="SingleTxt"/>
      </w:pPr>
      <w:r>
        <w:t xml:space="preserve">В марте 1988 года Федеративная Республика Германия представила свой первый доклад об осуществлении Конвенции в соответствии со статьей 18 Конвенции (документ Организации Объединенных Наций </w:t>
      </w:r>
      <w:r>
        <w:rPr>
          <w:lang w:val="en-US"/>
        </w:rPr>
        <w:t>CEDAW</w:t>
      </w:r>
      <w:r>
        <w:t>/5/</w:t>
      </w:r>
      <w:r>
        <w:rPr>
          <w:lang w:val="en-US"/>
        </w:rPr>
        <w:t>Add</w:t>
      </w:r>
      <w:r>
        <w:t>. 59). В январе 1990 года Федеративная Республика Германия представила док</w:t>
      </w:r>
      <w:r>
        <w:t>у</w:t>
      </w:r>
      <w:r>
        <w:t>мент, обновляющий и дополняющий указанный доклад, в порядке подготовки к его рассмотрению на девятой сессии Комитета по ликвидации дискриминации в отношении женщин (</w:t>
      </w:r>
      <w:r>
        <w:rPr>
          <w:lang w:val="en-US"/>
        </w:rPr>
        <w:t>CEDAW</w:t>
      </w:r>
      <w:r>
        <w:t>/</w:t>
      </w:r>
      <w:r>
        <w:rPr>
          <w:lang w:val="en-US"/>
        </w:rPr>
        <w:t>C</w:t>
      </w:r>
      <w:r>
        <w:t>/5/</w:t>
      </w:r>
      <w:r>
        <w:rPr>
          <w:lang w:val="en-US"/>
        </w:rPr>
        <w:t>Add</w:t>
      </w:r>
      <w:r>
        <w:t>. 59/</w:t>
      </w:r>
      <w:r>
        <w:rPr>
          <w:lang w:val="en-US"/>
        </w:rPr>
        <w:t>Amend</w:t>
      </w:r>
      <w:r>
        <w:t>. 1).</w:t>
      </w:r>
    </w:p>
    <w:p w:rsidR="00000000" w:rsidRDefault="00000000">
      <w:pPr>
        <w:pStyle w:val="SingleTxt"/>
      </w:pPr>
      <w:r>
        <w:t>Осенью 1996 года Федеративная Республика Германия представила вт</w:t>
      </w:r>
      <w:r>
        <w:t>о</w:t>
      </w:r>
      <w:r>
        <w:t>рой и третий доклады в соответствии со статьей 18 Конвенции (документ О</w:t>
      </w:r>
      <w:r>
        <w:t>р</w:t>
      </w:r>
      <w:r>
        <w:t xml:space="preserve">ганизации Объединенных Наций </w:t>
      </w:r>
      <w:r>
        <w:rPr>
          <w:lang w:val="en-US"/>
        </w:rPr>
        <w:t>CEDAW</w:t>
      </w:r>
      <w:r>
        <w:t>/</w:t>
      </w:r>
      <w:r>
        <w:rPr>
          <w:lang w:val="en-US"/>
        </w:rPr>
        <w:t>C</w:t>
      </w:r>
      <w:r>
        <w:t>/</w:t>
      </w:r>
      <w:r>
        <w:rPr>
          <w:lang w:val="en-US"/>
        </w:rPr>
        <w:t>DEU</w:t>
      </w:r>
      <w:r>
        <w:t>/2-3). В этой связи она во</w:t>
      </w:r>
      <w:r>
        <w:t>с</w:t>
      </w:r>
      <w:r>
        <w:t>пользовалась предоставленной Комитетом возможностью объединить два до</w:t>
      </w:r>
      <w:r>
        <w:t>к</w:t>
      </w:r>
      <w:r>
        <w:t>лада, с тем чтобы охватить больший период времени. Это позволило уделить особое внимание изменениям, происшедшим в результате объединения Герм</w:t>
      </w:r>
      <w:r>
        <w:t>а</w:t>
      </w:r>
      <w:r>
        <w:t>нии. Настоящий доклад основывается на первом докладе и содержит данные о дальнейшем развитии равноправия в Германии после 1990 года в соответствии с отдельными статьями Конвенции.</w:t>
      </w:r>
    </w:p>
    <w:p w:rsidR="00000000" w:rsidRDefault="00000000">
      <w:pPr>
        <w:pStyle w:val="SingleTxt"/>
      </w:pPr>
      <w:r>
        <w:t>В 1998 году Федеративная Республика Германия представила четвертый национальный доклад, являющийся обновленной редакцией второго и третьего докладов, причем структура и порядок изложения материала, использовавши</w:t>
      </w:r>
      <w:r>
        <w:t>е</w:t>
      </w:r>
      <w:r>
        <w:t>ся во втором и третьем докладах, были в основном сохранены.</w:t>
      </w:r>
    </w:p>
    <w:p w:rsidR="00000000" w:rsidRDefault="00000000">
      <w:pPr>
        <w:pStyle w:val="SingleTxt"/>
      </w:pPr>
      <w:r>
        <w:t>Федеративная Республика Германия ратифицирована Факультативный протокол к Конвенции Организации Объединенных Наций о ликвидации всех форм дискриминации в отношении женщин 15 января 2002 года. Факультати</w:t>
      </w:r>
      <w:r>
        <w:t>в</w:t>
      </w:r>
      <w:r>
        <w:t>ный протокол вступил в силу на территории Федеративной Республики Герм</w:t>
      </w:r>
      <w:r>
        <w:t>а</w:t>
      </w:r>
      <w:r>
        <w:t>нии 15 апреля 2002 года, спустя три месяца после сдачи на хранение ратифик</w:t>
      </w:r>
      <w:r>
        <w:t>а</w:t>
      </w:r>
      <w:r>
        <w:t>ционной грамоты.</w:t>
      </w:r>
    </w:p>
    <w:p w:rsidR="00000000" w:rsidRDefault="00000000">
      <w:pPr>
        <w:pStyle w:val="SingleTxt"/>
      </w:pPr>
      <w:r>
        <w:t>Федеративная Республика Германия представляет настоящим свой пятый национальный доклад в соответствии со статьей 18 Конвенции. Он является обновленной редакцией четвертого доклада, причем повторяющиеся полож</w:t>
      </w:r>
      <w:r>
        <w:t>е</w:t>
      </w:r>
      <w:r>
        <w:t>ния были опущены. Таким образом, все доклады следует рассматривать вместе с настоящим докладом, чтобы получить более полное представление о разв</w:t>
      </w:r>
      <w:r>
        <w:t>и</w:t>
      </w:r>
      <w:r>
        <w:t>тии ситуации в целом.</w:t>
      </w:r>
    </w:p>
    <w:p w:rsidR="00000000" w:rsidRDefault="00000000">
      <w:pPr>
        <w:pStyle w:val="H1"/>
        <w:ind w:left="1264" w:firstLine="0"/>
      </w:pPr>
      <w:bookmarkStart w:id="35" w:name="_Toc44113449"/>
      <w:bookmarkStart w:id="36" w:name="_Toc44113715"/>
      <w:bookmarkStart w:id="37" w:name="_Toc44114221"/>
      <w:bookmarkStart w:id="38" w:name="_Toc44115501"/>
      <w:bookmarkStart w:id="39" w:name="_Toc44115898"/>
      <w:r>
        <w:t>Заявление Комитета по ликвидации дискриминации в отношении женщин, касающееся рассмотр</w:t>
      </w:r>
      <w:r>
        <w:t>е</w:t>
      </w:r>
      <w:r>
        <w:t>ния докладов</w:t>
      </w:r>
      <w:bookmarkEnd w:id="35"/>
      <w:bookmarkEnd w:id="36"/>
      <w:bookmarkEnd w:id="37"/>
      <w:bookmarkEnd w:id="38"/>
      <w:bookmarkEnd w:id="39"/>
    </w:p>
    <w:p w:rsidR="00000000" w:rsidRDefault="00000000">
      <w:pPr>
        <w:pStyle w:val="SingleTxt"/>
      </w:pPr>
      <w:r>
        <w:t>Комитет по ликвидации дискриминации в отношении женщин рассмотрел объединенные второй и третий периодические доклады и четвертый период</w:t>
      </w:r>
      <w:r>
        <w:t>и</w:t>
      </w:r>
      <w:r>
        <w:t>ческий доклад Федеративной Республики Германии (</w:t>
      </w:r>
      <w:r>
        <w:rPr>
          <w:lang w:val="en-US"/>
        </w:rPr>
        <w:t>CEDAW</w:t>
      </w:r>
      <w:r>
        <w:t>/</w:t>
      </w:r>
      <w:r>
        <w:rPr>
          <w:lang w:val="en-US"/>
        </w:rPr>
        <w:t>C</w:t>
      </w:r>
      <w:r>
        <w:t>/</w:t>
      </w:r>
      <w:r>
        <w:rPr>
          <w:lang w:val="en-US"/>
        </w:rPr>
        <w:t>DEU</w:t>
      </w:r>
      <w:r>
        <w:t>/2-3 и 4) на своих 464 и 465-м заседаниях 1 февраля 2000 года.</w:t>
      </w:r>
    </w:p>
    <w:p w:rsidR="00000000" w:rsidRDefault="00000000">
      <w:pPr>
        <w:pStyle w:val="SingleTxt"/>
      </w:pPr>
      <w:r>
        <w:t>Помимо положительных сторон, которые описывались, в частности, в пунктах 11–17, в пунктах 19–46 Комитет отметил также существующие пр</w:t>
      </w:r>
      <w:r>
        <w:t>о</w:t>
      </w:r>
      <w:r>
        <w:t>блемы и вынес рекомендации.</w:t>
      </w:r>
    </w:p>
    <w:p w:rsidR="00000000" w:rsidRDefault="00000000">
      <w:pPr>
        <w:pStyle w:val="SingleTxt"/>
      </w:pPr>
      <w:r>
        <w:t>В соответствии с рекомендациями Комитета в настоящем докладе делае</w:t>
      </w:r>
      <w:r>
        <w:t>т</w:t>
      </w:r>
      <w:r>
        <w:t>ся попытка не просто описать текущее положение дел, а лучше проанализир</w:t>
      </w:r>
      <w:r>
        <w:t>о</w:t>
      </w:r>
      <w:r>
        <w:t>вать и оценить принятые меры по ликвидации дискриминации в отношении женщин во всех областях их жизни.</w:t>
      </w:r>
    </w:p>
    <w:p w:rsidR="00000000" w:rsidRDefault="00000000">
      <w:pPr>
        <w:pStyle w:val="SingleTxt"/>
        <w:keepNext/>
      </w:pPr>
      <w:r>
        <w:t>В отношении отдельных пунктов:</w:t>
      </w:r>
    </w:p>
    <w:p w:rsidR="00000000" w:rsidRDefault="00000000">
      <w:pPr>
        <w:pStyle w:val="SingleTxt"/>
        <w:keepNext/>
        <w:rPr>
          <w:u w:val="single"/>
        </w:rPr>
      </w:pPr>
      <w:r>
        <w:rPr>
          <w:u w:val="single"/>
        </w:rPr>
        <w:t>В отношении пунктов 3 и 17:</w:t>
      </w:r>
    </w:p>
    <w:p w:rsidR="00000000" w:rsidRDefault="00000000">
      <w:pPr>
        <w:pStyle w:val="SingleTxt"/>
        <w:rPr>
          <w:i/>
        </w:rPr>
      </w:pPr>
      <w:r>
        <w:rPr>
          <w:i/>
        </w:rPr>
        <w:t>Представитель подчеркнула, что 10 декабря 1999 года Германия подп</w:t>
      </w:r>
      <w:r>
        <w:rPr>
          <w:i/>
        </w:rPr>
        <w:t>и</w:t>
      </w:r>
      <w:r>
        <w:rPr>
          <w:i/>
        </w:rPr>
        <w:t>сала Факультативный протокол к Конвенции. Процесс ратификации будет начат в 2000 году вместе с признанием поправки к пункту 1 статьи 20 Конвенции. В свете последнего решения Европейского суда по поводу вв</w:t>
      </w:r>
      <w:r>
        <w:rPr>
          <w:i/>
        </w:rPr>
        <w:t>е</w:t>
      </w:r>
      <w:r>
        <w:rPr>
          <w:i/>
        </w:rPr>
        <w:t>денного в Германии запрета на ношение женщинами оружия Германия ра</w:t>
      </w:r>
      <w:r>
        <w:rPr>
          <w:i/>
        </w:rPr>
        <w:t>с</w:t>
      </w:r>
      <w:r>
        <w:rPr>
          <w:i/>
        </w:rPr>
        <w:t>смотрит свою оговорку к пункту (</w:t>
      </w:r>
      <w:r>
        <w:rPr>
          <w:i/>
          <w:lang w:val="en-US"/>
        </w:rPr>
        <w:t>b</w:t>
      </w:r>
      <w:r>
        <w:rPr>
          <w:i/>
        </w:rPr>
        <w:t>) статьи 7 Конвенции.</w:t>
      </w:r>
    </w:p>
    <w:p w:rsidR="00000000" w:rsidRDefault="00000000">
      <w:pPr>
        <w:pStyle w:val="SingleTxt"/>
        <w:rPr>
          <w:i/>
        </w:rPr>
      </w:pPr>
      <w:r>
        <w:rPr>
          <w:i/>
        </w:rPr>
        <w:t>Комитет отмечает, что правительство при оценке решения Европе</w:t>
      </w:r>
      <w:r>
        <w:rPr>
          <w:i/>
        </w:rPr>
        <w:t>й</w:t>
      </w:r>
      <w:r>
        <w:rPr>
          <w:i/>
        </w:rPr>
        <w:t>ского суда в отношении роли женщин в вооруженных силах Германии ра</w:t>
      </w:r>
      <w:r>
        <w:rPr>
          <w:i/>
        </w:rPr>
        <w:t>с</w:t>
      </w:r>
      <w:r>
        <w:rPr>
          <w:i/>
        </w:rPr>
        <w:t>смотрит и свою оговорку к пункту (b) статьи 7 Конвенции.</w:t>
      </w:r>
    </w:p>
    <w:p w:rsidR="00000000" w:rsidRDefault="00000000">
      <w:pPr>
        <w:pStyle w:val="SingleTxt"/>
      </w:pPr>
      <w:r>
        <w:t>Конвенция о ликвидации всех форм дискриминации в отношении женщин (КЛДОЖ) от 18 декабря 1979 года вступила в силу в системе международного права 3 сентября 1981 года, а на территории Германии – 9 августа 1985 года. Она является одним из основополагающих юридических документов в области прав человека женщин. 25 апреля 1985 года в статье 1 Закона о ратификации Конвенции была сделана сл</w:t>
      </w:r>
      <w:r>
        <w:t>е</w:t>
      </w:r>
      <w:r>
        <w:t>дующая оговорка:</w:t>
      </w:r>
    </w:p>
    <w:p w:rsidR="00000000" w:rsidRDefault="00000000">
      <w:pPr>
        <w:pStyle w:val="dot"/>
      </w:pPr>
      <w:r>
        <w:tab/>
      </w:r>
      <w:r>
        <w:tab/>
        <w:t>•</w:t>
      </w:r>
      <w:r>
        <w:tab/>
        <w:t>…Конвенция… настоящим одобряется при условии, что подпункт (</w:t>
      </w:r>
      <w:r>
        <w:rPr>
          <w:lang w:val="en-US"/>
        </w:rPr>
        <w:t>b</w:t>
      </w:r>
      <w:r>
        <w:t>) ст</w:t>
      </w:r>
      <w:r>
        <w:t>а</w:t>
      </w:r>
      <w:r>
        <w:t>тьи 7 Конвенции не будет применяться, поскольку он противоречит вт</w:t>
      </w:r>
      <w:r>
        <w:t>о</w:t>
      </w:r>
      <w:r>
        <w:t>рому предложению в пункте 4 статьи 12а Основного з</w:t>
      </w:r>
      <w:r>
        <w:t>а</w:t>
      </w:r>
      <w:r>
        <w:t>кона.</w:t>
      </w:r>
    </w:p>
    <w:p w:rsidR="00000000" w:rsidRDefault="00000000">
      <w:pPr>
        <w:pStyle w:val="SingleTxt"/>
      </w:pPr>
      <w:r>
        <w:t>Представитель Федеративной Республики Германии уже объявила на з</w:t>
      </w:r>
      <w:r>
        <w:t>а</w:t>
      </w:r>
      <w:r>
        <w:t>седании, состоявшемся 1 февраля 2000 года, что Германия рассмотрит оговорку к подпункту (</w:t>
      </w:r>
      <w:r>
        <w:rPr>
          <w:lang w:val="en-US"/>
        </w:rPr>
        <w:t>b</w:t>
      </w:r>
      <w:r>
        <w:t>) статьи 7 Конвенции в свете решения Евр</w:t>
      </w:r>
      <w:r>
        <w:t>о</w:t>
      </w:r>
      <w:r>
        <w:t>пейского суда.</w:t>
      </w:r>
    </w:p>
    <w:p w:rsidR="00000000" w:rsidRDefault="00000000">
      <w:pPr>
        <w:pStyle w:val="SingleTxt"/>
      </w:pPr>
      <w:r>
        <w:t>В соответствии с решением Европейского суда от 11 января 2000 года по делу № С-285/98 (Таня Крейл) во второе предложение пункта 4 статьи 12а О</w:t>
      </w:r>
      <w:r>
        <w:t>с</w:t>
      </w:r>
      <w:r>
        <w:t>новного закона на основании Закона от 19 декабря 2000 года была внесена п</w:t>
      </w:r>
      <w:r>
        <w:t>о</w:t>
      </w:r>
      <w:r>
        <w:t>правка, гласящая, что женщины теперь «ни при каких обстоятельствах не могут принуждаться к несению службы, связанной с применением оружия». Благод</w:t>
      </w:r>
      <w:r>
        <w:t>а</w:t>
      </w:r>
      <w:r>
        <w:t>ря этой поправке к Основному закону, а также соответствующим подзаконным актам и постановлениям парламент поставил принцип добровольной службы женщин, связанной с применением оружия, на прочную конституционную и законодательную основу. Ограничения, ранее позволявшие женщинам служить только в военно-медицинской службе и музыкальных подразделениях, были отменены. Таким образом, теперь женщины могут добровольно служить в ге</w:t>
      </w:r>
      <w:r>
        <w:t>р</w:t>
      </w:r>
      <w:r>
        <w:t>манских вооруженных силах на профессиональной основе, в порядке прохо</w:t>
      </w:r>
      <w:r>
        <w:t>ж</w:t>
      </w:r>
      <w:r>
        <w:t>дения срочной службы или на основе добровольного обязательства по оказ</w:t>
      </w:r>
      <w:r>
        <w:t>а</w:t>
      </w:r>
      <w:r>
        <w:t>нию отдельных видов услуг, например в связи с проведением учений в мирное время и развертыванием специальных сил за рубежом. Эта поправка к Конст</w:t>
      </w:r>
      <w:r>
        <w:t>и</w:t>
      </w:r>
      <w:r>
        <w:t>туции призвана дать равные возможности женщинам, находящимся на службе в рядах вооруженных сил.</w:t>
      </w:r>
    </w:p>
    <w:p w:rsidR="00000000" w:rsidRDefault="00000000">
      <w:pPr>
        <w:pStyle w:val="SingleTxt"/>
      </w:pPr>
      <w:r>
        <w:t>Оговорка к подпункту (</w:t>
      </w:r>
      <w:r>
        <w:rPr>
          <w:lang w:val="en-US"/>
        </w:rPr>
        <w:t>b</w:t>
      </w:r>
      <w:r>
        <w:t>) статьи 7 Конвенции стала теперь ненужной бл</w:t>
      </w:r>
      <w:r>
        <w:t>а</w:t>
      </w:r>
      <w:r>
        <w:t>годаря тому, что теперь женщины получили равное право служить в рядах во</w:t>
      </w:r>
      <w:r>
        <w:t>о</w:t>
      </w:r>
      <w:r>
        <w:t>руженных сил. Федеративная Республика Германия сняла эту оговорку 10 декабря 2001 года.</w:t>
      </w:r>
    </w:p>
    <w:p w:rsidR="00000000" w:rsidRDefault="00000000">
      <w:pPr>
        <w:pStyle w:val="SingleTxt"/>
        <w:keepNext/>
        <w:rPr>
          <w:u w:val="single"/>
        </w:rPr>
      </w:pPr>
      <w:r>
        <w:rPr>
          <w:u w:val="single"/>
        </w:rPr>
        <w:t>В отношении пунктов 21 и 22:</w:t>
      </w:r>
    </w:p>
    <w:p w:rsidR="00000000" w:rsidRDefault="00000000">
      <w:pPr>
        <w:pStyle w:val="SingleTxt"/>
        <w:rPr>
          <w:i/>
        </w:rPr>
      </w:pPr>
      <w:r>
        <w:rPr>
          <w:i/>
        </w:rPr>
        <w:t>Комитет обеспокоен тем, что, несмотря на ряд принятых мер, осущ</w:t>
      </w:r>
      <w:r>
        <w:rPr>
          <w:i/>
        </w:rPr>
        <w:t>е</w:t>
      </w:r>
      <w:r>
        <w:rPr>
          <w:i/>
        </w:rPr>
        <w:t>ствление Конвенции применительно к женщинам, проживающим в новых зе</w:t>
      </w:r>
      <w:r>
        <w:rPr>
          <w:i/>
        </w:rPr>
        <w:t>м</w:t>
      </w:r>
      <w:r>
        <w:rPr>
          <w:i/>
        </w:rPr>
        <w:t>лях, по-прежнему происходит медленнее, чем в отношении женщин, прож</w:t>
      </w:r>
      <w:r>
        <w:rPr>
          <w:i/>
        </w:rPr>
        <w:t>и</w:t>
      </w:r>
      <w:r>
        <w:rPr>
          <w:i/>
        </w:rPr>
        <w:t>вающих в старых землях. Он обеспокоен тем, что в новых землях женщины, привыкшие к полной занятости, в настоящее время составляют среди безр</w:t>
      </w:r>
      <w:r>
        <w:rPr>
          <w:i/>
        </w:rPr>
        <w:t>а</w:t>
      </w:r>
      <w:r>
        <w:rPr>
          <w:i/>
        </w:rPr>
        <w:t>ботных 20,7 процента. Это непропорционально высокая процентная доля по сравнению с показателем безработицы среди мужчин в новых землях, а также с общим п</w:t>
      </w:r>
      <w:r>
        <w:rPr>
          <w:i/>
        </w:rPr>
        <w:t>о</w:t>
      </w:r>
      <w:r>
        <w:rPr>
          <w:i/>
        </w:rPr>
        <w:t>казателем безработицы среди женщин в Германии.</w:t>
      </w:r>
    </w:p>
    <w:p w:rsidR="00000000" w:rsidRDefault="00000000">
      <w:pPr>
        <w:pStyle w:val="SingleTxt"/>
        <w:rPr>
          <w:i/>
        </w:rPr>
      </w:pPr>
      <w:r>
        <w:rPr>
          <w:i/>
        </w:rPr>
        <w:t>Комитет настоятельно призывает правительство продолжать целен</w:t>
      </w:r>
      <w:r>
        <w:rPr>
          <w:i/>
        </w:rPr>
        <w:t>а</w:t>
      </w:r>
      <w:r>
        <w:rPr>
          <w:i/>
        </w:rPr>
        <w:t>правленную работу по улучшению положения женщин в новых землях в сфере труда и занятости, а также по повышению их общего социального благосо</w:t>
      </w:r>
      <w:r>
        <w:rPr>
          <w:i/>
        </w:rPr>
        <w:t>с</w:t>
      </w:r>
      <w:r>
        <w:rPr>
          <w:i/>
        </w:rPr>
        <w:t>тояния.</w:t>
      </w:r>
    </w:p>
    <w:p w:rsidR="00000000" w:rsidRDefault="00000000">
      <w:pPr>
        <w:pStyle w:val="SingleTxt"/>
      </w:pPr>
      <w:r>
        <w:t>За отчетный период в ответ на призыв Комитета принять целенаправле</w:t>
      </w:r>
      <w:r>
        <w:t>н</w:t>
      </w:r>
      <w:r>
        <w:t xml:space="preserve">ные меры по улучшению положения женщин в новых землях в сфере труда и занятости были приняты многочисленные меры в рамках активной политики в отношении рынка труда, такие, как принятие Закона о труде </w:t>
      </w:r>
      <w:r>
        <w:rPr>
          <w:lang w:val="en-US"/>
        </w:rPr>
        <w:t>AQTIV</w:t>
      </w:r>
      <w:r>
        <w:t xml:space="preserve"> (см. часть </w:t>
      </w:r>
      <w:r>
        <w:rPr>
          <w:lang w:val="en-US"/>
        </w:rPr>
        <w:t>I</w:t>
      </w:r>
      <w:r>
        <w:t>, 3.4.7).</w:t>
      </w:r>
    </w:p>
    <w:p w:rsidR="00000000" w:rsidRDefault="00000000">
      <w:pPr>
        <w:pStyle w:val="SingleTxt"/>
      </w:pPr>
      <w:r>
        <w:t>В этой связи следует, однако, иметь в виду, что практически полный крах экономики бывшей ГДР после воссоединения продолжает негативно сказыват</w:t>
      </w:r>
      <w:r>
        <w:t>ь</w:t>
      </w:r>
      <w:r>
        <w:t>ся на конъюнктуре рынка труда и положении с занятостью как женщин, так и мужчин. Так, контролируемый государством рынок труда в бывшей ГДР обе</w:t>
      </w:r>
      <w:r>
        <w:t>с</w:t>
      </w:r>
      <w:r>
        <w:t>печивал практически стопроцентную интеграцию женщин, женский труд почти повсеместно признавался обществом, но существовали также и экономические предпосылки для труда женщин. В то же время государственная сеть яслей и центров по уходу за детьми позволяла женщинам совмещать семейные и раб</w:t>
      </w:r>
      <w:r>
        <w:t>о</w:t>
      </w:r>
      <w:r>
        <w:t>чие обязанности.</w:t>
      </w:r>
    </w:p>
    <w:p w:rsidR="00000000" w:rsidRDefault="00000000">
      <w:pPr>
        <w:pStyle w:val="SingleTxt"/>
        <w:keepNext/>
        <w:rPr>
          <w:u w:val="single"/>
        </w:rPr>
      </w:pPr>
      <w:r>
        <w:rPr>
          <w:u w:val="single"/>
        </w:rPr>
        <w:t>В отношении пункта 23:</w:t>
      </w:r>
    </w:p>
    <w:p w:rsidR="00000000" w:rsidRDefault="00000000">
      <w:pPr>
        <w:pStyle w:val="SingleTxt"/>
        <w:rPr>
          <w:i/>
        </w:rPr>
      </w:pPr>
      <w:r>
        <w:rPr>
          <w:i/>
        </w:rPr>
        <w:t>Комитет обеспокоен тем, что программы, законы и политика прав</w:t>
      </w:r>
      <w:r>
        <w:rPr>
          <w:i/>
        </w:rPr>
        <w:t>и</w:t>
      </w:r>
      <w:r>
        <w:rPr>
          <w:i/>
        </w:rPr>
        <w:t>тельства не обеспечивают, чтобы конституционная обязанность содейств</w:t>
      </w:r>
      <w:r>
        <w:rPr>
          <w:i/>
        </w:rPr>
        <w:t>о</w:t>
      </w:r>
      <w:r>
        <w:rPr>
          <w:i/>
        </w:rPr>
        <w:t>вать достижению фактического равенства женщин воспринималась в кач</w:t>
      </w:r>
      <w:r>
        <w:rPr>
          <w:i/>
        </w:rPr>
        <w:t>е</w:t>
      </w:r>
      <w:r>
        <w:rPr>
          <w:i/>
        </w:rPr>
        <w:t>стве социал</w:t>
      </w:r>
      <w:r>
        <w:rPr>
          <w:i/>
        </w:rPr>
        <w:t>ь</w:t>
      </w:r>
      <w:r>
        <w:rPr>
          <w:i/>
        </w:rPr>
        <w:t>ной функции и реализовывалась на практике.</w:t>
      </w:r>
    </w:p>
    <w:p w:rsidR="00000000" w:rsidRDefault="00000000">
      <w:pPr>
        <w:pStyle w:val="SingleTxt"/>
      </w:pPr>
      <w:r>
        <w:t>В связи с этой проблемой, волнующей Комитет, можно отметить, что за отчетный период благодаря принятию законодательных мер и другим иници</w:t>
      </w:r>
      <w:r>
        <w:t>а</w:t>
      </w:r>
      <w:r>
        <w:t>тивам произошло значительное улучшение ситуации по сравнению с периодом, охватываемым последним докладом. Призыв к установлению фактического р</w:t>
      </w:r>
      <w:r>
        <w:t>а</w:t>
      </w:r>
      <w:r>
        <w:t>венства между женщинами и мужчинами закреплен в конституционном поря</w:t>
      </w:r>
      <w:r>
        <w:t>д</w:t>
      </w:r>
      <w:r>
        <w:t>ке во втором предложении пункта 2 статьи 3 Основного закона и, таким обр</w:t>
      </w:r>
      <w:r>
        <w:t>а</w:t>
      </w:r>
      <w:r>
        <w:t>зом, переведен в плоскость практических действий.</w:t>
      </w:r>
    </w:p>
    <w:p w:rsidR="00000000" w:rsidRDefault="00000000">
      <w:pPr>
        <w:pStyle w:val="SingleTxt"/>
        <w:keepNext/>
        <w:rPr>
          <w:u w:val="single"/>
        </w:rPr>
      </w:pPr>
      <w:r>
        <w:rPr>
          <w:u w:val="single"/>
        </w:rPr>
        <w:t>В отношении пункта 24:</w:t>
      </w:r>
    </w:p>
    <w:p w:rsidR="00000000" w:rsidRDefault="00000000">
      <w:pPr>
        <w:pStyle w:val="SingleTxt"/>
        <w:rPr>
          <w:i/>
        </w:rPr>
      </w:pPr>
      <w:r>
        <w:rPr>
          <w:i/>
        </w:rPr>
        <w:t>Комитет настоятельно призывает правительство принять меры к обе</w:t>
      </w:r>
      <w:r>
        <w:rPr>
          <w:i/>
        </w:rPr>
        <w:t>с</w:t>
      </w:r>
      <w:r>
        <w:rPr>
          <w:i/>
        </w:rPr>
        <w:t>печению того, чтобы государственные должностные лица, включая сотру</w:t>
      </w:r>
      <w:r>
        <w:rPr>
          <w:i/>
        </w:rPr>
        <w:t>д</w:t>
      </w:r>
      <w:r>
        <w:rPr>
          <w:i/>
        </w:rPr>
        <w:t>ников правоохранительных органов, способствовали реализации этого принц</w:t>
      </w:r>
      <w:r>
        <w:rPr>
          <w:i/>
        </w:rPr>
        <w:t>и</w:t>
      </w:r>
      <w:r>
        <w:rPr>
          <w:i/>
        </w:rPr>
        <w:t>па на всей территории страны. Он настоятельно призывает правительство обеспечить, чтобы в рамках высшего и непрерывного юридического образов</w:t>
      </w:r>
      <w:r>
        <w:rPr>
          <w:i/>
        </w:rPr>
        <w:t>а</w:t>
      </w:r>
      <w:r>
        <w:rPr>
          <w:i/>
        </w:rPr>
        <w:t>ния при подготовке юристов и судебных работников адекватное внимание уделялось вопросам растущего понимания важности равенства и недискрим</w:t>
      </w:r>
      <w:r>
        <w:rPr>
          <w:i/>
        </w:rPr>
        <w:t>и</w:t>
      </w:r>
      <w:r>
        <w:rPr>
          <w:i/>
        </w:rPr>
        <w:t>нации, международных норм и стандартов в этом отношении. Он насто</w:t>
      </w:r>
      <w:r>
        <w:rPr>
          <w:i/>
        </w:rPr>
        <w:t>я</w:t>
      </w:r>
      <w:r>
        <w:rPr>
          <w:i/>
        </w:rPr>
        <w:t>тельно призывает также правительство обеспечить наличие эффективных внутренних средств защиты и их доступность для женщин, особенно в свете предстоящего вступления в силу Факультативного протокола к Конвенции. Он рекомендует правительству делать прямые ссылки на Конвенцию в своих ин</w:t>
      </w:r>
      <w:r>
        <w:rPr>
          <w:i/>
        </w:rPr>
        <w:t>и</w:t>
      </w:r>
      <w:r>
        <w:rPr>
          <w:i/>
        </w:rPr>
        <w:t>циативах, касающихся законодательства, политики и разработки программ, поскольку Конвенция имеет обязательную юридическую силу и такое использ</w:t>
      </w:r>
      <w:r>
        <w:rPr>
          <w:i/>
        </w:rPr>
        <w:t>о</w:t>
      </w:r>
      <w:r>
        <w:rPr>
          <w:i/>
        </w:rPr>
        <w:t>вание повысило бы информированность о международных обязательствах, принятых государс</w:t>
      </w:r>
      <w:r>
        <w:rPr>
          <w:i/>
        </w:rPr>
        <w:t>т</w:t>
      </w:r>
      <w:r>
        <w:rPr>
          <w:i/>
        </w:rPr>
        <w:t>вом-участником.</w:t>
      </w:r>
    </w:p>
    <w:p w:rsidR="00000000" w:rsidRDefault="00000000">
      <w:pPr>
        <w:pStyle w:val="SingleTxt"/>
      </w:pPr>
      <w:r>
        <w:t>Комитет, среди прочего, коснулся проблемы непрерывного образования юристов, затрагивающего такие темы, как равенство и недискриминация же</w:t>
      </w:r>
      <w:r>
        <w:t>н</w:t>
      </w:r>
      <w:r>
        <w:t>щин. В соответствии с подразделом 6 раздела 43а Федерального кодекса пол</w:t>
      </w:r>
      <w:r>
        <w:t>о</w:t>
      </w:r>
      <w:r>
        <w:t>жений о юристах (</w:t>
      </w:r>
      <w:r>
        <w:rPr>
          <w:lang w:val="en-US"/>
        </w:rPr>
        <w:t>Bundesrechtsanwaltsordnung</w:t>
      </w:r>
      <w:r>
        <w:t xml:space="preserve"> – </w:t>
      </w:r>
      <w:r>
        <w:rPr>
          <w:lang w:val="en-US"/>
        </w:rPr>
        <w:t>BRAO</w:t>
      </w:r>
      <w:r>
        <w:t>) юристы обязаны пр</w:t>
      </w:r>
      <w:r>
        <w:t>о</w:t>
      </w:r>
      <w:r>
        <w:t>должать свое образование на непрерывной основе.</w:t>
      </w:r>
    </w:p>
    <w:p w:rsidR="00000000" w:rsidRDefault="00000000">
      <w:pPr>
        <w:pStyle w:val="SingleTxt"/>
      </w:pPr>
      <w:r>
        <w:t>Нижеследующие положения касаются юристов-специалистов (раздел 43с Федерального кодекса положений о юристах): каждое лицо, имеющее звание юриста-специалиста, обязано посещать как минимум один дополнительный учебный курс по своей специализации в год – в качестве лектора или слушат</w:t>
      </w:r>
      <w:r>
        <w:t>е</w:t>
      </w:r>
      <w:r>
        <w:t>ля. Общая продолжительность дополнительного учебного курса должна быть не менее 10 часов. Юристы должны представлять документ о прохождении т</w:t>
      </w:r>
      <w:r>
        <w:t>а</w:t>
      </w:r>
      <w:r>
        <w:t>кого обучения в ассоциацию адвокатов, не дожидаясь просьбы с ее стороны (раздел 15 Кодекса положений о юристах-специалистах [</w:t>
      </w:r>
      <w:r>
        <w:rPr>
          <w:lang w:val="en-US"/>
        </w:rPr>
        <w:t>Fachanwaltsordnung</w:t>
      </w:r>
      <w:r>
        <w:t>]). Разрешение носить звание юриста-специалиста может быть аннулировано, если такие дополнительные учебные курсы, предписанные профессиональным к</w:t>
      </w:r>
      <w:r>
        <w:t>о</w:t>
      </w:r>
      <w:r>
        <w:t>дексом, не посещаются (второе предложение подраздела 4 раздела 43с Фед</w:t>
      </w:r>
      <w:r>
        <w:t>е</w:t>
      </w:r>
      <w:r>
        <w:t>рального кодекса положений о юристах).</w:t>
      </w:r>
    </w:p>
    <w:p w:rsidR="00000000" w:rsidRDefault="00000000">
      <w:pPr>
        <w:pStyle w:val="SingleTxt"/>
      </w:pPr>
      <w:r>
        <w:t>Что касается основополагающей обязанности проходить дополнительное обучение (подраздел 6 раздела 43а Федерального кодекса положений о юр</w:t>
      </w:r>
      <w:r>
        <w:t>и</w:t>
      </w:r>
      <w:r>
        <w:t>стах), то, как указал Юридический комитет федерального парламента Герм</w:t>
      </w:r>
      <w:r>
        <w:t>а</w:t>
      </w:r>
      <w:r>
        <w:t>нии, «более детально регламентировать эту обязанность в профессиональном кодексе нет необходимости, поскольку отдельные юристы должны сами р</w:t>
      </w:r>
      <w:r>
        <w:t>е</w:t>
      </w:r>
      <w:r>
        <w:t>шать, каким образом они будут выполнять свой профессиональный долг» (р</w:t>
      </w:r>
      <w:r>
        <w:t>е</w:t>
      </w:r>
      <w:r>
        <w:t>комендация и доклад, документ федерального парламента [</w:t>
      </w:r>
      <w:r>
        <w:rPr>
          <w:lang w:val="en-US"/>
        </w:rPr>
        <w:t>BT</w:t>
      </w:r>
      <w:r>
        <w:t>-</w:t>
      </w:r>
      <w:r>
        <w:rPr>
          <w:lang w:val="en-US"/>
        </w:rPr>
        <w:t>Drs</w:t>
      </w:r>
      <w:r>
        <w:t>.] 12/7656, стр. 50, касательно № 25 (раздел 59</w:t>
      </w:r>
      <w:r>
        <w:rPr>
          <w:lang w:val="en-US"/>
        </w:rPr>
        <w:t>b</w:t>
      </w:r>
      <w:r>
        <w:t xml:space="preserve"> Федерального кодекса законов о юр</w:t>
      </w:r>
      <w:r>
        <w:t>и</w:t>
      </w:r>
      <w:r>
        <w:t>стах).</w:t>
      </w:r>
    </w:p>
    <w:p w:rsidR="00000000" w:rsidRDefault="00000000">
      <w:pPr>
        <w:pStyle w:val="SingleTxt"/>
      </w:pPr>
      <w:r>
        <w:t>В законодательстве, регламентирующем профессиональную деятельность, не устанавливается, в каких областях или по каким темам юристы должны пр</w:t>
      </w:r>
      <w:r>
        <w:t>о</w:t>
      </w:r>
      <w:r>
        <w:t>ходить дополнительную подготовку. В самом деле, сделать это практически н</w:t>
      </w:r>
      <w:r>
        <w:t>е</w:t>
      </w:r>
      <w:r>
        <w:t>возможно. Согласно положениям гражданского права, юристы обязаны прох</w:t>
      </w:r>
      <w:r>
        <w:t>о</w:t>
      </w:r>
      <w:r>
        <w:t>дить такую дополнительную подготовку, которая помогла бы им приобрести надлежащие навыки работы с клие</w:t>
      </w:r>
      <w:r>
        <w:t>н</w:t>
      </w:r>
      <w:r>
        <w:t>тами (раздел 276 Гражданского кодекса).</w:t>
      </w:r>
    </w:p>
    <w:p w:rsidR="00000000" w:rsidRDefault="00000000">
      <w:pPr>
        <w:pStyle w:val="SingleTxt"/>
      </w:pPr>
      <w:r>
        <w:t>Задача Федеральной ассоциации адвокатов (</w:t>
      </w:r>
      <w:r>
        <w:rPr>
          <w:lang w:val="en-US"/>
        </w:rPr>
        <w:t>BRAK</w:t>
      </w:r>
      <w:r>
        <w:t>) – поощрять дополн</w:t>
      </w:r>
      <w:r>
        <w:t>и</w:t>
      </w:r>
      <w:r>
        <w:t>тельную профессиональную подготовку юристов (Федеральный кодекс пол</w:t>
      </w:r>
      <w:r>
        <w:t>о</w:t>
      </w:r>
      <w:r>
        <w:t>жений о юристах, раздел 177, подраздел 2, № 6). Федеральная ассоциация а</w:t>
      </w:r>
      <w:r>
        <w:t>д</w:t>
      </w:r>
      <w:r>
        <w:t>вокатов, в частности, оказывает поддержку Германскому институту юристов в решении задач, связанных с организацией дополнительного обучения. Асс</w:t>
      </w:r>
      <w:r>
        <w:t>о</w:t>
      </w:r>
      <w:r>
        <w:t>циации юристов, в частности Германская ассоциация адвокатов, и другие час</w:t>
      </w:r>
      <w:r>
        <w:t>т</w:t>
      </w:r>
      <w:r>
        <w:t>ные организации, организующие дополнительную подготовку юристов, своей деятельностью дополняют ассортимент предлагаемых учебных программ.</w:t>
      </w:r>
    </w:p>
    <w:p w:rsidR="00000000" w:rsidRDefault="00000000">
      <w:pPr>
        <w:pStyle w:val="SingleTxt"/>
      </w:pPr>
      <w:r>
        <w:t>В сфере юриспруденции, и особенно в судебных органах, о которых уп</w:t>
      </w:r>
      <w:r>
        <w:t>о</w:t>
      </w:r>
      <w:r>
        <w:t>минает Комитет, организуется, в частности, широкий круг дополнительных учебных занятий по теме равенства и недискриминации женщин. Например, Германская академия судей, которую поддерживают и финансируют как фед</w:t>
      </w:r>
      <w:r>
        <w:t>е</w:t>
      </w:r>
      <w:r>
        <w:t>ральное правительство, так и земли и которая решает задачи дополнительной подготовки судей во всех секторах судебной системы по всей территории стр</w:t>
      </w:r>
      <w:r>
        <w:t>а</w:t>
      </w:r>
      <w:r>
        <w:t>ны, равно как и общественных обвинителей, организует ежегодные конфере</w:t>
      </w:r>
      <w:r>
        <w:t>н</w:t>
      </w:r>
      <w:r>
        <w:t>ции по этой группе вопросов.</w:t>
      </w:r>
    </w:p>
    <w:p w:rsidR="00000000" w:rsidRDefault="00000000">
      <w:pPr>
        <w:pStyle w:val="SingleTxt"/>
      </w:pPr>
      <w:r>
        <w:t>Например, несколько конференций, проведенных Германской академией судей за прошедшие годы, неизменно посвящались таким вопросам, как «Же</w:t>
      </w:r>
      <w:r>
        <w:t>н</w:t>
      </w:r>
      <w:r>
        <w:t>щины в судебной системе» и «Женщины и судебная ответственность». Вместе с тем на конференциях по вопросам трудового права, таким, как «Европейское право применительно к трудовому законодательству», «Текущие проблемы трудового права» и «Закон о поощрении занятости в соответствии с трудовым законодательством и другие тематические вопросы трудового права», также з</w:t>
      </w:r>
      <w:r>
        <w:t>а</w:t>
      </w:r>
      <w:r>
        <w:t>трагиваются вопросы, касающиеся равенства и недискриминации женщин.</w:t>
      </w:r>
    </w:p>
    <w:p w:rsidR="00000000" w:rsidRDefault="00000000">
      <w:pPr>
        <w:pStyle w:val="SingleTxt"/>
      </w:pPr>
      <w:r>
        <w:t>Кроме того, Германской академией судей организуются семинары по теме «Снятие стресса на работе», на которых обращается внимание на особое пол</w:t>
      </w:r>
      <w:r>
        <w:t>о</w:t>
      </w:r>
      <w:r>
        <w:t>жение женщин, вынужденных совмещать рабочие и семейные обязанности, и предлагаются пути решения этой проблемы.</w:t>
      </w:r>
    </w:p>
    <w:p w:rsidR="00000000" w:rsidRDefault="00000000">
      <w:pPr>
        <w:pStyle w:val="SingleTxt"/>
      </w:pPr>
      <w:r>
        <w:t>Положение женщин в обществе и семье – тема многочисленных конф</w:t>
      </w:r>
      <w:r>
        <w:t>е</w:t>
      </w:r>
      <w:r>
        <w:t>ренций по вопросам семейного права. Кроме того, эта группа вопросов все ч</w:t>
      </w:r>
      <w:r>
        <w:t>а</w:t>
      </w:r>
      <w:r>
        <w:t>ще обсуждается на конференциях с участием европейских партнеров; прим</w:t>
      </w:r>
      <w:r>
        <w:t>е</w:t>
      </w:r>
      <w:r>
        <w:t>ром может служить польско-германская конференция 2000 года по теме «Охр</w:t>
      </w:r>
      <w:r>
        <w:t>а</w:t>
      </w:r>
      <w:r>
        <w:t>на семьи» и турецко-германская конференция, состоявшаяся в октябре 2001 года.</w:t>
      </w:r>
    </w:p>
    <w:p w:rsidR="00000000" w:rsidRDefault="00000000">
      <w:pPr>
        <w:pStyle w:val="SingleTxt"/>
        <w:keepNext/>
        <w:rPr>
          <w:u w:val="single"/>
        </w:rPr>
      </w:pPr>
      <w:r>
        <w:rPr>
          <w:u w:val="single"/>
        </w:rPr>
        <w:t>В отношении пункта 25:</w:t>
      </w:r>
    </w:p>
    <w:p w:rsidR="00000000" w:rsidRDefault="00000000">
      <w:pPr>
        <w:pStyle w:val="SingleTxt"/>
        <w:rPr>
          <w:i/>
        </w:rPr>
      </w:pPr>
      <w:r>
        <w:rPr>
          <w:i/>
        </w:rPr>
        <w:t>Комитет выражает свою озабоченность по поводу сохраняющихся н</w:t>
      </w:r>
      <w:r>
        <w:rPr>
          <w:i/>
        </w:rPr>
        <w:t>е</w:t>
      </w:r>
      <w:r>
        <w:rPr>
          <w:i/>
        </w:rPr>
        <w:t>благоприятных условий, в которых находятся женщины с точки зрения мн</w:t>
      </w:r>
      <w:r>
        <w:rPr>
          <w:i/>
        </w:rPr>
        <w:t>о</w:t>
      </w:r>
      <w:r>
        <w:rPr>
          <w:i/>
        </w:rPr>
        <w:t>гих аспектов труда и экономики. В частности, Комитет обеспокоен сохран</w:t>
      </w:r>
      <w:r>
        <w:rPr>
          <w:i/>
        </w:rPr>
        <w:t>е</w:t>
      </w:r>
      <w:r>
        <w:rPr>
          <w:i/>
        </w:rPr>
        <w:t>нием различий в зарплате между женщинами и мужчинами, которые выр</w:t>
      </w:r>
      <w:r>
        <w:rPr>
          <w:i/>
        </w:rPr>
        <w:t>а</w:t>
      </w:r>
      <w:r>
        <w:rPr>
          <w:i/>
        </w:rPr>
        <w:t>жаются в том, что женщины, несмотря на большие успехи в плане повыш</w:t>
      </w:r>
      <w:r>
        <w:rPr>
          <w:i/>
        </w:rPr>
        <w:t>е</w:t>
      </w:r>
      <w:r>
        <w:rPr>
          <w:i/>
        </w:rPr>
        <w:t>ния своего образовательного уровня, получают в среднем 77 процентов зар</w:t>
      </w:r>
      <w:r>
        <w:rPr>
          <w:i/>
        </w:rPr>
        <w:t>а</w:t>
      </w:r>
      <w:r>
        <w:rPr>
          <w:i/>
        </w:rPr>
        <w:t>ботной платы мужчин. Он обеспокоен тем, что в 1997 году женщины, доля которых в составе экономически активного населения была равна 42,1 процента, составляли 88 процентов среди лиц, занятых неполный раб</w:t>
      </w:r>
      <w:r>
        <w:rPr>
          <w:i/>
        </w:rPr>
        <w:t>о</w:t>
      </w:r>
      <w:r>
        <w:rPr>
          <w:i/>
        </w:rPr>
        <w:t>чий день, и 55,9 процента – среди безработных. Комитет обеспокоен тем, что эти различия свидетельствуют о сохранении косвенной дискриминации в о</w:t>
      </w:r>
      <w:r>
        <w:rPr>
          <w:i/>
        </w:rPr>
        <w:t>т</w:t>
      </w:r>
      <w:r>
        <w:rPr>
          <w:i/>
        </w:rPr>
        <w:t>ношении женщин на рынке труда. Он обеспокоен также тем, что работа в течение неполного рабочего дня, как правило, связана с менее квалифицирова</w:t>
      </w:r>
      <w:r>
        <w:rPr>
          <w:i/>
        </w:rPr>
        <w:t>н</w:t>
      </w:r>
      <w:r>
        <w:rPr>
          <w:i/>
        </w:rPr>
        <w:t>ным трудом, предоставляющим меньше возможностей для профессионального роста.</w:t>
      </w:r>
    </w:p>
    <w:p w:rsidR="00000000" w:rsidRDefault="00000000">
      <w:pPr>
        <w:pStyle w:val="SingleTxt"/>
      </w:pPr>
      <w:r>
        <w:t xml:space="preserve">Что касается обеспокоенности Комитета неблагоприятными условиями для женщин с точки зрения многих аспектов труда и экономики, то в этой связи следует обратить внимание на информацию, содержащуюся в разделе </w:t>
      </w:r>
      <w:r>
        <w:rPr>
          <w:lang w:val="en-US"/>
        </w:rPr>
        <w:t>I</w:t>
      </w:r>
      <w:r>
        <w:t xml:space="preserve"> 3.4 настоящего доклада, и обновленную таблицу 3.4 (в приложении). В допо</w:t>
      </w:r>
      <w:r>
        <w:t>л</w:t>
      </w:r>
      <w:r>
        <w:t>нение к этой и</w:t>
      </w:r>
      <w:r>
        <w:t>н</w:t>
      </w:r>
      <w:r>
        <w:t>формации можно сообщить следующее:</w:t>
      </w:r>
    </w:p>
    <w:p w:rsidR="00000000" w:rsidRDefault="00000000">
      <w:pPr>
        <w:pStyle w:val="SingleTxt"/>
      </w:pPr>
      <w:r>
        <w:t>За период с 1977 по 2000 год численность лиц, занятых неполный рабочий день и охваченных системой социального страхования, выросла на 8 процентов и составила 3 925 690. Таким образом, доля лиц, занятых неполный рабочий день, в общей численности работников, охваченных социальным страхованием, составила 14,1 процента. Труд в течение неполного рабочего дня остается пр</w:t>
      </w:r>
      <w:r>
        <w:t>е</w:t>
      </w:r>
      <w:r>
        <w:t>рогативой женщин, которые в 2000 году составляли 86 процентов всех части</w:t>
      </w:r>
      <w:r>
        <w:t>ч</w:t>
      </w:r>
      <w:r>
        <w:t>но занятых лиц. Однако тенденции последних лет показывают, что труд в теч</w:t>
      </w:r>
      <w:r>
        <w:t>е</w:t>
      </w:r>
      <w:r>
        <w:t>ние неполного дня все чаще устраивает и мужчин. Если число женщин, зан</w:t>
      </w:r>
      <w:r>
        <w:t>я</w:t>
      </w:r>
      <w:r>
        <w:t>тых неполный рабочий день, выросло за период с 1997 по 2000 год максимум на 4 процента, прирост численности мужчин в этой категории трудящихся с</w:t>
      </w:r>
      <w:r>
        <w:t>о</w:t>
      </w:r>
      <w:r>
        <w:t>ставил 46 процентов. Можно предположить, что благодаря принятию Закона о частичной занятости и трудоустройстве по срочным контрактам (</w:t>
      </w:r>
      <w:r>
        <w:rPr>
          <w:lang w:val="en-US"/>
        </w:rPr>
        <w:t>Gesetz</w:t>
      </w:r>
      <w:r>
        <w:t xml:space="preserve"> ü</w:t>
      </w:r>
      <w:r>
        <w:rPr>
          <w:lang w:val="en-US"/>
        </w:rPr>
        <w:t>ber</w:t>
      </w:r>
      <w:r>
        <w:t xml:space="preserve"> </w:t>
      </w:r>
      <w:r>
        <w:rPr>
          <w:lang w:val="en-US"/>
        </w:rPr>
        <w:t>Teilzeitarbeit</w:t>
      </w:r>
      <w:r>
        <w:t xml:space="preserve"> </w:t>
      </w:r>
      <w:r>
        <w:rPr>
          <w:lang w:val="en-US"/>
        </w:rPr>
        <w:t>und</w:t>
      </w:r>
      <w:r>
        <w:t xml:space="preserve"> </w:t>
      </w:r>
      <w:r>
        <w:rPr>
          <w:lang w:val="en-US"/>
        </w:rPr>
        <w:t>befristete</w:t>
      </w:r>
      <w:r>
        <w:t xml:space="preserve"> </w:t>
      </w:r>
      <w:r>
        <w:rPr>
          <w:lang w:val="en-US"/>
        </w:rPr>
        <w:t>Arbeitsvertr</w:t>
      </w:r>
      <w:r>
        <w:t>ä</w:t>
      </w:r>
      <w:r>
        <w:rPr>
          <w:lang w:val="en-US"/>
        </w:rPr>
        <w:t>ge</w:t>
      </w:r>
      <w:r>
        <w:t>), который вступил в силу 1 января 2001 года, эта цифра станет еще больше. Помимо обеспечения и расширения занятости, что важно с точки зрения политики в отношении рынка труда, этот закон, предоставляющий мужчинам и женщинам право работать в течение н</w:t>
      </w:r>
      <w:r>
        <w:t>е</w:t>
      </w:r>
      <w:r>
        <w:t>полного дня, преследует и другую цель – дать возможность в равной степени и женщинам, и мужчинам более эффективно совмещать семейные и рабочие об</w:t>
      </w:r>
      <w:r>
        <w:t>я</w:t>
      </w:r>
      <w:r>
        <w:t>занности и лучше планировать свои личные дела. Таким образом, эти полож</w:t>
      </w:r>
      <w:r>
        <w:t>е</w:t>
      </w:r>
      <w:r>
        <w:t>ния способствуют уравниванию возможностей женщин и мужчин.</w:t>
      </w:r>
    </w:p>
    <w:p w:rsidR="00000000" w:rsidRDefault="00000000">
      <w:pPr>
        <w:pStyle w:val="SingleTxt"/>
        <w:keepNext/>
        <w:rPr>
          <w:u w:val="single"/>
        </w:rPr>
      </w:pPr>
      <w:r>
        <w:rPr>
          <w:u w:val="single"/>
        </w:rPr>
        <w:t>В отношении пункта 26:</w:t>
      </w:r>
    </w:p>
    <w:p w:rsidR="00000000" w:rsidRDefault="00000000">
      <w:pPr>
        <w:pStyle w:val="SingleTxt"/>
        <w:rPr>
          <w:i/>
        </w:rPr>
      </w:pPr>
      <w:r>
        <w:rPr>
          <w:i/>
        </w:rPr>
        <w:t>Комитет призывает правительство обеспечить, чтобы определение ди</w:t>
      </w:r>
      <w:r>
        <w:rPr>
          <w:i/>
        </w:rPr>
        <w:t>с</w:t>
      </w:r>
      <w:r>
        <w:rPr>
          <w:i/>
        </w:rPr>
        <w:t>криминации, содержащееся в статье 1 Конвенции, особенно сформулирова</w:t>
      </w:r>
      <w:r>
        <w:rPr>
          <w:i/>
        </w:rPr>
        <w:t>н</w:t>
      </w:r>
      <w:r>
        <w:rPr>
          <w:i/>
        </w:rPr>
        <w:t>ный в Конвенции запрет на косвенную дискриминацию, было в полной мере о</w:t>
      </w:r>
      <w:r>
        <w:rPr>
          <w:i/>
        </w:rPr>
        <w:t>т</w:t>
      </w:r>
      <w:r>
        <w:rPr>
          <w:i/>
        </w:rPr>
        <w:t>ражено в законодательстве страны, прежде всего в трудовом законодател</w:t>
      </w:r>
      <w:r>
        <w:rPr>
          <w:i/>
        </w:rPr>
        <w:t>ь</w:t>
      </w:r>
      <w:r>
        <w:rPr>
          <w:i/>
        </w:rPr>
        <w:t>стве. В этой связи он приветствует намерение правительства подготовить доклад о равной оплате труда, в котором будут изучены основные причины дискрим</w:t>
      </w:r>
      <w:r>
        <w:rPr>
          <w:i/>
        </w:rPr>
        <w:t>и</w:t>
      </w:r>
      <w:r>
        <w:rPr>
          <w:i/>
        </w:rPr>
        <w:t>нации в отношении зарплаты. Комитет призывает государство-участник проанализировать существующие формулировки определения равн</w:t>
      </w:r>
      <w:r>
        <w:rPr>
          <w:i/>
        </w:rPr>
        <w:t>о</w:t>
      </w:r>
      <w:r>
        <w:rPr>
          <w:i/>
        </w:rPr>
        <w:t>го труда и труда равной ценности в целях выработки руководящих принципов или директив для установления при заключении коллективного договора о ра</w:t>
      </w:r>
      <w:r>
        <w:rPr>
          <w:i/>
        </w:rPr>
        <w:t>з</w:t>
      </w:r>
      <w:r>
        <w:rPr>
          <w:i/>
        </w:rPr>
        <w:t>мере заработной платы сопоставимых структур зарплаты в секторах с пр</w:t>
      </w:r>
      <w:r>
        <w:rPr>
          <w:i/>
        </w:rPr>
        <w:t>е</w:t>
      </w:r>
      <w:r>
        <w:rPr>
          <w:i/>
        </w:rPr>
        <w:t>обладанием женщин. Комитет настоятельно призывает правительство вн</w:t>
      </w:r>
      <w:r>
        <w:rPr>
          <w:i/>
        </w:rPr>
        <w:t>и</w:t>
      </w:r>
      <w:r>
        <w:rPr>
          <w:i/>
        </w:rPr>
        <w:t>мательно следить за последствиями осуществления его новой программы «Женщины и работа» в целях достижения провозглашенных целей расширения равных возможностей женщин и мужчин в трудовой и семейной сферах и н</w:t>
      </w:r>
      <w:r>
        <w:rPr>
          <w:i/>
        </w:rPr>
        <w:t>е</w:t>
      </w:r>
      <w:r>
        <w:rPr>
          <w:i/>
        </w:rPr>
        <w:t>допущения увековечения стереотипов в отношении роли мужчин и женщин.</w:t>
      </w:r>
    </w:p>
    <w:p w:rsidR="00000000" w:rsidRDefault="00000000">
      <w:pPr>
        <w:pStyle w:val="SingleTxt"/>
      </w:pPr>
      <w:r>
        <w:t>Просьба Комитета полностью отразить в германском законодательстве, прежде всего в трудовом законодательстве, определение дискриминации, с</w:t>
      </w:r>
      <w:r>
        <w:t>о</w:t>
      </w:r>
      <w:r>
        <w:t>держащееся в статье 1 Конвенции, особенно сформулированный в Конвенции запрет на косвенную ди</w:t>
      </w:r>
      <w:r>
        <w:t>с</w:t>
      </w:r>
      <w:r>
        <w:t>криминацию, выполнена.</w:t>
      </w:r>
    </w:p>
    <w:p w:rsidR="00000000" w:rsidRDefault="00000000">
      <w:pPr>
        <w:pStyle w:val="SingleTxt"/>
      </w:pPr>
      <w:r>
        <w:t>Включение определения дискриминации (прямой и косвенной) в трудовое законодательство будет происходить в порядке выполнения директивы Евр</w:t>
      </w:r>
      <w:r>
        <w:t>о</w:t>
      </w:r>
      <w:r>
        <w:t>пейского парламента и Совета о внесении поправок в директиву Совета 76/207/ЕЕС об осуществлении принципа равноправия мужчин и женщин в том, что касается возможностей для трудоустройства, профессиональной подгото</w:t>
      </w:r>
      <w:r>
        <w:t>в</w:t>
      </w:r>
      <w:r>
        <w:t>ки и продвижения по службе, а также у</w:t>
      </w:r>
      <w:r>
        <w:t>с</w:t>
      </w:r>
      <w:r>
        <w:t>ловий труда.</w:t>
      </w:r>
    </w:p>
    <w:p w:rsidR="00000000" w:rsidRDefault="00000000">
      <w:pPr>
        <w:pStyle w:val="SingleTxt"/>
      </w:pPr>
      <w:r>
        <w:t>В настоящее время в Федеративной Республике Германии готовится пр</w:t>
      </w:r>
      <w:r>
        <w:t>о</w:t>
      </w:r>
      <w:r>
        <w:t>ект закона о предупреждении дискриминации в гражданском праве (</w:t>
      </w:r>
      <w:r>
        <w:rPr>
          <w:lang w:val="en-US"/>
        </w:rPr>
        <w:t>Gesetz</w:t>
      </w:r>
      <w:r>
        <w:t xml:space="preserve"> </w:t>
      </w:r>
      <w:r>
        <w:rPr>
          <w:lang w:val="en-US"/>
        </w:rPr>
        <w:t>zur</w:t>
      </w:r>
      <w:r>
        <w:t xml:space="preserve"> </w:t>
      </w:r>
      <w:r>
        <w:rPr>
          <w:lang w:val="en-US"/>
        </w:rPr>
        <w:t>Verhinderung</w:t>
      </w:r>
      <w:r>
        <w:t xml:space="preserve"> </w:t>
      </w:r>
      <w:r>
        <w:rPr>
          <w:lang w:val="en-US"/>
        </w:rPr>
        <w:t>von</w:t>
      </w:r>
      <w:r>
        <w:t xml:space="preserve"> </w:t>
      </w:r>
      <w:r>
        <w:rPr>
          <w:lang w:val="en-US"/>
        </w:rPr>
        <w:t>Diskriminierungen</w:t>
      </w:r>
      <w:r>
        <w:t xml:space="preserve"> </w:t>
      </w:r>
      <w:r>
        <w:rPr>
          <w:lang w:val="en-US"/>
        </w:rPr>
        <w:t>im</w:t>
      </w:r>
      <w:r>
        <w:t xml:space="preserve"> </w:t>
      </w:r>
      <w:r>
        <w:rPr>
          <w:lang w:val="en-US"/>
        </w:rPr>
        <w:t>Zivilrecht</w:t>
      </w:r>
      <w:r>
        <w:t>), который призван также стать инструментом для решительной борьбы с дискриминацией при совершении з</w:t>
      </w:r>
      <w:r>
        <w:t>а</w:t>
      </w:r>
      <w:r>
        <w:t>конных сделок, регламентируемых гражданским правом. С этой целью в зак</w:t>
      </w:r>
      <w:r>
        <w:t>о</w:t>
      </w:r>
      <w:r>
        <w:t>нопроект, как и в статью 13 Договора об учреждении ЕС, включены положения об однозначном запрещении дискриминации, в том числе запрет на дискрим</w:t>
      </w:r>
      <w:r>
        <w:t>и</w:t>
      </w:r>
      <w:r>
        <w:t>нацию по признаку пола. Кроме того, в гражданском праве предполагается вв</w:t>
      </w:r>
      <w:r>
        <w:t>е</w:t>
      </w:r>
      <w:r>
        <w:t>сти в действие механизмы, гарантирующие соблюдение этих запретов на ди</w:t>
      </w:r>
      <w:r>
        <w:t>с</w:t>
      </w:r>
      <w:r>
        <w:t>криминацию.</w:t>
      </w:r>
    </w:p>
    <w:p w:rsidR="00000000" w:rsidRDefault="00000000">
      <w:pPr>
        <w:pStyle w:val="SingleTxt"/>
      </w:pPr>
      <w:r>
        <w:t>Программа «Женщины и работа» – это не некая разовая программа с фи</w:t>
      </w:r>
      <w:r>
        <w:t>к</w:t>
      </w:r>
      <w:r>
        <w:t>сированными сроками, а текущая деятельность, которая регулярно оценивается и продолжается. Главная цель этой программы – планомерное включение пол</w:t>
      </w:r>
      <w:r>
        <w:t>и</w:t>
      </w:r>
      <w:r>
        <w:t>тики обеспечения равных прав во все стратегические и тематические области деятельности федерального правительства в рамках концепции «актуализации гендерной проблематики». Теперь, когда эта программа осуществляется уже четыре года, все предусмотренные меры либо уже приняты, либо начали у</w:t>
      </w:r>
      <w:r>
        <w:t>с</w:t>
      </w:r>
      <w:r>
        <w:t xml:space="preserve">пешно приниматься. Помимо законодательных мер, описанных в части </w:t>
      </w:r>
      <w:r>
        <w:rPr>
          <w:lang w:val="en-US"/>
        </w:rPr>
        <w:t>I</w:t>
      </w:r>
      <w:r>
        <w:t xml:space="preserve"> 2, пр</w:t>
      </w:r>
      <w:r>
        <w:t>о</w:t>
      </w:r>
      <w:r>
        <w:t>граммой предусмотрена, в частности, подготовка первого всеобъемлющего доклада по вопросам заработной платы и доходов, в которой федеральное пр</w:t>
      </w:r>
      <w:r>
        <w:t>а</w:t>
      </w:r>
      <w:r>
        <w:t>вительство заявляет о своем намерении сделать все от него зависящее для с</w:t>
      </w:r>
      <w:r>
        <w:t>о</w:t>
      </w:r>
      <w:r>
        <w:t xml:space="preserve">кращения разницы в оплате труда женщин и мужчин. Эта программа подробно описывается в части </w:t>
      </w:r>
      <w:r>
        <w:rPr>
          <w:lang w:val="en-US"/>
        </w:rPr>
        <w:t>II</w:t>
      </w:r>
      <w:r>
        <w:t xml:space="preserve"> настоящего доклада, 11.5.1, доклад – в части </w:t>
      </w:r>
      <w:r>
        <w:rPr>
          <w:lang w:val="en-US"/>
        </w:rPr>
        <w:t>I</w:t>
      </w:r>
      <w:r>
        <w:t>, 3.4.12.</w:t>
      </w:r>
    </w:p>
    <w:p w:rsidR="00000000" w:rsidRDefault="00000000">
      <w:pPr>
        <w:pStyle w:val="SingleTxt"/>
        <w:keepNext/>
        <w:rPr>
          <w:u w:val="single"/>
        </w:rPr>
      </w:pPr>
      <w:r>
        <w:rPr>
          <w:u w:val="single"/>
        </w:rPr>
        <w:t>В отношении пункта 27:</w:t>
      </w:r>
    </w:p>
    <w:p w:rsidR="00000000" w:rsidRDefault="00000000">
      <w:pPr>
        <w:pStyle w:val="SingleTxt"/>
        <w:rPr>
          <w:i/>
        </w:rPr>
      </w:pPr>
      <w:r>
        <w:rPr>
          <w:i/>
        </w:rPr>
        <w:t>Комитет выражает свою озабоченность сохранением стереотипных и традиционных представлений о роли и обязанностях женщин и мужчин в ч</w:t>
      </w:r>
      <w:r>
        <w:rPr>
          <w:i/>
        </w:rPr>
        <w:t>а</w:t>
      </w:r>
      <w:r>
        <w:rPr>
          <w:i/>
        </w:rPr>
        <w:t>стной и общественной жизни. Комитет отмечает, что это проявляется в преобладании женщин среди лиц, занятых неполный рабочий день, в том, что они несут главную ответственность за выполнение семейных и домашних об</w:t>
      </w:r>
      <w:r>
        <w:rPr>
          <w:i/>
        </w:rPr>
        <w:t>я</w:t>
      </w:r>
      <w:r>
        <w:rPr>
          <w:i/>
        </w:rPr>
        <w:t>занностей, в сегрегации в профессиональном плане, в исключительно низком уровне участия мужчин в рамках программы предоставления отпуска по уходу за детьми – в 1997 году они составили 1,5 процента среди лиц, взявших отпуск по уходу за детьми, и в налогообложении супружеских пар. Комитет обесп</w:t>
      </w:r>
      <w:r>
        <w:rPr>
          <w:i/>
        </w:rPr>
        <w:t>о</w:t>
      </w:r>
      <w:r>
        <w:rPr>
          <w:i/>
        </w:rPr>
        <w:t>коен тем, что меры, направленные на совмещение семейных обязанностей и работы, основаны на стереотипных представлениях о роли женщин и му</w:t>
      </w:r>
      <w:r>
        <w:rPr>
          <w:i/>
        </w:rPr>
        <w:t>ж</w:t>
      </w:r>
      <w:r>
        <w:rPr>
          <w:i/>
        </w:rPr>
        <w:t>чин. В этой связи Комитет обеспокоен нехваткой в детских садах мест для детей в возрасте до трех лет, тем, что доля детских садов, работающих ц</w:t>
      </w:r>
      <w:r>
        <w:rPr>
          <w:i/>
        </w:rPr>
        <w:t>е</w:t>
      </w:r>
      <w:r>
        <w:rPr>
          <w:i/>
        </w:rPr>
        <w:t>лый день, составляла в 1994 году лишь 34,8 процента, и что центры по уходу за детьми рассчитаны на охват лишь 5,1 процента детей школьного возра</w:t>
      </w:r>
      <w:r>
        <w:rPr>
          <w:i/>
        </w:rPr>
        <w:t>с</w:t>
      </w:r>
      <w:r>
        <w:rPr>
          <w:i/>
        </w:rPr>
        <w:t>та, тем более, что в Германии школы, в которых дети находятся в течение всего дня, крайне редки.</w:t>
      </w:r>
    </w:p>
    <w:p w:rsidR="00000000" w:rsidRDefault="00000000">
      <w:pPr>
        <w:pStyle w:val="SingleTxt"/>
      </w:pPr>
      <w:r>
        <w:t>В этой связи следует сослаться на соответствующие меры, принятые Ф</w:t>
      </w:r>
      <w:r>
        <w:t>е</w:t>
      </w:r>
      <w:r>
        <w:t>деративной Республикой Германией со времени представления четвертого до</w:t>
      </w:r>
      <w:r>
        <w:t>к</w:t>
      </w:r>
      <w:r>
        <w:t xml:space="preserve">лада, которые подробно описываются в главе </w:t>
      </w:r>
      <w:r>
        <w:rPr>
          <w:lang w:val="en-US"/>
        </w:rPr>
        <w:t>I</w:t>
      </w:r>
      <w:r>
        <w:t xml:space="preserve"> настоящего доклада. Комитет указал на преобладание женщин среди лиц, занятых неполный рабочий день, и назвал это негативным явлением. В этой связи следует отметить, что новый З</w:t>
      </w:r>
      <w:r>
        <w:t>а</w:t>
      </w:r>
      <w:r>
        <w:t>кон о частичной занятости и трудоустройстве по срочным контрактам, вст</w:t>
      </w:r>
      <w:r>
        <w:t>у</w:t>
      </w:r>
      <w:r>
        <w:t>пивший в силу с января 2001 года, дает значительные преимущества лицам, з</w:t>
      </w:r>
      <w:r>
        <w:t>а</w:t>
      </w:r>
      <w:r>
        <w:t>нятым неполный рабочий день. Например, в Законе установлен однозначный запрет на дискриминацию таких работников. Он дает всем работникам при</w:t>
      </w:r>
      <w:r>
        <w:t>н</w:t>
      </w:r>
      <w:r>
        <w:t>ципиальную возможность работать неполный день во всех профессиональных группах, в том числе в сфере квалифицированного труда и на руководящих должностях. Это относится в равной мере и к мужчинам, и к женщинам.</w:t>
      </w:r>
    </w:p>
    <w:p w:rsidR="00000000" w:rsidRDefault="00000000">
      <w:pPr>
        <w:pStyle w:val="SingleTxt"/>
      </w:pPr>
      <w:r>
        <w:t>Эта мера призвана увеличить долю лиц, занятых неполный рабочий день, и выгодна в первую очередь женщинам – равно как и мужчинам – в плане о</w:t>
      </w:r>
      <w:r>
        <w:t>р</w:t>
      </w:r>
      <w:r>
        <w:t>ганизации семейной жизни, так как позволяет лучше совмещать семейные и рабочие обязанности.</w:t>
      </w:r>
    </w:p>
    <w:p w:rsidR="00000000" w:rsidRDefault="00000000">
      <w:pPr>
        <w:pStyle w:val="SingleTxt"/>
      </w:pPr>
      <w:r>
        <w:t xml:space="preserve">Обеспокоенность Комитета нехваткой мест в детских садах была принята во внимание. В этой связи принимаются меры, рассчитанные на долгосрочную перспективу, о которых подробно говорится в части </w:t>
      </w:r>
      <w:r>
        <w:rPr>
          <w:lang w:val="en-US"/>
        </w:rPr>
        <w:t>II</w:t>
      </w:r>
      <w:r>
        <w:t xml:space="preserve"> 11.5.1.</w:t>
      </w:r>
    </w:p>
    <w:p w:rsidR="00000000" w:rsidRDefault="00000000">
      <w:pPr>
        <w:pStyle w:val="SingleTxt"/>
        <w:keepNext/>
        <w:rPr>
          <w:u w:val="single"/>
        </w:rPr>
      </w:pPr>
      <w:r>
        <w:rPr>
          <w:u w:val="single"/>
        </w:rPr>
        <w:t>В отношении пунктов 28–30:</w:t>
      </w:r>
    </w:p>
    <w:p w:rsidR="00000000" w:rsidRDefault="00000000">
      <w:pPr>
        <w:pStyle w:val="SingleTxt"/>
        <w:rPr>
          <w:i/>
        </w:rPr>
      </w:pPr>
      <w:r>
        <w:rPr>
          <w:i/>
        </w:rPr>
        <w:t>Комитет настоятельно призывает правительство изучить последствия осуществления мер, направленных на совмещение работы и семейных обяза</w:t>
      </w:r>
      <w:r>
        <w:rPr>
          <w:i/>
        </w:rPr>
        <w:t>н</w:t>
      </w:r>
      <w:r>
        <w:rPr>
          <w:i/>
        </w:rPr>
        <w:t>ностей, в целях создания твердой основы для выработки политики и пр</w:t>
      </w:r>
      <w:r>
        <w:rPr>
          <w:i/>
        </w:rPr>
        <w:t>о</w:t>
      </w:r>
      <w:r>
        <w:rPr>
          <w:i/>
        </w:rPr>
        <w:t>грамм, которые ускорят процесс изменений и приведут к искоренению ст</w:t>
      </w:r>
      <w:r>
        <w:rPr>
          <w:i/>
        </w:rPr>
        <w:t>е</w:t>
      </w:r>
      <w:r>
        <w:rPr>
          <w:i/>
        </w:rPr>
        <w:t>реотипных представлений. Комитет настоятельно призывает государство-участник разработать дополнительное количество рассчитанных на мужчин программ и стратегий ускорения процесса изменения установок и поведения. Он призывает государство-участник рассмотреть возможность введения в практику не подлежащего передаче другому лицу отпуска по уходу за детьми для отцов в целях увеличения числа мужчин, участвующих в уходе за детьми и их воспитании. Он настоятельно призывает правительство повысить уровень обеспеченности услугами учреждений по уходу за детьми школьного возраста в целях содействия возвращению женщин на рынок труда. Он рекомендует также, чтобы государство-участник изучило существующие правовые нормы в отношении налогообложения супружеских пар («разделение») и их последс</w:t>
      </w:r>
      <w:r>
        <w:rPr>
          <w:i/>
        </w:rPr>
        <w:t>т</w:t>
      </w:r>
      <w:r>
        <w:rPr>
          <w:i/>
        </w:rPr>
        <w:t>вия с точки зрения увековечения стереотипных представлений о роли заму</w:t>
      </w:r>
      <w:r>
        <w:rPr>
          <w:i/>
        </w:rPr>
        <w:t>ж</w:t>
      </w:r>
      <w:r>
        <w:rPr>
          <w:i/>
        </w:rPr>
        <w:t>них женщин.</w:t>
      </w:r>
    </w:p>
    <w:p w:rsidR="00000000" w:rsidRDefault="00000000">
      <w:pPr>
        <w:pStyle w:val="SingleTxt"/>
        <w:rPr>
          <w:i/>
        </w:rPr>
      </w:pPr>
      <w:r>
        <w:rPr>
          <w:i/>
        </w:rPr>
        <w:t>Комитет обеспокоен тем, что осуществляемые усилия и меры по ра</w:t>
      </w:r>
      <w:r>
        <w:rPr>
          <w:i/>
        </w:rPr>
        <w:t>с</w:t>
      </w:r>
      <w:r>
        <w:rPr>
          <w:i/>
        </w:rPr>
        <w:t>пространению действия принципа равных прав и равных возможностей же</w:t>
      </w:r>
      <w:r>
        <w:rPr>
          <w:i/>
        </w:rPr>
        <w:t>н</w:t>
      </w:r>
      <w:r>
        <w:rPr>
          <w:i/>
        </w:rPr>
        <w:t>щин на частный сектор носят ограниченный характер.</w:t>
      </w:r>
    </w:p>
    <w:p w:rsidR="00000000" w:rsidRDefault="00000000">
      <w:pPr>
        <w:pStyle w:val="SingleTxt"/>
        <w:rPr>
          <w:i/>
        </w:rPr>
      </w:pPr>
      <w:r>
        <w:rPr>
          <w:i/>
        </w:rPr>
        <w:t>Комитет призывает правительство активизировать свои усилия в зак</w:t>
      </w:r>
      <w:r>
        <w:rPr>
          <w:i/>
        </w:rPr>
        <w:t>о</w:t>
      </w:r>
      <w:r>
        <w:rPr>
          <w:i/>
        </w:rPr>
        <w:t>нодательной и нормативной сферах для обеспечения защиты женщин от всех форм дискриминации в частном секторе и расширения деятельности, напра</w:t>
      </w:r>
      <w:r>
        <w:rPr>
          <w:i/>
        </w:rPr>
        <w:t>в</w:t>
      </w:r>
      <w:r>
        <w:rPr>
          <w:i/>
        </w:rPr>
        <w:t>ленной на достижение фактического равенства. Он рекомендует также пр</w:t>
      </w:r>
      <w:r>
        <w:rPr>
          <w:i/>
        </w:rPr>
        <w:t>а</w:t>
      </w:r>
      <w:r>
        <w:rPr>
          <w:i/>
        </w:rPr>
        <w:t>вительству активизировать с этой целью свое взаимодействие с частным сектором, в том числе посредством использования стимулов и других мер н</w:t>
      </w:r>
      <w:r>
        <w:rPr>
          <w:i/>
        </w:rPr>
        <w:t>е</w:t>
      </w:r>
      <w:r>
        <w:rPr>
          <w:i/>
        </w:rPr>
        <w:t>законодательного характера, а также с профсоюзами и женскими организ</w:t>
      </w:r>
      <w:r>
        <w:rPr>
          <w:i/>
        </w:rPr>
        <w:t>а</w:t>
      </w:r>
      <w:r>
        <w:rPr>
          <w:i/>
        </w:rPr>
        <w:t>циями.</w:t>
      </w:r>
    </w:p>
    <w:p w:rsidR="00000000" w:rsidRDefault="00000000">
      <w:pPr>
        <w:pStyle w:val="SingleTxt"/>
      </w:pPr>
      <w:r>
        <w:t>Комитет призывает Федеративную Республику Германию изучить во</w:t>
      </w:r>
      <w:r>
        <w:t>з</w:t>
      </w:r>
      <w:r>
        <w:t xml:space="preserve">можность введения в практику не подлежащего передаче другому лицу отпуска по уходу за детьми для отцов в целях увеличения числа мужчин, участвующих в уходе за детьми. Как указывается в части </w:t>
      </w:r>
      <w:r>
        <w:rPr>
          <w:lang w:val="en-US"/>
        </w:rPr>
        <w:t>II</w:t>
      </w:r>
      <w:r>
        <w:t xml:space="preserve"> доклада, 11.5.1, новый Федерал</w:t>
      </w:r>
      <w:r>
        <w:t>ь</w:t>
      </w:r>
      <w:r>
        <w:t>ный закон о пособиях по уходу за детьми (</w:t>
      </w:r>
      <w:r>
        <w:rPr>
          <w:lang w:val="en-US"/>
        </w:rPr>
        <w:t>Bundeserziehungsgeldgesetz</w:t>
      </w:r>
      <w:r>
        <w:t>) во мн</w:t>
      </w:r>
      <w:r>
        <w:t>о</w:t>
      </w:r>
      <w:r>
        <w:t>гом способствует значительно более широкому использованию отцами нового родительского отпуска (среди лиц, бравших прежний отпуск по уходу за дет</w:t>
      </w:r>
      <w:r>
        <w:t>ь</w:t>
      </w:r>
      <w:r>
        <w:t>ми (прежнее название), доля отцов на протяжении многих лет составляла в среднем лишь 1,5 процента). Однако парламент умышленно отказался от вар</w:t>
      </w:r>
      <w:r>
        <w:t>и</w:t>
      </w:r>
      <w:r>
        <w:t>анта, предложенного Комитетом. Положение о не подлежащем передаче друг</w:t>
      </w:r>
      <w:r>
        <w:t>о</w:t>
      </w:r>
      <w:r>
        <w:t>му лицу отпуске по уходу за детьми для отцов вводиться не будет, поскольку в интересах молодых родителей парламент умышленно сделал новый родител</w:t>
      </w:r>
      <w:r>
        <w:t>ь</w:t>
      </w:r>
      <w:r>
        <w:t>ский отпуск более гибким, чем прежний отпуск по уходу за детьми, с тем чт</w:t>
      </w:r>
      <w:r>
        <w:t>о</w:t>
      </w:r>
      <w:r>
        <w:t>бы дать родителям как можно больше возможностей для планирования своего индивидуального родительского отпуска.</w:t>
      </w:r>
    </w:p>
    <w:p w:rsidR="00000000" w:rsidRDefault="00000000">
      <w:pPr>
        <w:pStyle w:val="SingleTxt"/>
      </w:pPr>
      <w:r>
        <w:t>К середине 2004 года федеральное правительство представит федерал</w:t>
      </w:r>
      <w:r>
        <w:t>ь</w:t>
      </w:r>
      <w:r>
        <w:t>ному парламенту Германии доклад о результатах введения родительского о</w:t>
      </w:r>
      <w:r>
        <w:t>т</w:t>
      </w:r>
      <w:r>
        <w:t>пуска, в котором будет содержаться подробная информация о доле отцов, взя</w:t>
      </w:r>
      <w:r>
        <w:t>в</w:t>
      </w:r>
      <w:r>
        <w:t>ших такой отпуск и, если это целесообразно, обоснование необходимости еще более широкого участия отцов в этой программе.</w:t>
      </w:r>
    </w:p>
    <w:p w:rsidR="00000000" w:rsidRDefault="00000000">
      <w:pPr>
        <w:pStyle w:val="SingleTxt"/>
      </w:pPr>
      <w:r>
        <w:t>Обращаясь к другим вопросам, затронутым в этих пунктах, следует с</w:t>
      </w:r>
      <w:r>
        <w:t>о</w:t>
      </w:r>
      <w:r>
        <w:t xml:space="preserve">слаться на меры и юридические инициативы, предпринятые или развернутые со времени представления последнего доклада, о которых говорится в частях </w:t>
      </w:r>
      <w:r>
        <w:rPr>
          <w:lang w:val="en-US"/>
        </w:rPr>
        <w:t>I</w:t>
      </w:r>
      <w:r>
        <w:t xml:space="preserve"> и </w:t>
      </w:r>
      <w:r>
        <w:rPr>
          <w:lang w:val="en-US"/>
        </w:rPr>
        <w:t>II</w:t>
      </w:r>
      <w:r>
        <w:t xml:space="preserve"> доклада.</w:t>
      </w:r>
    </w:p>
    <w:p w:rsidR="00000000" w:rsidRDefault="00000000">
      <w:pPr>
        <w:pStyle w:val="SingleTxt"/>
        <w:keepNext/>
        <w:rPr>
          <w:u w:val="single"/>
        </w:rPr>
      </w:pPr>
      <w:r>
        <w:rPr>
          <w:u w:val="single"/>
        </w:rPr>
        <w:t>В отношении пункта 31:</w:t>
      </w:r>
    </w:p>
    <w:p w:rsidR="00000000" w:rsidRDefault="00000000">
      <w:pPr>
        <w:pStyle w:val="SingleTxt"/>
        <w:rPr>
          <w:i/>
        </w:rPr>
      </w:pPr>
      <w:r>
        <w:rPr>
          <w:i/>
        </w:rPr>
        <w:t>Комитет обеспокоен нередко неустойчивым социально-экономическим положением проживающих в Германии женщин-иностранок. Он обеспокоен также распространенностью в государстве-участнике случаев нападений на почве ксенофобии и расизма и отмечает незащищенность женщин-иностранок, которая может быть обусловлена целым рядом причин, включая пол, этнич</w:t>
      </w:r>
      <w:r>
        <w:rPr>
          <w:i/>
        </w:rPr>
        <w:t>е</w:t>
      </w:r>
      <w:r>
        <w:rPr>
          <w:i/>
        </w:rPr>
        <w:t>скую принадлежность и расу.</w:t>
      </w:r>
    </w:p>
    <w:p w:rsidR="00000000" w:rsidRDefault="00000000">
      <w:pPr>
        <w:pStyle w:val="SingleTxt"/>
      </w:pPr>
      <w:r>
        <w:t>Борьба с тенденциями к экстремизму и ксенофобии, характерными для организаций правого толка, – один из приоритетов национальной политики ф</w:t>
      </w:r>
      <w:r>
        <w:t>е</w:t>
      </w:r>
      <w:r>
        <w:t>дерального правительства. В «Докладе о текущих и запланированных мерах и мероприятиях федерального правительства по борьбе с экстремизмом, ксен</w:t>
      </w:r>
      <w:r>
        <w:t>о</w:t>
      </w:r>
      <w:r>
        <w:t>фобией, антисемитизмом и насилием, характерными для организаций правого толка», опубликованном 14 мая 2002 года, федеральное правительство инфо</w:t>
      </w:r>
      <w:r>
        <w:t>р</w:t>
      </w:r>
      <w:r>
        <w:t>мирует федеральный парламент Германии о соответствующих мерах и прив</w:t>
      </w:r>
      <w:r>
        <w:t>о</w:t>
      </w:r>
      <w:r>
        <w:t>дит их описание. Оно принимает все возможные меры с тем, чтобы предотвр</w:t>
      </w:r>
      <w:r>
        <w:t>а</w:t>
      </w:r>
      <w:r>
        <w:t>тить опасность, которую таят в себе экстремизм и ксенофобия правых орган</w:t>
      </w:r>
      <w:r>
        <w:t>и</w:t>
      </w:r>
      <w:r>
        <w:t>заций, и пресекать подобные вылазки. Эти меры включают укрепление гра</w:t>
      </w:r>
      <w:r>
        <w:t>ж</w:t>
      </w:r>
      <w:r>
        <w:t>данского общества и разъяснение людям необходимости отстаивать свои убе</w:t>
      </w:r>
      <w:r>
        <w:t>ж</w:t>
      </w:r>
      <w:r>
        <w:t>дения, а также поощрение интеграции, равно как и меры в отношении правон</w:t>
      </w:r>
      <w:r>
        <w:t>а</w:t>
      </w:r>
      <w:r>
        <w:t>рушителей и той среды, в которой они действуют. Эти проблемы уже решались многочисленными способами и при помощи разнообразных инициатив, в ос</w:t>
      </w:r>
      <w:r>
        <w:t>о</w:t>
      </w:r>
      <w:r>
        <w:t>бенности на уровне земель и местных органов власти. По мнению федеральн</w:t>
      </w:r>
      <w:r>
        <w:t>о</w:t>
      </w:r>
      <w:r>
        <w:t>го правительства, мероприятия, проводимые на местах, имеют наибольшие шансы на у</w:t>
      </w:r>
      <w:r>
        <w:t>с</w:t>
      </w:r>
      <w:r>
        <w:t>пех.</w:t>
      </w:r>
    </w:p>
    <w:p w:rsidR="00000000" w:rsidRDefault="00000000">
      <w:pPr>
        <w:pStyle w:val="SingleTxt"/>
      </w:pPr>
      <w:r>
        <w:t>Постоянно ведущаяся полицией статистика со сведениями о поле, а также этнической принадлежности лиц, подвергшихся насилию со стороны правых организаций, пока отличается неполнотой. В этой связи федерация и земли д</w:t>
      </w:r>
      <w:r>
        <w:t>о</w:t>
      </w:r>
      <w:r>
        <w:t>говорились с 1 января 2001 года объединить политически мотивированные уг</w:t>
      </w:r>
      <w:r>
        <w:t>о</w:t>
      </w:r>
      <w:r>
        <w:t>ловные преступления в рамках новой системы определений под названием «Политически мотивированные преступления». Кроме того, была создана во</w:t>
      </w:r>
      <w:r>
        <w:t>з</w:t>
      </w:r>
      <w:r>
        <w:t>можность для введения обобщающего понятия «преступление на почве нен</w:t>
      </w:r>
      <w:r>
        <w:t>а</w:t>
      </w:r>
      <w:r>
        <w:t>висти», в которое в качестве отдельных подгрупп включаются уголовные пр</w:t>
      </w:r>
      <w:r>
        <w:t>е</w:t>
      </w:r>
      <w:r>
        <w:t>ступления, мотивированные ксенофобией и антисемитизмом. Это сделано для того, чтобы на основе главного объединяющего критерия политически мотив</w:t>
      </w:r>
      <w:r>
        <w:t>и</w:t>
      </w:r>
      <w:r>
        <w:t>рованных преступлений все факты, имеющие отношение к расследованию, – в том числе пол правонарушителей и потерпевших – собирались, оценивались и передавались в Федеральное управление уголовной полиции на всей федерал</w:t>
      </w:r>
      <w:r>
        <w:t>ь</w:t>
      </w:r>
      <w:r>
        <w:t>ной территории компетентными полицейскими органами земель в рамках пр</w:t>
      </w:r>
      <w:r>
        <w:t>о</w:t>
      </w:r>
      <w:r>
        <w:t xml:space="preserve">цедуры, согласованной на национальном уровне и основанной на стандартных и четких критериях. </w:t>
      </w:r>
    </w:p>
    <w:p w:rsidR="00000000" w:rsidRDefault="00000000">
      <w:pPr>
        <w:pStyle w:val="SingleTxt"/>
      </w:pPr>
      <w:r>
        <w:t>9 июня 2002 года федеральный парламент выступил с двумя инициатив</w:t>
      </w:r>
      <w:r>
        <w:t>а</w:t>
      </w:r>
      <w:r>
        <w:t xml:space="preserve">ми по борьбе с антисемитизмом в Германии. Они предполагают обращение ко всем гражданам с призывом отвергать антисемитизм и бороться с ним и тем самым упрочивать устои немецкого общества. </w:t>
      </w:r>
    </w:p>
    <w:p w:rsidR="00000000" w:rsidRDefault="00000000">
      <w:pPr>
        <w:pStyle w:val="SingleTxt"/>
        <w:keepNext/>
        <w:rPr>
          <w:u w:val="single"/>
        </w:rPr>
      </w:pPr>
      <w:r>
        <w:rPr>
          <w:u w:val="single"/>
        </w:rPr>
        <w:t>В отношении пункта 32:</w:t>
      </w:r>
    </w:p>
    <w:p w:rsidR="00000000" w:rsidRDefault="00000000">
      <w:pPr>
        <w:pStyle w:val="SingleTxt"/>
        <w:rPr>
          <w:i/>
        </w:rPr>
      </w:pPr>
      <w:r>
        <w:rPr>
          <w:i/>
        </w:rPr>
        <w:t>Отмечая намерение правительства дать поручение подготовить иссл</w:t>
      </w:r>
      <w:r>
        <w:rPr>
          <w:i/>
        </w:rPr>
        <w:t>е</w:t>
      </w:r>
      <w:r>
        <w:rPr>
          <w:i/>
        </w:rPr>
        <w:t>дование об условиях жизни и социальной интеграции женщин и девушек из числа иностранок, Комитет просит правительство осуществить всеобъе</w:t>
      </w:r>
      <w:r>
        <w:rPr>
          <w:i/>
        </w:rPr>
        <w:t>м</w:t>
      </w:r>
      <w:r>
        <w:rPr>
          <w:i/>
        </w:rPr>
        <w:t>лющую оценку положения женщин-иностранок, включая доступ к образованию и профессиональной подготовке, работе и связанным с работой пособиям, м</w:t>
      </w:r>
      <w:r>
        <w:rPr>
          <w:i/>
        </w:rPr>
        <w:t>е</w:t>
      </w:r>
      <w:r>
        <w:rPr>
          <w:i/>
        </w:rPr>
        <w:t>дицинскому обслуживанию и социальной защите, и представить соответс</w:t>
      </w:r>
      <w:r>
        <w:rPr>
          <w:i/>
        </w:rPr>
        <w:t>т</w:t>
      </w:r>
      <w:r>
        <w:rPr>
          <w:i/>
        </w:rPr>
        <w:t>вующую информацию в своем следующем докладе. Комитет призывает прав</w:t>
      </w:r>
      <w:r>
        <w:rPr>
          <w:i/>
        </w:rPr>
        <w:t>и</w:t>
      </w:r>
      <w:r>
        <w:rPr>
          <w:i/>
        </w:rPr>
        <w:t>тельство усовершенствовать сбор информации и статистических данных с разбивкой по полу и расе/этническому происхождению жертв насилия, мот</w:t>
      </w:r>
      <w:r>
        <w:rPr>
          <w:i/>
        </w:rPr>
        <w:t>и</w:t>
      </w:r>
      <w:r>
        <w:rPr>
          <w:i/>
        </w:rPr>
        <w:t>вированного ксенофобией и расизмом, а также создать адекватные механи</w:t>
      </w:r>
      <w:r>
        <w:rPr>
          <w:i/>
        </w:rPr>
        <w:t>з</w:t>
      </w:r>
      <w:r>
        <w:rPr>
          <w:i/>
        </w:rPr>
        <w:t>мы защиты и обеспечить, чтобы иностранки, являющиеся жертвами таких нападений, знали о своих правах и имели доступ к эффективным средствам защиты. Он настоятельно призывает также правительство активизировать свои усилия по обеспечению социальной интеграции женщин-иностранок п</w:t>
      </w:r>
      <w:r>
        <w:rPr>
          <w:i/>
        </w:rPr>
        <w:t>о</w:t>
      </w:r>
      <w:r>
        <w:rPr>
          <w:i/>
        </w:rPr>
        <w:t>средством оказания услуг в сфере образования и занятости и путем повыш</w:t>
      </w:r>
      <w:r>
        <w:rPr>
          <w:i/>
        </w:rPr>
        <w:t>е</w:t>
      </w:r>
      <w:r>
        <w:rPr>
          <w:i/>
        </w:rPr>
        <w:t>ния уровня информированности населения. Он рекомендует также предпр</w:t>
      </w:r>
      <w:r>
        <w:rPr>
          <w:i/>
        </w:rPr>
        <w:t>и</w:t>
      </w:r>
      <w:r>
        <w:rPr>
          <w:i/>
        </w:rPr>
        <w:t>нять шаги по борьбе с бытовым насилием и насилием в семье и повысить ур</w:t>
      </w:r>
      <w:r>
        <w:rPr>
          <w:i/>
        </w:rPr>
        <w:t>о</w:t>
      </w:r>
      <w:r>
        <w:rPr>
          <w:i/>
        </w:rPr>
        <w:t>вень осведомленности женщин-иностранок о наличии средств правовой и с</w:t>
      </w:r>
      <w:r>
        <w:rPr>
          <w:i/>
        </w:rPr>
        <w:t>о</w:t>
      </w:r>
      <w:r>
        <w:rPr>
          <w:i/>
        </w:rPr>
        <w:t>циальной защиты.</w:t>
      </w:r>
    </w:p>
    <w:p w:rsidR="00000000" w:rsidRDefault="00000000">
      <w:pPr>
        <w:pStyle w:val="SingleTxt"/>
      </w:pPr>
      <w:r>
        <w:t>Опубликованный в 2000 году шестой доклад о положении семьи по теме «Семьи иностранцев в Германии – преимущества, трудности, проблемы» стал первым специальным докладом федерального правительства о положении с</w:t>
      </w:r>
      <w:r>
        <w:t>е</w:t>
      </w:r>
      <w:r>
        <w:t>мей иностранных граждан, в котором также рассказывается о разнице в пол</w:t>
      </w:r>
      <w:r>
        <w:t>о</w:t>
      </w:r>
      <w:r>
        <w:t>жении женщин-мигрантов и женщин, ассимилируемых в германское общество. Доклад ставит своей целью борьбу с повсеместно укоренившимися стереот</w:t>
      </w:r>
      <w:r>
        <w:t>и</w:t>
      </w:r>
      <w:r>
        <w:t>пами и предрассудками в отношении «иностранцев», в частности женщин ин</w:t>
      </w:r>
      <w:r>
        <w:t>о</w:t>
      </w:r>
      <w:r>
        <w:t>странного происхождения. В нем всесторонне описывается разный состав и специфика населения иностранного происхождения и не отрицается существ</w:t>
      </w:r>
      <w:r>
        <w:t>о</w:t>
      </w:r>
      <w:r>
        <w:t>вание проблем с жильем и трудностей у иммигрантов, ассимилируемых в о</w:t>
      </w:r>
      <w:r>
        <w:t>б</w:t>
      </w:r>
      <w:r>
        <w:t>щество. Таким образом, этот доклад в некотором смысле является важным вкладом в борьбу с этими стереотипами, особенно в отношении женщин-иностранок.</w:t>
      </w:r>
    </w:p>
    <w:p w:rsidR="00000000" w:rsidRDefault="00000000">
      <w:pPr>
        <w:pStyle w:val="SingleTxt"/>
      </w:pPr>
      <w:r>
        <w:t>В докладе содержится большое число адресованных разным звеньям п</w:t>
      </w:r>
      <w:r>
        <w:t>о</w:t>
      </w:r>
      <w:r>
        <w:t>литической системы рекомендаций в отношении уравнивания возможностей женщин и мужчин-иммигрантов и их семей и их лучшей интеграции в герма</w:t>
      </w:r>
      <w:r>
        <w:t>н</w:t>
      </w:r>
      <w:r>
        <w:t>ское общество. Выводы и рекомендации шестого доклада о положении семьи представляют собой важную основу для политики федерального правительства в области иммиграционного контроля и интеграции иммигрантов в общество.</w:t>
      </w:r>
    </w:p>
    <w:p w:rsidR="00000000" w:rsidRDefault="00000000">
      <w:pPr>
        <w:pStyle w:val="SingleTxt"/>
      </w:pPr>
      <w:r>
        <w:t>Особое внимание в шестом докладе федерального правительства о пол</w:t>
      </w:r>
      <w:r>
        <w:t>о</w:t>
      </w:r>
      <w:r>
        <w:t>жении семьи уделено положению престарелых женщин-мигрантов в Германии: в нем рассматриваются такие аспекты, как уклад жизни в пожилом возрасте, уровень образованности и состояние здоровья этих женщин, а также возмо</w:t>
      </w:r>
      <w:r>
        <w:t>ж</w:t>
      </w:r>
      <w:r>
        <w:t>ности для общения.</w:t>
      </w:r>
    </w:p>
    <w:p w:rsidR="00000000" w:rsidRDefault="00000000">
      <w:pPr>
        <w:pStyle w:val="SingleTxt"/>
      </w:pPr>
      <w:r>
        <w:t>Изучение положения девушек и женщин иностранного происхождения б</w:t>
      </w:r>
      <w:r>
        <w:t>у</w:t>
      </w:r>
      <w:r>
        <w:t>дет продолжаться до 2003 года. Результаты этой работы и сделанные выводы будут представлены в следующем докладе.</w:t>
      </w:r>
    </w:p>
    <w:p w:rsidR="00000000" w:rsidRDefault="00000000">
      <w:pPr>
        <w:pStyle w:val="SingleTxt"/>
        <w:keepNext/>
        <w:rPr>
          <w:u w:val="single"/>
        </w:rPr>
      </w:pPr>
      <w:r>
        <w:rPr>
          <w:u w:val="single"/>
        </w:rPr>
        <w:t>В отношении пункта 33:</w:t>
      </w:r>
    </w:p>
    <w:p w:rsidR="00000000" w:rsidRDefault="00000000">
      <w:pPr>
        <w:pStyle w:val="SingleTxt"/>
        <w:rPr>
          <w:i/>
        </w:rPr>
      </w:pPr>
      <w:r>
        <w:rPr>
          <w:i/>
        </w:rPr>
        <w:t>Комитет, приветствуя правительственный план действий по борьбе с насилием в отношении женщин, обеспокоен сохраняющимися недостатками в защите женщин от н</w:t>
      </w:r>
      <w:r>
        <w:rPr>
          <w:i/>
        </w:rPr>
        <w:t>а</w:t>
      </w:r>
      <w:r>
        <w:rPr>
          <w:i/>
        </w:rPr>
        <w:t>силия в семье и обществе.</w:t>
      </w:r>
    </w:p>
    <w:p w:rsidR="00000000" w:rsidRDefault="00000000">
      <w:pPr>
        <w:pStyle w:val="SingleTxt"/>
      </w:pPr>
      <w:r>
        <w:t>Подробная информация о Плане действий федерального правительства по борьбе с насилием в отношении женщин и предпринятых в этой связи мерах и инициативах будет представлена в отдельных главах настоящего доклада, в ч</w:t>
      </w:r>
      <w:r>
        <w:t>а</w:t>
      </w:r>
      <w:r>
        <w:t xml:space="preserve">стности в </w:t>
      </w:r>
      <w:r>
        <w:rPr>
          <w:lang w:val="en-US"/>
        </w:rPr>
        <w:t>II</w:t>
      </w:r>
      <w:r>
        <w:t xml:space="preserve"> 5.3 и </w:t>
      </w:r>
      <w:r>
        <w:rPr>
          <w:lang w:val="en-US"/>
        </w:rPr>
        <w:t>II</w:t>
      </w:r>
      <w:r>
        <w:t xml:space="preserve"> 6. В данном случае следует обратиться к этим главам.</w:t>
      </w:r>
    </w:p>
    <w:p w:rsidR="00000000" w:rsidRDefault="00000000">
      <w:pPr>
        <w:pStyle w:val="SingleTxt"/>
        <w:keepNext/>
        <w:rPr>
          <w:u w:val="single"/>
        </w:rPr>
      </w:pPr>
      <w:r>
        <w:rPr>
          <w:u w:val="single"/>
        </w:rPr>
        <w:t>В отношении пункта 34:</w:t>
      </w:r>
    </w:p>
    <w:p w:rsidR="00000000" w:rsidRDefault="00000000">
      <w:pPr>
        <w:pStyle w:val="SingleTxt"/>
        <w:rPr>
          <w:i/>
        </w:rPr>
      </w:pPr>
      <w:r>
        <w:rPr>
          <w:i/>
        </w:rPr>
        <w:t>Комитет настоятельно призывает правительство обеспечить систем</w:t>
      </w:r>
      <w:r>
        <w:rPr>
          <w:i/>
        </w:rPr>
        <w:t>а</w:t>
      </w:r>
      <w:r>
        <w:rPr>
          <w:i/>
        </w:rPr>
        <w:t>тическое осуществление плана и наблюдение за результатами этой деятел</w:t>
      </w:r>
      <w:r>
        <w:rPr>
          <w:i/>
        </w:rPr>
        <w:t>ь</w:t>
      </w:r>
      <w:r>
        <w:rPr>
          <w:i/>
        </w:rPr>
        <w:t>ности в определенных в плане приоритетных областях. В частности, Ком</w:t>
      </w:r>
      <w:r>
        <w:rPr>
          <w:i/>
        </w:rPr>
        <w:t>и</w:t>
      </w:r>
      <w:r>
        <w:rPr>
          <w:i/>
        </w:rPr>
        <w:t>тет выступает сторонником такого законодательства и таких мер, которые обеспечивали бы, чтобы женщины, являющиеся жертвами бытового насилия, располагали средствами для непосредственного возмещения ущерба и защиты. Он призывает также правительство принять меры, направленные на обесп</w:t>
      </w:r>
      <w:r>
        <w:rPr>
          <w:i/>
        </w:rPr>
        <w:t>е</w:t>
      </w:r>
      <w:r>
        <w:rPr>
          <w:i/>
        </w:rPr>
        <w:t>чение абсолютной нетерпимости в отношении такого насилия, и добиться, чтобы оно стало социально и морально неприемлемым явлением. Комитет р</w:t>
      </w:r>
      <w:r>
        <w:rPr>
          <w:i/>
        </w:rPr>
        <w:t>е</w:t>
      </w:r>
      <w:r>
        <w:rPr>
          <w:i/>
        </w:rPr>
        <w:t>комендует далее принять меры к тому, чтобы судебные органы реагировали на все формы насилия, которому подвергаются женщины и которое нарушает права человека женщин по Конвенции, в особенности учитывая крайнюю н</w:t>
      </w:r>
      <w:r>
        <w:rPr>
          <w:i/>
        </w:rPr>
        <w:t>е</w:t>
      </w:r>
      <w:r>
        <w:rPr>
          <w:i/>
        </w:rPr>
        <w:t>защищенность п</w:t>
      </w:r>
      <w:r>
        <w:rPr>
          <w:i/>
        </w:rPr>
        <w:t>е</w:t>
      </w:r>
      <w:r>
        <w:rPr>
          <w:i/>
        </w:rPr>
        <w:t>ред таким насилием женщин-иностранок.</w:t>
      </w:r>
    </w:p>
    <w:p w:rsidR="00000000" w:rsidRDefault="00000000">
      <w:pPr>
        <w:pStyle w:val="SingleTxt"/>
      </w:pPr>
      <w:r>
        <w:t>На протяжении ряда лет дополнительные учебные курсы по теме насилия, в частности насилия в отношении женщин, насилия в семье, насилия в отн</w:t>
      </w:r>
      <w:r>
        <w:t>о</w:t>
      </w:r>
      <w:r>
        <w:t>шении детей и молодежи, а также организованной преступности, были, к пр</w:t>
      </w:r>
      <w:r>
        <w:t>и</w:t>
      </w:r>
      <w:r>
        <w:t>меру, частью учебной программы Германской академии судей.</w:t>
      </w:r>
    </w:p>
    <w:p w:rsidR="00000000" w:rsidRDefault="00000000">
      <w:pPr>
        <w:pStyle w:val="SingleTxt"/>
      </w:pPr>
      <w:r>
        <w:t>В 2002 году администрациями земель намечено организовать ряд конф</w:t>
      </w:r>
      <w:r>
        <w:t>е</w:t>
      </w:r>
      <w:r>
        <w:t>ренций, в том числе по таким темам, как «Работа с жертвами сексуального н</w:t>
      </w:r>
      <w:r>
        <w:t>а</w:t>
      </w:r>
      <w:r>
        <w:t>силия, в частности с детьми и молодежью, в рамках уголовного производства», «Насилие в семье (криминологические, семейно-правовые и уголовно-правовые аспекты многопланового явления)», «Закон, насилие и агрессия» и «Организованная преступность».</w:t>
      </w:r>
    </w:p>
    <w:p w:rsidR="00000000" w:rsidRDefault="00000000">
      <w:pPr>
        <w:pStyle w:val="SingleTxt"/>
      </w:pPr>
      <w:r>
        <w:t>В Германской академии судей регулярно проводятся конференции на б</w:t>
      </w:r>
      <w:r>
        <w:t>о</w:t>
      </w:r>
      <w:r>
        <w:t>лее общие темы, прямо или косвенно затрагивающие эти вопросы, которые пользуются большой популярностью. Так, Германская академия судей пров</w:t>
      </w:r>
      <w:r>
        <w:t>о</w:t>
      </w:r>
      <w:r>
        <w:t>дит не только конференции на сугубо юридические темы, но и конференции по вопросам социальной политики, которые обычно собирают многочисленную аудиторию. На них также широко обсуждаются проблемы насилия в нашем обществе и, следовательно, насилия в отношении женщин в быту.</w:t>
      </w:r>
    </w:p>
    <w:p w:rsidR="00000000" w:rsidRDefault="00000000">
      <w:pPr>
        <w:pStyle w:val="SingleTxt"/>
      </w:pPr>
      <w:r>
        <w:t>Германская академия судей поддерживает контакты с председателем раб</w:t>
      </w:r>
      <w:r>
        <w:t>о</w:t>
      </w:r>
      <w:r>
        <w:t>чей группы федерации/земель по борьбе с насилием в быту, которая также к</w:t>
      </w:r>
      <w:r>
        <w:t>о</w:t>
      </w:r>
      <w:r>
        <w:t>ординирует проведение соответствующих дополнительных учебных курсов и оказывает поддержку в деле организации конференций.</w:t>
      </w:r>
    </w:p>
    <w:p w:rsidR="00000000" w:rsidRDefault="00000000">
      <w:pPr>
        <w:pStyle w:val="SingleTxt"/>
        <w:keepNext/>
        <w:rPr>
          <w:u w:val="single"/>
        </w:rPr>
      </w:pPr>
      <w:r>
        <w:rPr>
          <w:u w:val="single"/>
        </w:rPr>
        <w:t>В отношении пункта 35:</w:t>
      </w:r>
    </w:p>
    <w:p w:rsidR="00000000" w:rsidRDefault="00000000">
      <w:pPr>
        <w:pStyle w:val="SingleTxt"/>
        <w:rPr>
          <w:i/>
        </w:rPr>
      </w:pPr>
      <w:r>
        <w:rPr>
          <w:i/>
        </w:rPr>
        <w:t>Комитет обеспокоен распространенностью практики торговли женщ</w:t>
      </w:r>
      <w:r>
        <w:rPr>
          <w:i/>
        </w:rPr>
        <w:t>и</w:t>
      </w:r>
      <w:r>
        <w:rPr>
          <w:i/>
        </w:rPr>
        <w:t>нами и девочками.</w:t>
      </w:r>
    </w:p>
    <w:p w:rsidR="00000000" w:rsidRDefault="00000000">
      <w:pPr>
        <w:pStyle w:val="SingleTxt"/>
      </w:pPr>
      <w:r>
        <w:t>К настоящему времени в Германии благодаря работе национальной раб</w:t>
      </w:r>
      <w:r>
        <w:t>о</w:t>
      </w:r>
      <w:r>
        <w:t>чей группы достигнуты существенные успехи в борьбе с торговлей женщин</w:t>
      </w:r>
      <w:r>
        <w:t>а</w:t>
      </w:r>
      <w:r>
        <w:t>ми. В эту группу входят все компетентные федеральные министерства, органы управления земель, Федеральное управление уголовной полиции и неправ</w:t>
      </w:r>
      <w:r>
        <w:t>и</w:t>
      </w:r>
      <w:r>
        <w:t>тельственные организации. Рабочая группа разрабатывает конкретные меры по защите лиц, ставших жертвами торговли людьми. Такие межведомственные р</w:t>
      </w:r>
      <w:r>
        <w:t>а</w:t>
      </w:r>
      <w:r>
        <w:t>бочие группы образованы теперь во многих федеральных землях, поскольку эффективно вести борьбу с торговлей людьми можно только на основе тесного сотрудн</w:t>
      </w:r>
      <w:r>
        <w:t>и</w:t>
      </w:r>
      <w:r>
        <w:t>чества.</w:t>
      </w:r>
    </w:p>
    <w:p w:rsidR="00000000" w:rsidRDefault="00000000">
      <w:pPr>
        <w:pStyle w:val="SingleTxt"/>
      </w:pPr>
      <w:r>
        <w:t>Предприняты важные шаги с целью облегчить то крайне сложное пол</w:t>
      </w:r>
      <w:r>
        <w:t>о</w:t>
      </w:r>
      <w:r>
        <w:t>жение, в котором оказываются потерпевшие женщины. В тексте доклада пр</w:t>
      </w:r>
      <w:r>
        <w:t>и</w:t>
      </w:r>
      <w:r>
        <w:t>водится больше информации на этот счет. По этой причине о соответствующих мерах здесь будет сказано лишь вкратце: лица, пострадавшие в результате то</w:t>
      </w:r>
      <w:r>
        <w:t>р</w:t>
      </w:r>
      <w:r>
        <w:t>говли людьми, более не подлежат немедленной депортации, и им оказывается специальная помощь с тем, чтобы подготовить их к выезду, посредством ко</w:t>
      </w:r>
      <w:r>
        <w:t>н</w:t>
      </w:r>
      <w:r>
        <w:t>сультационных бюро, специально созданных с этой целью. Для лиц, постр</w:t>
      </w:r>
      <w:r>
        <w:t>а</w:t>
      </w:r>
      <w:r>
        <w:t xml:space="preserve">давших в результате торговли людьми, разработана специальная программа защиты и поддержки потерпевших. Например, потерпевшие могут получить разрешение на работу на период их вынужденного пребывания на территории </w:t>
      </w:r>
      <w:r>
        <w:rPr>
          <w:caps/>
        </w:rPr>
        <w:t>ф</w:t>
      </w:r>
      <w:r>
        <w:t xml:space="preserve">едеративной </w:t>
      </w:r>
      <w:r>
        <w:rPr>
          <w:caps/>
        </w:rPr>
        <w:t>р</w:t>
      </w:r>
      <w:r>
        <w:t>еспублики Германии. Кроме того, в соответствии с Законом о возмещении ущерба потерпевшим (</w:t>
      </w:r>
      <w:r>
        <w:rPr>
          <w:lang w:val="en-US"/>
        </w:rPr>
        <w:t>Opferentsch</w:t>
      </w:r>
      <w:r>
        <w:t>ä</w:t>
      </w:r>
      <w:r>
        <w:rPr>
          <w:lang w:val="en-US"/>
        </w:rPr>
        <w:t>digungsgesetz</w:t>
      </w:r>
      <w:r>
        <w:t>) женщинам могут компенсироваться расходы на медицинское обслуж</w:t>
      </w:r>
      <w:r>
        <w:t>и</w:t>
      </w:r>
      <w:r>
        <w:t xml:space="preserve">вание и лечение. </w:t>
      </w:r>
    </w:p>
    <w:p w:rsidR="00000000" w:rsidRDefault="00000000">
      <w:pPr>
        <w:pStyle w:val="SingleTxt"/>
        <w:keepNext/>
        <w:rPr>
          <w:u w:val="single"/>
        </w:rPr>
      </w:pPr>
      <w:r>
        <w:rPr>
          <w:u w:val="single"/>
        </w:rPr>
        <w:t>В отношении пункта 36:</w:t>
      </w:r>
    </w:p>
    <w:p w:rsidR="00000000" w:rsidRDefault="00000000">
      <w:pPr>
        <w:pStyle w:val="SingleTxt"/>
        <w:rPr>
          <w:i/>
        </w:rPr>
      </w:pPr>
      <w:r>
        <w:rPr>
          <w:i/>
        </w:rPr>
        <w:t>Комитет настоятельно призывает правительство признать, что я</w:t>
      </w:r>
      <w:r>
        <w:rPr>
          <w:i/>
        </w:rPr>
        <w:t>в</w:t>
      </w:r>
      <w:r>
        <w:rPr>
          <w:i/>
        </w:rPr>
        <w:t>ляющиеся предметом торговли женщины относятся к жертвам нарушений прав человека, нуждающимся в защите, и соответственно призывает его ок</w:t>
      </w:r>
      <w:r>
        <w:rPr>
          <w:i/>
        </w:rPr>
        <w:t>а</w:t>
      </w:r>
      <w:r>
        <w:rPr>
          <w:i/>
        </w:rPr>
        <w:t>зывать им помощь. Он настоятельно призывает также правительство акт</w:t>
      </w:r>
      <w:r>
        <w:rPr>
          <w:i/>
        </w:rPr>
        <w:t>и</w:t>
      </w:r>
      <w:r>
        <w:rPr>
          <w:i/>
        </w:rPr>
        <w:t>визировать усилия по трансграничному и международному сотрудничеству, особенно со странами происхождения и транзита, в целях сокращения ма</w:t>
      </w:r>
      <w:r>
        <w:rPr>
          <w:i/>
        </w:rPr>
        <w:t>с</w:t>
      </w:r>
      <w:r>
        <w:rPr>
          <w:i/>
        </w:rPr>
        <w:t>штабов торговли и преследования в судебном порядке торговцев. Он призыв</w:t>
      </w:r>
      <w:r>
        <w:rPr>
          <w:i/>
        </w:rPr>
        <w:t>а</w:t>
      </w:r>
      <w:r>
        <w:rPr>
          <w:i/>
        </w:rPr>
        <w:t>ет правительство обеспечивать получение являющимися предметом торговли женщинами необходимой поддержки, с тем чтобы они могли давать показ</w:t>
      </w:r>
      <w:r>
        <w:rPr>
          <w:i/>
        </w:rPr>
        <w:t>а</w:t>
      </w:r>
      <w:r>
        <w:rPr>
          <w:i/>
        </w:rPr>
        <w:t>ния против лиц, торговавших ими. Он настоятельно призывает также, чт</w:t>
      </w:r>
      <w:r>
        <w:rPr>
          <w:i/>
        </w:rPr>
        <w:t>о</w:t>
      </w:r>
      <w:r>
        <w:rPr>
          <w:i/>
        </w:rPr>
        <w:t>бы пограничники и должностные лица правоохранительных органов получали в рамках профессиональной подготовки необходимые навыки для выявления жертв торговли людьми и оказания им поддержки. Он также рекомендует правительству пересмотреть порядок выдачи виз находящимся на иждивении супругам с учетом того, что такие супруги могут быть объектом сексуальной эк</w:t>
      </w:r>
      <w:r>
        <w:rPr>
          <w:i/>
        </w:rPr>
        <w:t>с</w:t>
      </w:r>
      <w:r>
        <w:rPr>
          <w:i/>
        </w:rPr>
        <w:t>плуатации.</w:t>
      </w:r>
    </w:p>
    <w:p w:rsidR="00000000" w:rsidRDefault="00000000">
      <w:pPr>
        <w:pStyle w:val="SingleTxt"/>
      </w:pPr>
      <w:r>
        <w:t xml:space="preserve">Здесь </w:t>
      </w:r>
      <w:r>
        <w:rPr>
          <w:caps/>
        </w:rPr>
        <w:t>к</w:t>
      </w:r>
      <w:r>
        <w:t>омитет упомянул, в частности, о статусе женщин и мужчин-иностранцев, являющихся свидетелями этих преступлений. В этой связи след</w:t>
      </w:r>
      <w:r>
        <w:t>у</w:t>
      </w:r>
      <w:r>
        <w:t xml:space="preserve">ет сослаться на раздел № 248 документа </w:t>
      </w:r>
      <w:r>
        <w:rPr>
          <w:lang w:val="en-US"/>
        </w:rPr>
        <w:t>RiStBV</w:t>
      </w:r>
      <w:r>
        <w:t xml:space="preserve"> (</w:t>
      </w:r>
      <w:r>
        <w:rPr>
          <w:caps/>
        </w:rPr>
        <w:t>р</w:t>
      </w:r>
      <w:r>
        <w:t>уководящие принципы вз</w:t>
      </w:r>
      <w:r>
        <w:t>ы</w:t>
      </w:r>
      <w:r>
        <w:t>скания штрафов за уголовные и административные правонарушения [</w:t>
      </w:r>
      <w:r>
        <w:rPr>
          <w:lang w:val="en-US"/>
        </w:rPr>
        <w:t>Rich</w:t>
      </w:r>
      <w:r>
        <w:rPr>
          <w:lang w:val="en-US"/>
        </w:rPr>
        <w:t>t</w:t>
      </w:r>
      <w:r>
        <w:rPr>
          <w:lang w:val="en-US"/>
        </w:rPr>
        <w:t>linien</w:t>
      </w:r>
      <w:r>
        <w:t xml:space="preserve"> </w:t>
      </w:r>
      <w:r>
        <w:rPr>
          <w:lang w:val="en-US"/>
        </w:rPr>
        <w:t>f</w:t>
      </w:r>
      <w:r>
        <w:t>ü</w:t>
      </w:r>
      <w:r>
        <w:rPr>
          <w:lang w:val="en-US"/>
        </w:rPr>
        <w:t>r</w:t>
      </w:r>
      <w:r>
        <w:t xml:space="preserve"> </w:t>
      </w:r>
      <w:r>
        <w:rPr>
          <w:lang w:val="en-US"/>
        </w:rPr>
        <w:t>das</w:t>
      </w:r>
      <w:r>
        <w:t xml:space="preserve"> </w:t>
      </w:r>
      <w:r>
        <w:rPr>
          <w:lang w:val="en-US"/>
        </w:rPr>
        <w:t>Strafverfahren</w:t>
      </w:r>
      <w:r>
        <w:t xml:space="preserve"> </w:t>
      </w:r>
      <w:r>
        <w:rPr>
          <w:lang w:val="en-US"/>
        </w:rPr>
        <w:t>und</w:t>
      </w:r>
      <w:r>
        <w:t xml:space="preserve"> </w:t>
      </w:r>
      <w:r>
        <w:rPr>
          <w:lang w:val="en-US"/>
        </w:rPr>
        <w:t>das</w:t>
      </w:r>
      <w:r>
        <w:t xml:space="preserve"> </w:t>
      </w:r>
      <w:r>
        <w:rPr>
          <w:lang w:val="en-US"/>
        </w:rPr>
        <w:t>Buβgeldverfahren</w:t>
      </w:r>
      <w:r>
        <w:t>]), в который летом 2000 года был добавлен новый пункт 3 следующего содержания:</w:t>
      </w:r>
    </w:p>
    <w:p w:rsidR="00000000" w:rsidRDefault="00000000">
      <w:pPr>
        <w:pStyle w:val="SingleTxt"/>
      </w:pPr>
      <w:r>
        <w:t xml:space="preserve">«(3) </w:t>
      </w:r>
      <w:r>
        <w:rPr>
          <w:caps/>
        </w:rPr>
        <w:t>е</w:t>
      </w:r>
      <w:r>
        <w:t>сли в ходе уголовного производства возникает необходимость в явке иностранца, которого касается это правонарушение, в качестве свидетеля на основные слушания по делу и если эти иностранцы согласны пробыть допо</w:t>
      </w:r>
      <w:r>
        <w:t>л</w:t>
      </w:r>
      <w:r>
        <w:t xml:space="preserve">нительный фиксированный срок в Федеративной </w:t>
      </w:r>
      <w:r>
        <w:rPr>
          <w:caps/>
        </w:rPr>
        <w:t>р</w:t>
      </w:r>
      <w:r>
        <w:t>еспублике Германии, канц</w:t>
      </w:r>
      <w:r>
        <w:t>е</w:t>
      </w:r>
      <w:r>
        <w:t>лярия общественного обвинителя уведомляет об этом компетентные иммигр</w:t>
      </w:r>
      <w:r>
        <w:t>а</w:t>
      </w:r>
      <w:r>
        <w:t>ционные органы, с тем чтобы последние отложили принятие мер по аннулир</w:t>
      </w:r>
      <w:r>
        <w:t>о</w:t>
      </w:r>
      <w:r>
        <w:t>ванию вида на жительство на период уголовного производства и, в частности, отдали распоряжение о временном приостановлении процедуры депортации в соответствии с подразделом 3 раздела 55 Закона об иностранцах. Если прису</w:t>
      </w:r>
      <w:r>
        <w:t>т</w:t>
      </w:r>
      <w:r>
        <w:t>ствие иностранца в качестве свидетеля в ходе уголовного производства более не требуется, общественный обвинитель незамедлительно уведомляет об этом иммигр</w:t>
      </w:r>
      <w:r>
        <w:t>а</w:t>
      </w:r>
      <w:r>
        <w:t>ционные органы».</w:t>
      </w:r>
    </w:p>
    <w:p w:rsidR="00000000" w:rsidRDefault="00000000">
      <w:pPr>
        <w:pStyle w:val="SingleTxt"/>
        <w:keepNext/>
      </w:pPr>
      <w:r>
        <w:rPr>
          <w:u w:val="single"/>
        </w:rPr>
        <w:t>В отношении пунктов 37 и 38</w:t>
      </w:r>
      <w:r>
        <w:t>:</w:t>
      </w:r>
    </w:p>
    <w:p w:rsidR="00000000" w:rsidRDefault="00000000">
      <w:pPr>
        <w:pStyle w:val="SingleTxt"/>
        <w:rPr>
          <w:i/>
        </w:rPr>
      </w:pPr>
      <w:r>
        <w:rPr>
          <w:i/>
        </w:rPr>
        <w:t>Комитет обеспокоен сохраняющейся практикой стереотипного изобр</w:t>
      </w:r>
      <w:r>
        <w:rPr>
          <w:i/>
        </w:rPr>
        <w:t>а</w:t>
      </w:r>
      <w:r>
        <w:rPr>
          <w:i/>
        </w:rPr>
        <w:t>жения женщин, особенно иностранок, в средствах массовой инфо</w:t>
      </w:r>
      <w:r>
        <w:rPr>
          <w:i/>
        </w:rPr>
        <w:t>р</w:t>
      </w:r>
      <w:r>
        <w:rPr>
          <w:i/>
        </w:rPr>
        <w:t>мации.</w:t>
      </w:r>
    </w:p>
    <w:p w:rsidR="00000000" w:rsidRDefault="00000000">
      <w:pPr>
        <w:pStyle w:val="SingleTxt"/>
        <w:rPr>
          <w:i/>
        </w:rPr>
      </w:pPr>
      <w:r>
        <w:rPr>
          <w:i/>
        </w:rPr>
        <w:t>Комитет настоятельно призывает правительство поддерживать сре</w:t>
      </w:r>
      <w:r>
        <w:rPr>
          <w:i/>
        </w:rPr>
        <w:t>д</w:t>
      </w:r>
      <w:r>
        <w:rPr>
          <w:i/>
        </w:rPr>
        <w:t>ства массовой информации в решении ими важной задачи изменения стере</w:t>
      </w:r>
      <w:r>
        <w:rPr>
          <w:i/>
        </w:rPr>
        <w:t>о</w:t>
      </w:r>
      <w:r>
        <w:rPr>
          <w:i/>
        </w:rPr>
        <w:t>типного представления о роли женщин. Он рекомендует создавать условия для позитивного, нетрадиционного изображения женщин, а также поощрять и облегчать использование механизмов самоконтроля в средствах массовой информации в целях сокращения числа случаев дискриминационного и стере</w:t>
      </w:r>
      <w:r>
        <w:rPr>
          <w:i/>
        </w:rPr>
        <w:t>о</w:t>
      </w:r>
      <w:r>
        <w:rPr>
          <w:i/>
        </w:rPr>
        <w:t>типного из</w:t>
      </w:r>
      <w:r>
        <w:rPr>
          <w:i/>
        </w:rPr>
        <w:t>о</w:t>
      </w:r>
      <w:r>
        <w:rPr>
          <w:i/>
        </w:rPr>
        <w:t xml:space="preserve">бражения женщин. </w:t>
      </w:r>
    </w:p>
    <w:p w:rsidR="00000000" w:rsidRDefault="00000000">
      <w:pPr>
        <w:pStyle w:val="SingleTxt"/>
      </w:pPr>
      <w:r>
        <w:t>Изображение женщин и подача материалов, связанных с женщинами, в СМИ – это вопрос, имеющий важное значение для федерального правительс</w:t>
      </w:r>
      <w:r>
        <w:t>т</w:t>
      </w:r>
      <w:r>
        <w:t>ва. Кроме того, оно уделяет особое внимание тому, как женщины изображаются в рекламных объявлениях, поскольку реклама представляет женщин как в п</w:t>
      </w:r>
      <w:r>
        <w:t>о</w:t>
      </w:r>
      <w:r>
        <w:t>зитивном, так и в негативном ключе. Нельзя отрицать тот факт, что коммерч</w:t>
      </w:r>
      <w:r>
        <w:t>е</w:t>
      </w:r>
      <w:r>
        <w:t>ская реклама по прежнему строится на стереотипах. Можно с уверенностью сказать, что в последние годы количество рекламных объявлений явно дискр</w:t>
      </w:r>
      <w:r>
        <w:t>и</w:t>
      </w:r>
      <w:r>
        <w:t>минационного характера по отношению к женщинам, где женщины, например, изображаются как объект вожделения или как некая красивая вещь, существе</w:t>
      </w:r>
      <w:r>
        <w:t>н</w:t>
      </w:r>
      <w:r>
        <w:t>но сократилось, что является также очевидной заслугой Германского совета по рекламе – добровольного органа немецкой рекламной индустрии, работающего по принципу самоуправления. По инициативе федерального министерства по делам семьи и престарелых, женщин и молодежи и Германского совета женщин Германский совет по рекламе образовал орган по приему жалоб, с тем чтобы сократить число рекламных объявлений дискриминационного характера по о</w:t>
      </w:r>
      <w:r>
        <w:t>т</w:t>
      </w:r>
      <w:r>
        <w:t>ношению к женщинами и при оценке выпускаемой рекламы учитывать при</w:t>
      </w:r>
      <w:r>
        <w:t>н</w:t>
      </w:r>
      <w:r>
        <w:t>ципиальную позицию женщин.</w:t>
      </w:r>
    </w:p>
    <w:p w:rsidR="00000000" w:rsidRDefault="00000000">
      <w:pPr>
        <w:pStyle w:val="SingleTxt"/>
        <w:keepNext/>
      </w:pPr>
      <w:r>
        <w:rPr>
          <w:u w:val="single"/>
        </w:rPr>
        <w:t>В отношении пунктов 39 и 40</w:t>
      </w:r>
      <w:r>
        <w:t>:</w:t>
      </w:r>
    </w:p>
    <w:p w:rsidR="00000000" w:rsidRDefault="00000000">
      <w:pPr>
        <w:pStyle w:val="SingleTxt"/>
        <w:rPr>
          <w:i/>
        </w:rPr>
      </w:pPr>
      <w:r>
        <w:rPr>
          <w:i/>
        </w:rPr>
        <w:t>Комитет обеспокоен тем, что проститутки, хотя они юридически об</w:t>
      </w:r>
      <w:r>
        <w:rPr>
          <w:i/>
        </w:rPr>
        <w:t>я</w:t>
      </w:r>
      <w:r>
        <w:rPr>
          <w:i/>
        </w:rPr>
        <w:t>заны платить налоги, до сих пор не пользуются защитой в рамках трудового и соц</w:t>
      </w:r>
      <w:r>
        <w:rPr>
          <w:i/>
        </w:rPr>
        <w:t>и</w:t>
      </w:r>
      <w:r>
        <w:rPr>
          <w:i/>
        </w:rPr>
        <w:t>ального законодательства.</w:t>
      </w:r>
    </w:p>
    <w:p w:rsidR="00000000" w:rsidRDefault="00000000">
      <w:pPr>
        <w:pStyle w:val="SingleTxt"/>
        <w:rPr>
          <w:i/>
        </w:rPr>
      </w:pPr>
      <w:r>
        <w:rPr>
          <w:i/>
        </w:rPr>
        <w:t>Комитет рекомендует правительству улучшить правовое положение этих женщин, с тем чтобы сделать их менее уязвимыми с точки зрения эк</w:t>
      </w:r>
      <w:r>
        <w:rPr>
          <w:i/>
        </w:rPr>
        <w:t>с</w:t>
      </w:r>
      <w:r>
        <w:rPr>
          <w:i/>
        </w:rPr>
        <w:t>плуатации и повысить уровень их социальной защищенности.</w:t>
      </w:r>
    </w:p>
    <w:p w:rsidR="00000000" w:rsidRDefault="00000000">
      <w:pPr>
        <w:pStyle w:val="SingleTxt"/>
      </w:pPr>
      <w:r>
        <w:t>1 января 2002 года вступил в силу Закон о юридическом статусе прост</w:t>
      </w:r>
      <w:r>
        <w:t>и</w:t>
      </w:r>
      <w:r>
        <w:t>туток (</w:t>
      </w:r>
      <w:r>
        <w:rPr>
          <w:lang w:val="en-US"/>
        </w:rPr>
        <w:t>Gesetz</w:t>
      </w:r>
      <w:r>
        <w:t xml:space="preserve"> </w:t>
      </w:r>
      <w:r>
        <w:rPr>
          <w:lang w:val="en-US"/>
        </w:rPr>
        <w:t>zur</w:t>
      </w:r>
      <w:r>
        <w:t xml:space="preserve"> </w:t>
      </w:r>
      <w:r>
        <w:rPr>
          <w:lang w:val="en-US"/>
        </w:rPr>
        <w:t>Regelung</w:t>
      </w:r>
      <w:r>
        <w:t xml:space="preserve"> </w:t>
      </w:r>
      <w:r>
        <w:rPr>
          <w:lang w:val="en-US"/>
        </w:rPr>
        <w:t>der</w:t>
      </w:r>
      <w:r>
        <w:t xml:space="preserve"> </w:t>
      </w:r>
      <w:r>
        <w:rPr>
          <w:lang w:val="en-US"/>
        </w:rPr>
        <w:t>Rechtsveh</w:t>
      </w:r>
      <w:r>
        <w:t>ä</w:t>
      </w:r>
      <w:r>
        <w:rPr>
          <w:lang w:val="en-US"/>
        </w:rPr>
        <w:t>ltnisse</w:t>
      </w:r>
      <w:r>
        <w:t xml:space="preserve"> </w:t>
      </w:r>
      <w:r>
        <w:rPr>
          <w:lang w:val="en-US"/>
        </w:rPr>
        <w:t>der</w:t>
      </w:r>
      <w:r>
        <w:t xml:space="preserve"> </w:t>
      </w:r>
      <w:r>
        <w:rPr>
          <w:lang w:val="en-US"/>
        </w:rPr>
        <w:t>Prostituierten</w:t>
      </w:r>
      <w:r>
        <w:t>), благодаря к</w:t>
      </w:r>
      <w:r>
        <w:t>о</w:t>
      </w:r>
      <w:r>
        <w:t>торому было лучше поставлено дело юридической и социальной защиты пр</w:t>
      </w:r>
      <w:r>
        <w:t>о</w:t>
      </w:r>
      <w:r>
        <w:t>ституток. Главный смысл Закона о проститутках состоит в том, что проститу</w:t>
      </w:r>
      <w:r>
        <w:t>т</w:t>
      </w:r>
      <w:r>
        <w:t>кам предоставляется или облегчается доступ к системе социального страхов</w:t>
      </w:r>
      <w:r>
        <w:t>а</w:t>
      </w:r>
      <w:r>
        <w:t>ния. Проституция более не считается аморальным поведением по гражданск</w:t>
      </w:r>
      <w:r>
        <w:t>о</w:t>
      </w:r>
      <w:r>
        <w:t>му праву. Проститутки имеют право получать заработную плату по договоре</w:t>
      </w:r>
      <w:r>
        <w:t>н</w:t>
      </w:r>
      <w:r>
        <w:t>ности с р</w:t>
      </w:r>
      <w:r>
        <w:t>а</w:t>
      </w:r>
      <w:r>
        <w:t>ботодателем и оспаривать это право в судебном порядке.</w:t>
      </w:r>
    </w:p>
    <w:p w:rsidR="00000000" w:rsidRDefault="00000000">
      <w:pPr>
        <w:pStyle w:val="SingleTxt"/>
        <w:keepNext/>
      </w:pPr>
      <w:r>
        <w:rPr>
          <w:u w:val="single"/>
        </w:rPr>
        <w:t>В отношении пунктов 41 и 42</w:t>
      </w:r>
      <w:r>
        <w:t>:</w:t>
      </w:r>
    </w:p>
    <w:p w:rsidR="00000000" w:rsidRDefault="00000000">
      <w:pPr>
        <w:pStyle w:val="SingleTxt"/>
        <w:rPr>
          <w:i/>
        </w:rPr>
      </w:pPr>
      <w:r>
        <w:rPr>
          <w:i/>
        </w:rPr>
        <w:t xml:space="preserve">Отмечая намерение правительства внести поправки в </w:t>
      </w:r>
      <w:r>
        <w:rPr>
          <w:i/>
          <w:caps/>
        </w:rPr>
        <w:t>з</w:t>
      </w:r>
      <w:r>
        <w:rPr>
          <w:i/>
        </w:rPr>
        <w:t>акон об ин</w:t>
      </w:r>
      <w:r>
        <w:rPr>
          <w:i/>
        </w:rPr>
        <w:t>о</w:t>
      </w:r>
      <w:r>
        <w:rPr>
          <w:i/>
        </w:rPr>
        <w:t>странцах в части правового статуса супругов из числа иностранцев. Ком</w:t>
      </w:r>
      <w:r>
        <w:rPr>
          <w:i/>
        </w:rPr>
        <w:t>и</w:t>
      </w:r>
      <w:r>
        <w:rPr>
          <w:i/>
        </w:rPr>
        <w:t>тет обеспокоен положением женщин-иностранок, стремящихся обрести м</w:t>
      </w:r>
      <w:r>
        <w:rPr>
          <w:i/>
        </w:rPr>
        <w:t>е</w:t>
      </w:r>
      <w:r>
        <w:rPr>
          <w:i/>
        </w:rPr>
        <w:t>сто жительства в государстве-участнике.</w:t>
      </w:r>
    </w:p>
    <w:p w:rsidR="00000000" w:rsidRDefault="00000000">
      <w:pPr>
        <w:pStyle w:val="SingleTxt"/>
        <w:rPr>
          <w:i/>
        </w:rPr>
      </w:pPr>
      <w:r>
        <w:rPr>
          <w:i/>
        </w:rPr>
        <w:t>Комитет настоятельно призывает правительство продолжать сове</w:t>
      </w:r>
      <w:r>
        <w:rPr>
          <w:i/>
        </w:rPr>
        <w:t>р</w:t>
      </w:r>
      <w:r>
        <w:rPr>
          <w:i/>
        </w:rPr>
        <w:t>шенствовать правовую и социальную защиту женщин-иностранок, особенно же</w:t>
      </w:r>
      <w:r>
        <w:rPr>
          <w:i/>
        </w:rPr>
        <w:t>н</w:t>
      </w:r>
      <w:r>
        <w:rPr>
          <w:i/>
        </w:rPr>
        <w:t>щин, ищущих убежище.</w:t>
      </w:r>
    </w:p>
    <w:p w:rsidR="00000000" w:rsidRDefault="00000000">
      <w:pPr>
        <w:pStyle w:val="SingleTxt"/>
      </w:pPr>
      <w:r>
        <w:t>1 июня 2000 года вступил в силу Закон о поправках к разделу 19 Закона об иностранцах, благодаря которому был повышен, в частности, юридический статус женщин-иммигрантов, вступивших в брак. Подробнее об этом рассказ</w:t>
      </w:r>
      <w:r>
        <w:t>ы</w:t>
      </w:r>
      <w:r>
        <w:t xml:space="preserve">вается в части </w:t>
      </w:r>
      <w:r>
        <w:rPr>
          <w:lang w:val="en-US"/>
        </w:rPr>
        <w:t>II</w:t>
      </w:r>
      <w:r>
        <w:t>, 6.5.</w:t>
      </w:r>
    </w:p>
    <w:p w:rsidR="00000000" w:rsidRDefault="00000000">
      <w:pPr>
        <w:pStyle w:val="SingleTxt"/>
      </w:pPr>
      <w:r>
        <w:t>Поскольку Комитет поднял вопрос о социальной защите, следует отм</w:t>
      </w:r>
      <w:r>
        <w:t>е</w:t>
      </w:r>
      <w:r>
        <w:t>тить, что в Федеративной Республике Германии обязанность застраховаться и вносить взносы в страховой фонд зависит исключительно от того, подпадает ли работа по найму или индивидуальная трудовая деятельность, предусматр</w:t>
      </w:r>
      <w:r>
        <w:t>и</w:t>
      </w:r>
      <w:r>
        <w:t>вающая обязанность застраховаться и вносить взносы в страховой фонд, под действие специальных положений, касающихся обязанности застраховаться и вносить страховые взносы. Таким образом, для социального страхования не имеет значения ни гражданство, ни пол работника. Кроме того, здесь действует так называемый принцип территориальности. В соответствии с ним лица, раб</w:t>
      </w:r>
      <w:r>
        <w:t>о</w:t>
      </w:r>
      <w:r>
        <w:t>тающие на территории Федеративной Республики Германии, для которой стр</w:t>
      </w:r>
      <w:r>
        <w:t>а</w:t>
      </w:r>
      <w:r>
        <w:t>хование является обязательным, изначально охвачены немецкой системой с</w:t>
      </w:r>
      <w:r>
        <w:t>о</w:t>
      </w:r>
      <w:r>
        <w:t>циального страхования, независимо от их гражданства.</w:t>
      </w:r>
    </w:p>
    <w:p w:rsidR="00000000" w:rsidRDefault="00000000">
      <w:pPr>
        <w:pStyle w:val="SingleTxt"/>
        <w:keepNext/>
      </w:pPr>
      <w:r>
        <w:rPr>
          <w:u w:val="single"/>
        </w:rPr>
        <w:t>В отношении пункта 43</w:t>
      </w:r>
      <w:r>
        <w:t>:</w:t>
      </w:r>
    </w:p>
    <w:p w:rsidR="00000000" w:rsidRDefault="00000000">
      <w:pPr>
        <w:pStyle w:val="SingleTxt"/>
        <w:rPr>
          <w:i/>
        </w:rPr>
      </w:pPr>
      <w:r>
        <w:rPr>
          <w:i/>
        </w:rPr>
        <w:t>Комитет настоятельно призывает правительство как можно скорее представить документ о пр</w:t>
      </w:r>
      <w:r>
        <w:rPr>
          <w:i/>
        </w:rPr>
        <w:t>и</w:t>
      </w:r>
      <w:r>
        <w:rPr>
          <w:i/>
        </w:rPr>
        <w:t>нятии поправки к пункту 1 статьи 20 Конвенции.</w:t>
      </w:r>
    </w:p>
    <w:p w:rsidR="00000000" w:rsidRDefault="00000000">
      <w:pPr>
        <w:pStyle w:val="SingleTxt"/>
      </w:pPr>
      <w:r>
        <w:t xml:space="preserve">Просьба Комитета представить документ о принятии поправки к пункту 1 статьи 20 Конвенции была выполнена 25 февраля 2002 года. </w:t>
      </w:r>
    </w:p>
    <w:p w:rsidR="00000000" w:rsidRDefault="00000000">
      <w:pPr>
        <w:pStyle w:val="SingleTxt"/>
        <w:keepNext/>
      </w:pPr>
      <w:r>
        <w:rPr>
          <w:u w:val="single"/>
        </w:rPr>
        <w:t>В отношении пункта 44</w:t>
      </w:r>
      <w:r>
        <w:t>:</w:t>
      </w:r>
    </w:p>
    <w:p w:rsidR="00000000" w:rsidRDefault="00000000">
      <w:pPr>
        <w:pStyle w:val="SingleTxt"/>
        <w:rPr>
          <w:i/>
        </w:rPr>
      </w:pPr>
      <w:r>
        <w:rPr>
          <w:i/>
        </w:rPr>
        <w:t>Комитет также настоятельно призывает правительство ратифицир</w:t>
      </w:r>
      <w:r>
        <w:rPr>
          <w:i/>
        </w:rPr>
        <w:t>о</w:t>
      </w:r>
      <w:r>
        <w:rPr>
          <w:i/>
        </w:rPr>
        <w:t>вать Факультативный прот</w:t>
      </w:r>
      <w:r>
        <w:rPr>
          <w:i/>
        </w:rPr>
        <w:t>о</w:t>
      </w:r>
      <w:r>
        <w:rPr>
          <w:i/>
        </w:rPr>
        <w:t>кол к Конвенции.</w:t>
      </w:r>
    </w:p>
    <w:p w:rsidR="00000000" w:rsidRDefault="00000000">
      <w:pPr>
        <w:pStyle w:val="SingleTxt"/>
      </w:pPr>
      <w:r>
        <w:t xml:space="preserve">Федеративная </w:t>
      </w:r>
      <w:r>
        <w:rPr>
          <w:caps/>
        </w:rPr>
        <w:t>р</w:t>
      </w:r>
      <w:r>
        <w:t>еспублика Германия подписала Факультативный протокол 15 января 2002 года, и он вступил в силу 15 апреля 2002 года, спустя три мес</w:t>
      </w:r>
      <w:r>
        <w:t>я</w:t>
      </w:r>
      <w:r>
        <w:t>ца после сдачи на хранение соответствующего уведо</w:t>
      </w:r>
      <w:r>
        <w:t>м</w:t>
      </w:r>
      <w:r>
        <w:t>ления.</w:t>
      </w:r>
    </w:p>
    <w:p w:rsidR="00000000" w:rsidRDefault="00000000">
      <w:pPr>
        <w:pStyle w:val="SingleTxt"/>
        <w:keepNext/>
      </w:pPr>
      <w:r>
        <w:rPr>
          <w:u w:val="single"/>
        </w:rPr>
        <w:t>В отношении пункта 45</w:t>
      </w:r>
      <w:r>
        <w:t>:</w:t>
      </w:r>
    </w:p>
    <w:p w:rsidR="00000000" w:rsidRDefault="00000000">
      <w:pPr>
        <w:pStyle w:val="SingleTxt"/>
        <w:rPr>
          <w:i/>
        </w:rPr>
      </w:pPr>
      <w:r>
        <w:rPr>
          <w:i/>
        </w:rPr>
        <w:t>Комитет просит правительство представить в своем следующем пери</w:t>
      </w:r>
      <w:r>
        <w:rPr>
          <w:i/>
        </w:rPr>
        <w:t>о</w:t>
      </w:r>
      <w:r>
        <w:rPr>
          <w:i/>
        </w:rPr>
        <w:t>дическом докладе ответы на конкретные вопросы, поднятые в настоящих з</w:t>
      </w:r>
      <w:r>
        <w:rPr>
          <w:i/>
        </w:rPr>
        <w:t>а</w:t>
      </w:r>
      <w:r>
        <w:rPr>
          <w:i/>
        </w:rPr>
        <w:t>ключительных замечаниях. Комитет просит также правительство наладить при подготовке своего следующего доклада широкий консультативный процесс с женскими неправительственными организациями, включая те из них, кот</w:t>
      </w:r>
      <w:r>
        <w:rPr>
          <w:i/>
        </w:rPr>
        <w:t>о</w:t>
      </w:r>
      <w:r>
        <w:rPr>
          <w:i/>
        </w:rPr>
        <w:t>рые представляют женщин-иностранок.</w:t>
      </w:r>
    </w:p>
    <w:p w:rsidR="00000000" w:rsidRDefault="00000000">
      <w:pPr>
        <w:pStyle w:val="SingleTxt"/>
      </w:pPr>
      <w:r>
        <w:t>Просьба Комитета дать ответы на конкретные вопросы, поднятые при рассмотрении докладов, выполнена в настоящем пятом докладе. Федеральное правительство поддерживает постоянные контакты с женскими неправительс</w:t>
      </w:r>
      <w:r>
        <w:t>т</w:t>
      </w:r>
      <w:r>
        <w:t>венными организациями. В качестве примера следует отметить, что со времени проведения двадцать третьей специальной сессии Генеральной Ассамблеи в июне 2000 года Федеративная Республика Германия включает в состав неме</w:t>
      </w:r>
      <w:r>
        <w:t>ц</w:t>
      </w:r>
      <w:r>
        <w:t>кой делегации на сессиях Комиссии по положению женщин двух представит</w:t>
      </w:r>
      <w:r>
        <w:t>е</w:t>
      </w:r>
      <w:r>
        <w:t>лей неправительственных организаций в качестве полноправных членов и ко</w:t>
      </w:r>
      <w:r>
        <w:t>н</w:t>
      </w:r>
      <w:r>
        <w:t>сультируется с ними в отношении вопросов, обсу</w:t>
      </w:r>
      <w:r>
        <w:t>ж</w:t>
      </w:r>
      <w:r>
        <w:t>даемых на сессиях.</w:t>
      </w:r>
    </w:p>
    <w:p w:rsidR="00000000" w:rsidRDefault="00000000">
      <w:pPr>
        <w:pStyle w:val="SingleTxt"/>
        <w:keepNext/>
      </w:pPr>
      <w:r>
        <w:rPr>
          <w:u w:val="single"/>
        </w:rPr>
        <w:t>В отношении пункта 46</w:t>
      </w:r>
      <w:r>
        <w:t>:</w:t>
      </w:r>
    </w:p>
    <w:p w:rsidR="00000000" w:rsidRDefault="00000000">
      <w:pPr>
        <w:pStyle w:val="SingleTxt"/>
        <w:rPr>
          <w:i/>
        </w:rPr>
      </w:pPr>
      <w:r>
        <w:rPr>
          <w:i/>
        </w:rPr>
        <w:t>Комитет просит широко распространить настоящие заключительные замечания в Германии, с тем чтобы ознакомить население Германии, в час</w:t>
      </w:r>
      <w:r>
        <w:rPr>
          <w:i/>
        </w:rPr>
        <w:t>т</w:t>
      </w:r>
      <w:r>
        <w:rPr>
          <w:i/>
        </w:rPr>
        <w:t>ности правительственных должностных лиц и политических деятелей, с м</w:t>
      </w:r>
      <w:r>
        <w:rPr>
          <w:i/>
        </w:rPr>
        <w:t>е</w:t>
      </w:r>
      <w:r>
        <w:rPr>
          <w:i/>
        </w:rPr>
        <w:t>рами, принятыми для обеспечения юридического и фактического равенства женщин, и будущими шагами, которые требуются в этой связи. Он просит также правительство и впредь широко популяризировать, в частности среди женских и правозащитных организаций, Конвенцию и Факультативный пр</w:t>
      </w:r>
      <w:r>
        <w:rPr>
          <w:i/>
        </w:rPr>
        <w:t>о</w:t>
      </w:r>
      <w:r>
        <w:rPr>
          <w:i/>
        </w:rPr>
        <w:t>токол к ней, общие рекомендации Комитета и Пекинскую декларацию и Платформу дейс</w:t>
      </w:r>
      <w:r>
        <w:rPr>
          <w:i/>
        </w:rPr>
        <w:t>т</w:t>
      </w:r>
      <w:r>
        <w:rPr>
          <w:i/>
        </w:rPr>
        <w:t>вий.</w:t>
      </w:r>
    </w:p>
    <w:p w:rsidR="00000000" w:rsidRDefault="00000000">
      <w:pPr>
        <w:pStyle w:val="SingleTxt"/>
      </w:pPr>
      <w:r>
        <w:t>Эта просьба Комитета уже выполнена. Материалы по этим вопросам пр</w:t>
      </w:r>
      <w:r>
        <w:t>е</w:t>
      </w:r>
      <w:r>
        <w:t xml:space="preserve">доставлены соответствующим женским и правозащитным организациям, а также всем заинтересованным лицам как напрямую, так и через </w:t>
      </w:r>
      <w:r>
        <w:rPr>
          <w:caps/>
        </w:rPr>
        <w:t>и</w:t>
      </w:r>
      <w:r>
        <w:t>нтернет.</w:t>
      </w:r>
    </w:p>
    <w:p w:rsidR="00000000" w:rsidRDefault="00000000">
      <w:pPr>
        <w:pStyle w:val="HCh"/>
        <w:pageBreakBefore/>
        <w:spacing w:before="0"/>
      </w:pPr>
      <w:bookmarkStart w:id="40" w:name="_Toc44114222"/>
      <w:bookmarkStart w:id="41" w:name="_Toc44115502"/>
      <w:bookmarkStart w:id="42" w:name="_Toc44115899"/>
      <w:r>
        <w:t xml:space="preserve">Часть </w:t>
      </w:r>
      <w:r>
        <w:rPr>
          <w:lang w:val="en-US"/>
        </w:rPr>
        <w:t>I</w:t>
      </w:r>
      <w:r>
        <w:t>: Условия жизни женщин в Федеративной Республике Герм</w:t>
      </w:r>
      <w:r>
        <w:t>а</w:t>
      </w:r>
      <w:r>
        <w:t>нии</w:t>
      </w:r>
      <w:bookmarkEnd w:id="40"/>
      <w:bookmarkEnd w:id="41"/>
      <w:bookmarkEnd w:id="42"/>
    </w:p>
    <w:p w:rsidR="00000000" w:rsidRDefault="00000000">
      <w:pPr>
        <w:pStyle w:val="H1"/>
      </w:pPr>
      <w:bookmarkStart w:id="43" w:name="_Toc44113450"/>
      <w:bookmarkStart w:id="44" w:name="_Toc44113716"/>
      <w:bookmarkStart w:id="45" w:name="_Toc44114223"/>
      <w:bookmarkStart w:id="46" w:name="_Toc44115503"/>
      <w:bookmarkStart w:id="47" w:name="_Toc44115900"/>
      <w:r>
        <w:t>1.</w:t>
      </w:r>
      <w:r>
        <w:tab/>
        <w:t>Население</w:t>
      </w:r>
      <w:bookmarkEnd w:id="43"/>
      <w:bookmarkEnd w:id="44"/>
      <w:bookmarkEnd w:id="45"/>
      <w:bookmarkEnd w:id="46"/>
      <w:bookmarkEnd w:id="47"/>
    </w:p>
    <w:p w:rsidR="00000000" w:rsidRDefault="00000000">
      <w:pPr>
        <w:pStyle w:val="SingleTxt"/>
      </w:pPr>
      <w:r>
        <w:t>В конце 1999 года в Федеративной Республике Германии на площади пр</w:t>
      </w:r>
      <w:r>
        <w:t>и</w:t>
      </w:r>
      <w:r>
        <w:t>близительно 357 тыс. кв. км проживало около 82,2 млн. человек, т.е. примерно на 0,2 млн. человек больше, чем на момент подготовки последнего национал</w:t>
      </w:r>
      <w:r>
        <w:t>ь</w:t>
      </w:r>
      <w:r>
        <w:t>ного доклада для КЛДОЖ (базисный год: 1996). В эту общую цифру входит около 7,3 млн. иностранцев, что на 0,4 млн. человек больше, чем в 1993 году. Большинство населения составляют женщины: 42,1 млн. человек (51,2 процента) по сравнению с 40,6 млн. мужчин (48,8 процента).</w:t>
      </w:r>
    </w:p>
    <w:p w:rsidR="00000000" w:rsidRDefault="00000000">
      <w:pPr>
        <w:pStyle w:val="SingleTxt"/>
      </w:pPr>
      <w:r>
        <w:t>Приблизительно каждый третий житель Германии проживает в одном из 83 крупных городов с н</w:t>
      </w:r>
      <w:r>
        <w:t>а</w:t>
      </w:r>
      <w:r>
        <w:t>селением свыше 100 тыс. человек.</w:t>
      </w:r>
    </w:p>
    <w:p w:rsidR="00000000" w:rsidRDefault="00000000">
      <w:pPr>
        <w:pStyle w:val="SingleTxt"/>
      </w:pPr>
      <w:r>
        <w:t>34,9 млн. человек, т.е. около 42,4 процента от общей численности насел</w:t>
      </w:r>
      <w:r>
        <w:t>е</w:t>
      </w:r>
      <w:r>
        <w:t>ния, проживают в населенных пунктах с населением менее 20 тыс. жителей, в том числе 6,1 млн. человек (1996 год: 6,4 млн.; 1993 год: 7,3 млн.) – в деревнях с населением менее 2 тыс. жителей. По сравнению с другими европейскими странами плотность населения высока – 230 человек на кв. км для всей терр</w:t>
      </w:r>
      <w:r>
        <w:t>и</w:t>
      </w:r>
      <w:r>
        <w:t>тории Федеративной Республики Германии – и в последние годы остается практически неизменной (для сравнения: плотность населения в Греции – 80 человек на кв. км, Франции – 108, Великобритании и Северной Ирландии – 244, в Нидерландах – 465). Однако население распределено крайне неравн</w:t>
      </w:r>
      <w:r>
        <w:t>о</w:t>
      </w:r>
      <w:r>
        <w:t>мерно: в некоторых урбанизированных районах, например в районе Рура, плотность населения достигает 1 136 человек на кв. км, а в других регионах она относительно невысока.</w:t>
      </w:r>
    </w:p>
    <w:p w:rsidR="00000000" w:rsidRDefault="00000000">
      <w:pPr>
        <w:pStyle w:val="SingleTxt"/>
      </w:pPr>
      <w:r>
        <w:t>В последние годы в возрастной структуре населения неуклонно рос удельный вес пожилых людей. Вот уже в течение нескольких лет в Федерати</w:t>
      </w:r>
      <w:r>
        <w:t>в</w:t>
      </w:r>
      <w:r>
        <w:t>ной Республике Германии отмечается один из самых низких уровней рожда</w:t>
      </w:r>
      <w:r>
        <w:t>е</w:t>
      </w:r>
      <w:r>
        <w:t>мости в мире: в 1999 году было зафиксировано только 9,4 живорождения на 1000 жителей (1996 год: 9,7). Ожидаемая продолжительность жизни женщин заметно выше, чем у мужчин: 80,6 года для новорожденных девочек и лишь 74,4 года для мальчиков. В возрастной группе старше 65 лет насчитывается 8,4 млн. женщин и 5,3 млн. мужчин (см. таблицу 1 в приложении).</w:t>
      </w:r>
    </w:p>
    <w:p w:rsidR="00000000" w:rsidRDefault="00000000">
      <w:pPr>
        <w:pStyle w:val="SingleTxt"/>
      </w:pPr>
      <w:r>
        <w:t>Несколько менее половины женского населения (45,3 процента в 2000 году) составляют замужние женщины (см. таблицу 2.1 в приложении). В среднем женщины вступают в брак в возрасте 28,3 года, мужчины – в возрасте 31,0 года, что на 0,7 года и 1 год, соответственно, больше цифр, приведенных в предыдущем докладе. В этой связи следует отметить, что возраст вступления в брак в новых федеральных землях по прежнему ниже, чем в старых федерал</w:t>
      </w:r>
      <w:r>
        <w:t>ь</w:t>
      </w:r>
      <w:r>
        <w:t>ных землях.</w:t>
      </w:r>
    </w:p>
    <w:p w:rsidR="00000000" w:rsidRDefault="00000000">
      <w:pPr>
        <w:pStyle w:val="SingleTxt"/>
      </w:pPr>
      <w:r>
        <w:t>В 1999 году на всей территории Германии было зарегистрировано 430 674 брака (1996 год: 427 297; 1993 год: 442 605) и 190 760 разводов (1996 год: 175 550; 1993 год: 156 425).</w:t>
      </w:r>
    </w:p>
    <w:p w:rsidR="00000000" w:rsidRDefault="00000000">
      <w:pPr>
        <w:pStyle w:val="SingleTxt"/>
      </w:pPr>
      <w:r>
        <w:t>Средний возраст женщин на момент рождения первенца продолжал ув</w:t>
      </w:r>
      <w:r>
        <w:t>е</w:t>
      </w:r>
      <w:r>
        <w:t>личиваться, достигнув в 1999 году 28,8 года (1996 год: 28,4 года, 1991 год: 26,9 года) в старых федеральных землях и 28,9 года (1996 год: 28,4; 1991 год: 27,1) и 28,2 года (1996 год: 27,3; 1991 год: 24,9) в новых федеральных землях и Восточном Берлине, соответственно.</w:t>
      </w:r>
    </w:p>
    <w:p w:rsidR="00000000" w:rsidRDefault="00000000">
      <w:pPr>
        <w:pStyle w:val="SingleTxt"/>
      </w:pPr>
      <w:r>
        <w:t>После непродолжительного увеличения в 1996 и 1997 годах число рожд</w:t>
      </w:r>
      <w:r>
        <w:t>е</w:t>
      </w:r>
      <w:r>
        <w:t>ний в старых федеральных землях по-прежнему неуклонно снижается (1995 год: 681 374; 1996 год:702 688; 1997 год: 711 915; 1998 год: 682 172; 1999 год: 664 018). В новых землях и Восточном Берлине число рождений ст</w:t>
      </w:r>
      <w:r>
        <w:t>а</w:t>
      </w:r>
      <w:r>
        <w:t>ло вновь постепенно возрастать (1996 год: 93 325; 1997 год: 100 258; 1998 год: 102 862; 1999 год: 106 726). За период с 1990 по 1994 год число родившихся сократилось с 178 476 до 78 698.</w:t>
      </w:r>
    </w:p>
    <w:p w:rsidR="00000000" w:rsidRDefault="00000000">
      <w:pPr>
        <w:pStyle w:val="SingleTxt"/>
      </w:pPr>
      <w:r>
        <w:t xml:space="preserve">В мае 2000 года 7,3 млн. супружеских пар и 2,0 млн. одиноких родителей, в том числе 1,7 млн. одиноких матерей, имели детей младше 18 лет (1993 год:7,9 млн. супружеских пар и 1,6 млн. одиноких родителей, в том числе 1,4 млн. одиноких матерей). </w:t>
      </w:r>
      <w:r>
        <w:rPr>
          <w:caps/>
        </w:rPr>
        <w:t>п</w:t>
      </w:r>
      <w:r>
        <w:t>оловина всех семей имеют только одного ребе</w:t>
      </w:r>
      <w:r>
        <w:t>н</w:t>
      </w:r>
      <w:r>
        <w:t>ка. Семьи с четырьмя и более детьми встречаются редко (см. таблицу 2.2 в прил</w:t>
      </w:r>
      <w:r>
        <w:t>о</w:t>
      </w:r>
      <w:r>
        <w:t>жении).</w:t>
      </w:r>
    </w:p>
    <w:p w:rsidR="00000000" w:rsidRDefault="00000000">
      <w:pPr>
        <w:pStyle w:val="H1"/>
      </w:pPr>
      <w:bookmarkStart w:id="48" w:name="_Toc44113451"/>
      <w:bookmarkStart w:id="49" w:name="_Toc44113717"/>
      <w:bookmarkStart w:id="50" w:name="_Toc44114224"/>
      <w:bookmarkStart w:id="51" w:name="_Toc44115504"/>
      <w:bookmarkStart w:id="52" w:name="_Toc44115901"/>
      <w:r>
        <w:t xml:space="preserve">2. </w:t>
      </w:r>
      <w:r>
        <w:tab/>
        <w:t>Правовые и политические условия</w:t>
      </w:r>
      <w:bookmarkEnd w:id="48"/>
      <w:bookmarkEnd w:id="49"/>
      <w:bookmarkEnd w:id="50"/>
      <w:bookmarkEnd w:id="51"/>
      <w:bookmarkEnd w:id="52"/>
    </w:p>
    <w:p w:rsidR="00000000" w:rsidRDefault="00000000">
      <w:pPr>
        <w:pStyle w:val="SingleTxt"/>
      </w:pPr>
      <w:r>
        <w:t>Ниже мы описываем изменения в правовых и политических условиях, происшедшие со времени представления КЛДОЖ последнего национального доклада.</w:t>
      </w:r>
    </w:p>
    <w:p w:rsidR="00000000" w:rsidRDefault="00000000">
      <w:pPr>
        <w:pStyle w:val="H23"/>
      </w:pPr>
      <w:bookmarkStart w:id="53" w:name="_Toc44113452"/>
      <w:bookmarkStart w:id="54" w:name="_Toc44113718"/>
      <w:bookmarkStart w:id="55" w:name="_Toc44114225"/>
      <w:bookmarkStart w:id="56" w:name="_Toc44115505"/>
      <w:bookmarkStart w:id="57" w:name="_Toc44115902"/>
      <w:r>
        <w:t>2.1</w:t>
      </w:r>
      <w:r>
        <w:tab/>
        <w:t xml:space="preserve">Закон о поправках к </w:t>
      </w:r>
      <w:r>
        <w:rPr>
          <w:caps/>
        </w:rPr>
        <w:t>з</w:t>
      </w:r>
      <w:r>
        <w:t>акону об иностранцах (Ausländergesetz)</w:t>
      </w:r>
      <w:bookmarkEnd w:id="53"/>
      <w:bookmarkEnd w:id="54"/>
      <w:bookmarkEnd w:id="55"/>
      <w:bookmarkEnd w:id="56"/>
      <w:bookmarkEnd w:id="57"/>
    </w:p>
    <w:p w:rsidR="00000000" w:rsidRDefault="00000000">
      <w:pPr>
        <w:pStyle w:val="SingleTxt"/>
      </w:pPr>
      <w:r>
        <w:t>Закон о поправках к Закону об иностранцах вступил в силу 1 июня 2000 года. В разделе 19 Закона об иностранцах устанавливается право на ра</w:t>
      </w:r>
      <w:r>
        <w:t>з</w:t>
      </w:r>
      <w:r>
        <w:t>дельное проживание для супругов-иностранцев в случае расторжения брачного союза. Супруги-иностранцы получают теперь право жить порознь в случае развода после двух лет вместо четырех, установленных ранее. Кроме того, п</w:t>
      </w:r>
      <w:r>
        <w:t>е</w:t>
      </w:r>
      <w:r>
        <w:t>реработано положение об особо трудных случаях, в соответствии с которым право на раздельное проживание может быть предоставлено до истечения этого периода.</w:t>
      </w:r>
    </w:p>
    <w:p w:rsidR="00000000" w:rsidRDefault="00000000">
      <w:pPr>
        <w:pStyle w:val="H23"/>
      </w:pPr>
      <w:bookmarkStart w:id="58" w:name="_Toc44113453"/>
      <w:bookmarkStart w:id="59" w:name="_Toc44113719"/>
      <w:bookmarkStart w:id="60" w:name="_Toc44114226"/>
      <w:bookmarkStart w:id="61" w:name="_Toc44115506"/>
      <w:bookmarkStart w:id="62" w:name="_Toc44115903"/>
      <w:r>
        <w:t>2.2</w:t>
      </w:r>
      <w:r>
        <w:tab/>
        <w:t>Поправки к Федеральному закону о пособиях по уходу за детьми (Bundeserziehungsgeldgesetz)</w:t>
      </w:r>
      <w:bookmarkEnd w:id="58"/>
      <w:bookmarkEnd w:id="59"/>
      <w:bookmarkEnd w:id="60"/>
      <w:bookmarkEnd w:id="61"/>
      <w:bookmarkEnd w:id="62"/>
    </w:p>
    <w:p w:rsidR="00000000" w:rsidRDefault="00000000">
      <w:pPr>
        <w:pStyle w:val="SingleTxt"/>
      </w:pPr>
      <w:r>
        <w:t>Поправки к Федеральному закону о пособиях на содержание детей вст</w:t>
      </w:r>
      <w:r>
        <w:t>у</w:t>
      </w:r>
      <w:r>
        <w:t>пили в силу 1 января 2001 года. Они распространяются на детей, родившихся в 2001 году и последующий период. Благодаря им улучшены условия для пол</w:t>
      </w:r>
      <w:r>
        <w:t>у</w:t>
      </w:r>
      <w:r>
        <w:t>чения соответствующего пособия и отпуска по уходу за детьми, который т</w:t>
      </w:r>
      <w:r>
        <w:t>е</w:t>
      </w:r>
      <w:r>
        <w:t>перь называется родительским отпуском. Благодаря этому закону была знач</w:t>
      </w:r>
      <w:r>
        <w:t>и</w:t>
      </w:r>
      <w:r>
        <w:t>тельно усовершенствована правовая база для совместного воспитания детей обоими родителями, которые могут одновременно с этим работать и получать квалификацию.</w:t>
      </w:r>
    </w:p>
    <w:p w:rsidR="00000000" w:rsidRDefault="00000000">
      <w:pPr>
        <w:pStyle w:val="SingleTxt"/>
      </w:pPr>
      <w:r>
        <w:t xml:space="preserve">Родители имеют право на родительский отпуск продолжительностью до трех лет на одного ребенка при полной гарантии сохранения рабочего места. Они могут также на совместной основе использовать это право полностью или частично. </w:t>
      </w:r>
      <w:r>
        <w:rPr>
          <w:caps/>
        </w:rPr>
        <w:t>с</w:t>
      </w:r>
      <w:r>
        <w:t>рок родительского отпуска обычно истекает по достижении ребе</w:t>
      </w:r>
      <w:r>
        <w:t>н</w:t>
      </w:r>
      <w:r>
        <w:t>ком трехлетнего возраста. С согласия работодателя, однако, он может быть сдвинут всякий раз максимум на один год вплоть до достижения ребенком восьмилетнего возраста. Во время родительского отпуска допускается работа в течение неполного рабочего дня максимум 30 часов в неделю или максимум 60 часов в неделю, если родительский отпуск берется совместно. Новый ги</w:t>
      </w:r>
      <w:r>
        <w:t>б</w:t>
      </w:r>
      <w:r>
        <w:t>кий родительский отпуск заменил собой прежний отпуск по уходу за детьми, название и жесткие правила которого (отсутствие юридической возможности взять совместный отпуск по уходу за детьми, право работать в течение непо</w:t>
      </w:r>
      <w:r>
        <w:t>л</w:t>
      </w:r>
      <w:r>
        <w:t>ного дня не более 19 часов в неделю) уже устарели (см. также часть II, 11.5.1).</w:t>
      </w:r>
    </w:p>
    <w:p w:rsidR="00000000" w:rsidRDefault="00000000">
      <w:pPr>
        <w:pStyle w:val="H23"/>
      </w:pPr>
      <w:bookmarkStart w:id="63" w:name="_Toc44113454"/>
      <w:bookmarkStart w:id="64" w:name="_Toc44113720"/>
      <w:bookmarkStart w:id="65" w:name="_Toc44114227"/>
      <w:bookmarkStart w:id="66" w:name="_Toc44115507"/>
      <w:bookmarkStart w:id="67" w:name="_Toc44115904"/>
      <w:r>
        <w:t>2.3</w:t>
      </w:r>
      <w:r>
        <w:tab/>
        <w:t>Закон о частичной занятости и трудоустройстве по срочным контрактам</w:t>
      </w:r>
      <w:bookmarkEnd w:id="63"/>
      <w:bookmarkEnd w:id="64"/>
      <w:bookmarkEnd w:id="65"/>
      <w:bookmarkEnd w:id="66"/>
      <w:bookmarkEnd w:id="67"/>
    </w:p>
    <w:p w:rsidR="00000000" w:rsidRDefault="00000000">
      <w:pPr>
        <w:pStyle w:val="SingleTxt"/>
      </w:pPr>
      <w:r>
        <w:t>Закон о частичной занятости и трудоустройстве по срочным контрактам, изменяющий и аннулирующий положения трудового законодательства, вступил в силу 1 января 2001 года. Одним из его ключевых положений является зако</w:t>
      </w:r>
      <w:r>
        <w:t>н</w:t>
      </w:r>
      <w:r>
        <w:t>ное право работать в течение неполного рабочего дня в компаниях, насчит</w:t>
      </w:r>
      <w:r>
        <w:t>ы</w:t>
      </w:r>
      <w:r>
        <w:t xml:space="preserve">вающих более 15 работников, включая руководителей. </w:t>
      </w:r>
      <w:r>
        <w:rPr>
          <w:caps/>
        </w:rPr>
        <w:t>с</w:t>
      </w:r>
      <w:r>
        <w:t>лужащие в Федерати</w:t>
      </w:r>
      <w:r>
        <w:t>в</w:t>
      </w:r>
      <w:r>
        <w:t xml:space="preserve">ной </w:t>
      </w:r>
      <w:r>
        <w:rPr>
          <w:caps/>
        </w:rPr>
        <w:t>р</w:t>
      </w:r>
      <w:r>
        <w:t>еспублике Германии, которые проработали свыше шести месяцев, могут ходатайствовать о сокращении рабочего времени, оговоренного в контракте. Работодатель должен обсудить с работником вопрос о том, насколько после</w:t>
      </w:r>
      <w:r>
        <w:t>д</w:t>
      </w:r>
      <w:r>
        <w:t>ний хотел бы сократить свои рабочие часы, с тем чтобы достичь согласия в о</w:t>
      </w:r>
      <w:r>
        <w:t>т</w:t>
      </w:r>
      <w:r>
        <w:t>ношении рабочего времени и его распределения. Это новое юридическое пол</w:t>
      </w:r>
      <w:r>
        <w:t>о</w:t>
      </w:r>
      <w:r>
        <w:t>жение дает возможность не только совмещать рабочие и семейные обязанн</w:t>
      </w:r>
      <w:r>
        <w:t>о</w:t>
      </w:r>
      <w:r>
        <w:t>сти. По существу, оно позволяет также организовать труд в течение неполного дня независимо от семейных обязанностей. Кроме того, в Законе предусматр</w:t>
      </w:r>
      <w:r>
        <w:t>и</w:t>
      </w:r>
      <w:r>
        <w:t>вается, что работникам, желающим увеличить оговоренное в контракте рабочее время, должно отдаваться предпочтение по сравнению с работниками той же квалификации, после того как работодатель получит информацию о наличии подх</w:t>
      </w:r>
      <w:r>
        <w:t>о</w:t>
      </w:r>
      <w:r>
        <w:t>дящей должности.</w:t>
      </w:r>
    </w:p>
    <w:p w:rsidR="00000000" w:rsidRDefault="00000000">
      <w:pPr>
        <w:pStyle w:val="H23"/>
      </w:pPr>
      <w:bookmarkStart w:id="68" w:name="_Toc44113455"/>
      <w:bookmarkStart w:id="69" w:name="_Toc44113721"/>
      <w:bookmarkStart w:id="70" w:name="_Toc44114228"/>
      <w:bookmarkStart w:id="71" w:name="_Toc44115508"/>
      <w:bookmarkStart w:id="72" w:name="_Toc44115905"/>
      <w:r>
        <w:t>2.4</w:t>
      </w:r>
      <w:r>
        <w:tab/>
        <w:t>Реформа Закона о структуре предприятий (Betriebsverfassungsgesetz)</w:t>
      </w:r>
      <w:bookmarkEnd w:id="68"/>
      <w:bookmarkEnd w:id="69"/>
      <w:bookmarkEnd w:id="70"/>
      <w:bookmarkEnd w:id="71"/>
      <w:bookmarkEnd w:id="72"/>
    </w:p>
    <w:p w:rsidR="00000000" w:rsidRDefault="00000000">
      <w:pPr>
        <w:pStyle w:val="SingleTxt"/>
      </w:pPr>
      <w:r>
        <w:t>Закон о реформе Закона о структуре предприятий вступил в силу 28 июля 2001 года. Эта реформа предполагает дальнейшее уравнивание возможностей женщин и мужчин.</w:t>
      </w:r>
    </w:p>
    <w:p w:rsidR="00000000" w:rsidRDefault="00000000">
      <w:pPr>
        <w:pStyle w:val="SingleTxt"/>
      </w:pPr>
      <w:r>
        <w:t>Для заводских собраний и совещаний на уровне отделов установлена об</w:t>
      </w:r>
      <w:r>
        <w:t>я</w:t>
      </w:r>
      <w:r>
        <w:t xml:space="preserve">занность регулярно отчитываться о положении дел с равенством женщин и мужчин на предприятии. </w:t>
      </w:r>
      <w:r>
        <w:rPr>
          <w:caps/>
        </w:rPr>
        <w:t>а</w:t>
      </w:r>
      <w:r>
        <w:t>налогичным образом, такую отчетность должна представлять администрация на ежегодных собраниях совета предприятия. Расширен круг обязанностей представителей молодых рабочих и стажеров за счет включения в него мер, направленных на достижение фактического раве</w:t>
      </w:r>
      <w:r>
        <w:t>н</w:t>
      </w:r>
      <w:r>
        <w:t>ства. Что касается совета предприятия, то если он состоит как минимум из трех членов, то пол, составляющий меньшинство среди персонала, должен быть представлен в его составе хотя бы пропорционально численности работающих. Оба пола должны быть адекватно представлены в общем совете предприятия, равно как и в центральных советах дочерних компаний. Это правило должно распространяться и на представителей молодых рабочих и стажеров в том смысле, что пол, составляющий меньшинство, должен быть представлен хотя бы пропорционально численности раб</w:t>
      </w:r>
      <w:r>
        <w:t>о</w:t>
      </w:r>
      <w:r>
        <w:t>тающих.</w:t>
      </w:r>
    </w:p>
    <w:p w:rsidR="00000000" w:rsidRDefault="00000000">
      <w:pPr>
        <w:pStyle w:val="SingleTxt"/>
      </w:pPr>
      <w:r>
        <w:rPr>
          <w:caps/>
        </w:rPr>
        <w:t>п</w:t>
      </w:r>
      <w:r>
        <w:t>омощь в совмещении семейных и рабочих обязанностей должна стать главной задачей совета предприятия. Совет наделяется специальными полн</w:t>
      </w:r>
      <w:r>
        <w:t>о</w:t>
      </w:r>
      <w:r>
        <w:t>мочиями вносить предложения, предоставлять информацию и давать рекоме</w:t>
      </w:r>
      <w:r>
        <w:t>н</w:t>
      </w:r>
      <w:r>
        <w:t>дации в отношении планирования людских ресурсов в порядке выполнения им общих задач по содействию достижению фактического равенства и совмещ</w:t>
      </w:r>
      <w:r>
        <w:t>е</w:t>
      </w:r>
      <w:r>
        <w:t>нию семейных и рабочих об</w:t>
      </w:r>
      <w:r>
        <w:t>я</w:t>
      </w:r>
      <w:r>
        <w:t>занностей.</w:t>
      </w:r>
    </w:p>
    <w:p w:rsidR="00000000" w:rsidRDefault="00000000">
      <w:pPr>
        <w:pStyle w:val="SingleTxt"/>
      </w:pPr>
      <w:r>
        <w:t>Лица, занятые неполный рабочий день, получают право на компенсацию за работу в составе совета предприятия в нерабочее время или за посещение учебных курсов, рассчитанных на весь день. Другая форма компенсации в виде частичного освобождения от работы позволяет лицам, занятым неполный р</w:t>
      </w:r>
      <w:r>
        <w:t>а</w:t>
      </w:r>
      <w:r>
        <w:t>бочий день, в частности, т.е. в первую очередь женщинам, активнее включиться в деятельность совета предпр</w:t>
      </w:r>
      <w:r>
        <w:t>и</w:t>
      </w:r>
      <w:r>
        <w:t>ятия.</w:t>
      </w:r>
    </w:p>
    <w:p w:rsidR="00000000" w:rsidRDefault="00000000">
      <w:pPr>
        <w:pStyle w:val="H23"/>
      </w:pPr>
      <w:bookmarkStart w:id="73" w:name="_Toc44113456"/>
      <w:bookmarkStart w:id="74" w:name="_Toc44113722"/>
      <w:bookmarkStart w:id="75" w:name="_Toc44114229"/>
      <w:bookmarkStart w:id="76" w:name="_Toc44115509"/>
      <w:bookmarkStart w:id="77" w:name="_Toc44115906"/>
      <w:r>
        <w:t>2.5</w:t>
      </w:r>
      <w:r>
        <w:tab/>
        <w:t>Закон о зарегистрированном партнерстве (Gesetz über eingetragene Lebenspartnerschaften)</w:t>
      </w:r>
      <w:bookmarkEnd w:id="73"/>
      <w:bookmarkEnd w:id="74"/>
      <w:bookmarkEnd w:id="75"/>
      <w:bookmarkEnd w:id="76"/>
      <w:bookmarkEnd w:id="77"/>
    </w:p>
    <w:p w:rsidR="00000000" w:rsidRDefault="00000000">
      <w:pPr>
        <w:pStyle w:val="SingleTxt"/>
      </w:pPr>
      <w:r>
        <w:t>В Законе о зарегистрированном партнерстве, вступившем в силу 1 августа 2001 года, вводится отдельный юридический институт пожизненного партне</w:t>
      </w:r>
      <w:r>
        <w:t>р</w:t>
      </w:r>
      <w:r>
        <w:t>ства. Этот закон способствует уменьшению дискриминации лиц с нетрадиц</w:t>
      </w:r>
      <w:r>
        <w:t>и</w:t>
      </w:r>
      <w:r>
        <w:t>онной сексуальной ориентацией, уважению иного образа жизни и развитию прочных человеческих взаимоотношений. Институт пожизненного партнерства предусматривает, что партнеры обязаны заботиться друг о друге, поддерживать друг друга, совместно планировать свою жизнь и нести ответственность друг за друга.</w:t>
      </w:r>
    </w:p>
    <w:p w:rsidR="00000000" w:rsidRDefault="00000000">
      <w:pPr>
        <w:pStyle w:val="H23"/>
      </w:pPr>
      <w:bookmarkStart w:id="78" w:name="_Toc44113457"/>
      <w:bookmarkStart w:id="79" w:name="_Toc44113723"/>
      <w:bookmarkStart w:id="80" w:name="_Toc44114230"/>
      <w:bookmarkStart w:id="81" w:name="_Toc44115510"/>
      <w:bookmarkStart w:id="82" w:name="_Toc44115907"/>
      <w:r>
        <w:t>2.6</w:t>
      </w:r>
      <w:r>
        <w:tab/>
        <w:t xml:space="preserve">Закон о равных возможностях женщин и мужчин в федеральной администрации и в судах </w:t>
      </w:r>
      <w:r>
        <w:rPr>
          <w:caps/>
        </w:rPr>
        <w:t>ф</w:t>
      </w:r>
      <w:r>
        <w:t>е</w:t>
      </w:r>
      <w:r>
        <w:t>дерации</w:t>
      </w:r>
      <w:bookmarkEnd w:id="78"/>
      <w:bookmarkEnd w:id="79"/>
      <w:bookmarkEnd w:id="80"/>
      <w:bookmarkEnd w:id="81"/>
      <w:bookmarkEnd w:id="82"/>
    </w:p>
    <w:p w:rsidR="00000000" w:rsidRDefault="00000000">
      <w:pPr>
        <w:pStyle w:val="SingleTxt"/>
      </w:pPr>
      <w:r>
        <w:t>В Федеральном законе о равных возможностях женщин и мужчин в фед</w:t>
      </w:r>
      <w:r>
        <w:t>е</w:t>
      </w:r>
      <w:r>
        <w:t xml:space="preserve">ральной администрации и в судах </w:t>
      </w:r>
      <w:r>
        <w:rPr>
          <w:caps/>
        </w:rPr>
        <w:t>ф</w:t>
      </w:r>
      <w:r>
        <w:t xml:space="preserve">едерации (Gleichstellungsgesetz für die Bundesverwaltung und die Gerichte des Bundes), вступившем в силу 5 декабря 2001 года уделяется особое внимание вопросам равноправия лиц, находящихся на федеральной государственной службе. Он заменяет собой </w:t>
      </w:r>
      <w:r>
        <w:rPr>
          <w:caps/>
        </w:rPr>
        <w:t>ф</w:t>
      </w:r>
      <w:r>
        <w:t>едеральный з</w:t>
      </w:r>
      <w:r>
        <w:t>а</w:t>
      </w:r>
      <w:r>
        <w:t>кон об улучшении положения женщин (Frauenfördergesetz des Bundes), действ</w:t>
      </w:r>
      <w:r>
        <w:t>о</w:t>
      </w:r>
      <w:r>
        <w:t>вавший с 1994 года, который не дал ожидаемого эффекта, поскольку не имел достаточной юридической силы. Это соответствует конституционному мандату, закрепленному в Основном законе (</w:t>
      </w:r>
      <w:r>
        <w:rPr>
          <w:caps/>
        </w:rPr>
        <w:t>с</w:t>
      </w:r>
      <w:r>
        <w:t>татья 3, пункт 2, второе предложение), требованиям Договора об учреждении ЕС (статья 2, статья 3, пункт 2, и статья 141, пункт 4) и международно-правовым обязательствам (статья 11 КЛДОЖ). С принятием этого закона государство как работодатель становится образцом для подражания в деле обесп</w:t>
      </w:r>
      <w:r>
        <w:t>е</w:t>
      </w:r>
      <w:r>
        <w:t>чения равенства.</w:t>
      </w:r>
    </w:p>
    <w:p w:rsidR="00000000" w:rsidRDefault="00000000">
      <w:pPr>
        <w:pStyle w:val="SingleTxt"/>
      </w:pPr>
      <w:r>
        <w:t>Необходимые усовершенствования и более точные определения, соде</w:t>
      </w:r>
      <w:r>
        <w:t>р</w:t>
      </w:r>
      <w:r>
        <w:t>жащиеся в новом Федеральном законе о равных возможностях, предполагают, в частности, следующее:</w:t>
      </w:r>
    </w:p>
    <w:p w:rsidR="00000000" w:rsidRDefault="00000000">
      <w:pPr>
        <w:pStyle w:val="dot"/>
      </w:pPr>
      <w:r>
        <w:tab/>
      </w:r>
      <w:r>
        <w:tab/>
        <w:t>•</w:t>
      </w:r>
      <w:r>
        <w:tab/>
        <w:t xml:space="preserve">В сферу применения Закона входят федеральная администрация, работа которой строится на принципах публичного права, суды </w:t>
      </w:r>
      <w:r>
        <w:rPr>
          <w:caps/>
        </w:rPr>
        <w:t>ф</w:t>
      </w:r>
      <w:r>
        <w:t>едерации и ч</w:t>
      </w:r>
      <w:r>
        <w:t>а</w:t>
      </w:r>
      <w:r>
        <w:t>стные юридические институты федеральной администрации. В соответс</w:t>
      </w:r>
      <w:r>
        <w:t>т</w:t>
      </w:r>
      <w:r>
        <w:t xml:space="preserve">вии с этим законом учреждения, пользующиеся федеральными льготами, в будущем будут по закону обязаны соблюдать его основные принципы. В случае приватизации такую обязанность будет необходимо закрепить в договоре, с тем чтобы положения о равенстве могли применяться и в дальнейшем. </w:t>
      </w:r>
    </w:p>
    <w:p w:rsidR="00000000" w:rsidRDefault="00000000">
      <w:pPr>
        <w:pStyle w:val="dot"/>
      </w:pPr>
      <w:r>
        <w:tab/>
      </w:r>
      <w:r>
        <w:tab/>
        <w:t>•</w:t>
      </w:r>
      <w:r>
        <w:tab/>
        <w:t>Женщинам с такими же навыками, квалификацией и послужным списком отдается предпочтение при найме на руководящие должности, если они недопредставлены в соответствующей области, с учетом специфики о</w:t>
      </w:r>
      <w:r>
        <w:t>т</w:t>
      </w:r>
      <w:r>
        <w:t>дельных случаев, при подготовке кадров, назначении, найме и продвиж</w:t>
      </w:r>
      <w:r>
        <w:t>е</w:t>
      </w:r>
      <w:r>
        <w:t>нии по службе (так называемая индивидуальная квота).</w:t>
      </w:r>
    </w:p>
    <w:p w:rsidR="00000000" w:rsidRDefault="00000000">
      <w:pPr>
        <w:pStyle w:val="dot"/>
      </w:pPr>
      <w:r>
        <w:tab/>
      </w:r>
      <w:r>
        <w:tab/>
        <w:t>•</w:t>
      </w:r>
      <w:r>
        <w:tab/>
      </w:r>
      <w:r>
        <w:rPr>
          <w:caps/>
        </w:rPr>
        <w:t>п</w:t>
      </w:r>
      <w:r>
        <w:t>ри проведении бесед с кандидатами и в процессе отбора запрещается также всякая косвенная дискриминация. Это означает, что при проведении сравнительных оценок, например прерывания работы по семейным о</w:t>
      </w:r>
      <w:r>
        <w:t>б</w:t>
      </w:r>
      <w:r>
        <w:t>стоятельствам, время, которое отнимает уход за детьми, и меньший тр</w:t>
      </w:r>
      <w:r>
        <w:t>у</w:t>
      </w:r>
      <w:r>
        <w:t>довой стаж не должны приниматься во внимание.</w:t>
      </w:r>
    </w:p>
    <w:p w:rsidR="00000000" w:rsidRDefault="00000000">
      <w:pPr>
        <w:pStyle w:val="dot"/>
      </w:pPr>
      <w:r>
        <w:tab/>
      </w:r>
      <w:r>
        <w:tab/>
        <w:t>•</w:t>
      </w:r>
      <w:r>
        <w:tab/>
        <w:t>Все положения о равноправии в принципе применяются также при н</w:t>
      </w:r>
      <w:r>
        <w:t>а</w:t>
      </w:r>
      <w:r>
        <w:t>правлении на учебу лиц, находящихся на федеральной государственной слу</w:t>
      </w:r>
      <w:r>
        <w:t>ж</w:t>
      </w:r>
      <w:r>
        <w:t>бе.</w:t>
      </w:r>
    </w:p>
    <w:p w:rsidR="00000000" w:rsidRDefault="00000000">
      <w:pPr>
        <w:pStyle w:val="dot"/>
      </w:pPr>
      <w:r>
        <w:tab/>
      </w:r>
      <w:r>
        <w:tab/>
        <w:t>•</w:t>
      </w:r>
      <w:r>
        <w:tab/>
        <w:t>Усовершенствованные положения о совмещении семейных и рабочих об</w:t>
      </w:r>
      <w:r>
        <w:t>я</w:t>
      </w:r>
      <w:r>
        <w:t>занностей включают в себя, в частности, право на работу в течение н</w:t>
      </w:r>
      <w:r>
        <w:t>е</w:t>
      </w:r>
      <w:r>
        <w:t>полного дня или отпуск. Насколько это позволяют возможности учрежд</w:t>
      </w:r>
      <w:r>
        <w:t>е</w:t>
      </w:r>
      <w:r>
        <w:t>ний, работникам должны предлагаться такие варианты, как надомный труд или особый рабочий график. По существу, нагрузка частично зан</w:t>
      </w:r>
      <w:r>
        <w:t>я</w:t>
      </w:r>
      <w:r>
        <w:t>тых работников должна сократиться сообразно их сокращенному рабоч</w:t>
      </w:r>
      <w:r>
        <w:t>е</w:t>
      </w:r>
      <w:r>
        <w:t xml:space="preserve">му графику. </w:t>
      </w:r>
    </w:p>
    <w:p w:rsidR="00000000" w:rsidRDefault="00000000">
      <w:pPr>
        <w:pStyle w:val="dot"/>
      </w:pPr>
      <w:r>
        <w:tab/>
      </w:r>
      <w:r>
        <w:tab/>
        <w:t>•</w:t>
      </w:r>
      <w:r>
        <w:tab/>
        <w:t>Планы обеспечения равенства расширяются с тем, чтобы стать эффекти</w:t>
      </w:r>
      <w:r>
        <w:t>в</w:t>
      </w:r>
      <w:r>
        <w:t>ными и современными инструментами планирования и развития людских ресурсов. Например, планы обеспечения равенства должны, в частности, предполагать, чтобы при сокращении штатов доля женщин осталась как минимум той же, что и раньше.</w:t>
      </w:r>
    </w:p>
    <w:p w:rsidR="00000000" w:rsidRDefault="00000000">
      <w:pPr>
        <w:pStyle w:val="dot"/>
      </w:pPr>
      <w:r>
        <w:tab/>
      </w:r>
      <w:r>
        <w:tab/>
        <w:t>•</w:t>
      </w:r>
      <w:r>
        <w:tab/>
        <w:t>Права и обязанности федеральных уполномоченных по вопросам равенс</w:t>
      </w:r>
      <w:r>
        <w:t>т</w:t>
      </w:r>
      <w:r>
        <w:t>ва уточняются и конкретизируются, в частности за счет предоставления им права более эффективно выступать с протестами и дополнительного права возбуждать иски. Их мандат сделан более шир</w:t>
      </w:r>
      <w:r>
        <w:t>о</w:t>
      </w:r>
      <w:r>
        <w:t>ким.</w:t>
      </w:r>
    </w:p>
    <w:p w:rsidR="00000000" w:rsidRDefault="00000000">
      <w:pPr>
        <w:pStyle w:val="dot"/>
      </w:pPr>
      <w:r>
        <w:tab/>
      </w:r>
      <w:r>
        <w:tab/>
        <w:t>•</w:t>
      </w:r>
      <w:r>
        <w:tab/>
      </w:r>
      <w:r>
        <w:rPr>
          <w:caps/>
        </w:rPr>
        <w:t>в</w:t>
      </w:r>
      <w:r>
        <w:t xml:space="preserve"> практику федеральной службы как один из постоянных руководящих принципов вводится такой инструмент политики обеспечения равенства, как актуализация гендерной проблематики, означающая учет гендерных соображ</w:t>
      </w:r>
      <w:r>
        <w:t>е</w:t>
      </w:r>
      <w:r>
        <w:t>ний во всех сферах политики.</w:t>
      </w:r>
    </w:p>
    <w:p w:rsidR="00000000" w:rsidRDefault="00000000">
      <w:pPr>
        <w:pStyle w:val="dot"/>
      </w:pPr>
      <w:r>
        <w:tab/>
      </w:r>
      <w:r>
        <w:tab/>
        <w:t>•</w:t>
      </w:r>
      <w:r>
        <w:tab/>
        <w:t xml:space="preserve">Все юридические положения </w:t>
      </w:r>
      <w:r>
        <w:rPr>
          <w:caps/>
        </w:rPr>
        <w:t>ф</w:t>
      </w:r>
      <w:r>
        <w:t>едерации, равно как и официальная ко</w:t>
      </w:r>
      <w:r>
        <w:t>р</w:t>
      </w:r>
      <w:r>
        <w:t>респонденция в будущем должны составляться на нейтральном с генде</w:t>
      </w:r>
      <w:r>
        <w:t>р</w:t>
      </w:r>
      <w:r>
        <w:t>ной точки зрения языке, и действующие нормы права должны анализир</w:t>
      </w:r>
      <w:r>
        <w:t>о</w:t>
      </w:r>
      <w:r>
        <w:t>ваться с языковой точки зрения, если в них в качестве образца использ</w:t>
      </w:r>
      <w:r>
        <w:t>у</w:t>
      </w:r>
      <w:r>
        <w:t>ются местоим</w:t>
      </w:r>
      <w:r>
        <w:t>е</w:t>
      </w:r>
      <w:r>
        <w:t>ния мужского рода.</w:t>
      </w:r>
    </w:p>
    <w:p w:rsidR="00000000" w:rsidRDefault="00000000">
      <w:pPr>
        <w:pStyle w:val="H23"/>
      </w:pPr>
      <w:bookmarkStart w:id="83" w:name="_Toc44113458"/>
      <w:bookmarkStart w:id="84" w:name="_Toc44113724"/>
      <w:bookmarkStart w:id="85" w:name="_Toc44114231"/>
      <w:bookmarkStart w:id="86" w:name="_Toc44115511"/>
      <w:bookmarkStart w:id="87" w:name="_Toc44115908"/>
      <w:r>
        <w:t>2.7</w:t>
      </w:r>
      <w:r>
        <w:tab/>
        <w:t>Закон о юридическом статусе проституток (Gesetz zur Regelung der Rechtsverhältnisse der Prostituierten)</w:t>
      </w:r>
      <w:bookmarkEnd w:id="83"/>
      <w:bookmarkEnd w:id="84"/>
      <w:bookmarkEnd w:id="85"/>
      <w:bookmarkEnd w:id="86"/>
      <w:bookmarkEnd w:id="87"/>
    </w:p>
    <w:p w:rsidR="00000000" w:rsidRDefault="00000000">
      <w:pPr>
        <w:pStyle w:val="SingleTxt"/>
      </w:pPr>
      <w:r>
        <w:t>Закон о юридическом статусе проституток (Закон о проституции – Prostitutionsgesetz), вступивший в силу 1 января 2002 года, дает возможность проституткам работать на индивидуальной основе или по найму и пользоваться системой социального страхования. Для того чтобы это стало возможным, в Законе разъясняется, что проституция более не считается аморальным повед</w:t>
      </w:r>
      <w:r>
        <w:t>е</w:t>
      </w:r>
      <w:r>
        <w:t>нием по гражданскому праву и что проститутки имеют право на заработную плату по договоренности с работодателем и могут оспаривать это право в с</w:t>
      </w:r>
      <w:r>
        <w:t>у</w:t>
      </w:r>
      <w:r>
        <w:t>дебном порядке.</w:t>
      </w:r>
    </w:p>
    <w:p w:rsidR="00000000" w:rsidRDefault="00000000">
      <w:pPr>
        <w:pStyle w:val="H23"/>
      </w:pPr>
      <w:bookmarkStart w:id="88" w:name="_Toc44113459"/>
      <w:bookmarkStart w:id="89" w:name="_Toc44113725"/>
      <w:bookmarkStart w:id="90" w:name="_Toc44114232"/>
      <w:bookmarkStart w:id="91" w:name="_Toc44115512"/>
      <w:bookmarkStart w:id="92" w:name="_Toc44115909"/>
      <w:r>
        <w:t>2.8</w:t>
      </w:r>
      <w:r>
        <w:tab/>
        <w:t>Закон о предупреждении насилия (Gewaltschutzgesetz)</w:t>
      </w:r>
      <w:bookmarkEnd w:id="88"/>
      <w:bookmarkEnd w:id="89"/>
      <w:bookmarkEnd w:id="90"/>
      <w:bookmarkEnd w:id="91"/>
      <w:bookmarkEnd w:id="92"/>
    </w:p>
    <w:p w:rsidR="00000000" w:rsidRDefault="00000000">
      <w:pPr>
        <w:pStyle w:val="SingleTxt"/>
      </w:pPr>
      <w:r>
        <w:t>1 января 2002 года вступил в силу Закон об улучшении защиты в гражда</w:t>
      </w:r>
      <w:r>
        <w:t>н</w:t>
      </w:r>
      <w:r>
        <w:t>ских судах в случае насильственных действий и назойливого поведения, а та</w:t>
      </w:r>
      <w:r>
        <w:t>к</w:t>
      </w:r>
      <w:r>
        <w:t>же об облегчении раздела семейного имущества в случае развода (Gesetz zur Verbesserung des zivilgerichtlichen Schutzes bei Gewalttaten und Nachstellungen sowie zur Erleichterung der Überlassung der Ehewohnung bei Trennung (Закон о предупреждении насилия – Gewaltschutzgesetz), в котором, помимо упроще</w:t>
      </w:r>
      <w:r>
        <w:t>н</w:t>
      </w:r>
      <w:r>
        <w:t>ных правил раздела семейного имущества и положений, запрещающих конта</w:t>
      </w:r>
      <w:r>
        <w:t>к</w:t>
      </w:r>
      <w:r>
        <w:t>ты, домогательства и физическое сближение, было введено также общее право на раздел имущества в случае насильственных действий. Оно действует при условии, что правонарушитель и потерпевший длительное время вели совмес</w:t>
      </w:r>
      <w:r>
        <w:t>т</w:t>
      </w:r>
      <w:r>
        <w:t>ное хозяйство, но при этом учитываются и другие формы сожительства, пом</w:t>
      </w:r>
      <w:r>
        <w:t>и</w:t>
      </w:r>
      <w:r>
        <w:t>мо брака. Закон дает право судам издавать охранные приказы, на основании к</w:t>
      </w:r>
      <w:r>
        <w:t>о</w:t>
      </w:r>
      <w:r>
        <w:t>торых насильникам может быть запрещ</w:t>
      </w:r>
      <w:r>
        <w:t>е</w:t>
      </w:r>
      <w:r>
        <w:t>но:</w:t>
      </w:r>
    </w:p>
    <w:p w:rsidR="00000000" w:rsidRDefault="00000000">
      <w:pPr>
        <w:pStyle w:val="dot"/>
      </w:pPr>
      <w:r>
        <w:tab/>
      </w:r>
      <w:r>
        <w:tab/>
        <w:t>•</w:t>
      </w:r>
      <w:r>
        <w:tab/>
        <w:t>входить в совместно занимаемое жилище,</w:t>
      </w:r>
    </w:p>
    <w:p w:rsidR="00000000" w:rsidRDefault="00000000">
      <w:pPr>
        <w:pStyle w:val="dot"/>
      </w:pPr>
      <w:r>
        <w:tab/>
      </w:r>
      <w:r>
        <w:tab/>
        <w:t>•</w:t>
      </w:r>
      <w:r>
        <w:tab/>
        <w:t>подходить к потерпевшему ближе, чем на определенное рассто</w:t>
      </w:r>
      <w:r>
        <w:t>я</w:t>
      </w:r>
      <w:r>
        <w:t>ние,</w:t>
      </w:r>
    </w:p>
    <w:p w:rsidR="00000000" w:rsidRDefault="00000000">
      <w:pPr>
        <w:pStyle w:val="dot"/>
      </w:pPr>
      <w:r>
        <w:tab/>
      </w:r>
      <w:r>
        <w:tab/>
        <w:t>•</w:t>
      </w:r>
      <w:r>
        <w:tab/>
        <w:t>посещать определенные места, где бывает потерпевший (рабочее место), и</w:t>
      </w:r>
    </w:p>
    <w:p w:rsidR="00000000" w:rsidRDefault="00000000">
      <w:pPr>
        <w:pStyle w:val="dot"/>
      </w:pPr>
      <w:r>
        <w:tab/>
      </w:r>
      <w:r>
        <w:tab/>
        <w:t>•</w:t>
      </w:r>
      <w:r>
        <w:tab/>
        <w:t xml:space="preserve">связываться с потерпевшим (например, по телефону) (см. также </w:t>
      </w:r>
      <w:r>
        <w:rPr>
          <w:lang w:val="en-US"/>
        </w:rPr>
        <w:t>II</w:t>
      </w:r>
      <w:r>
        <w:t xml:space="preserve"> 5.3.2).</w:t>
      </w:r>
    </w:p>
    <w:p w:rsidR="00000000" w:rsidRDefault="00000000">
      <w:pPr>
        <w:pStyle w:val="H23"/>
      </w:pPr>
      <w:bookmarkStart w:id="93" w:name="_Toc44113460"/>
      <w:bookmarkStart w:id="94" w:name="_Toc44113726"/>
      <w:bookmarkStart w:id="95" w:name="_Toc44114233"/>
      <w:bookmarkStart w:id="96" w:name="_Toc44115513"/>
      <w:bookmarkStart w:id="97" w:name="_Toc44115910"/>
      <w:r>
        <w:t>2.9</w:t>
      </w:r>
      <w:r>
        <w:tab/>
        <w:t>Закон о расширении прав детей (</w:t>
      </w:r>
      <w:r>
        <w:rPr>
          <w:lang w:val="en-US"/>
        </w:rPr>
        <w:t>Kindesrechteverbesserungsgesetz</w:t>
      </w:r>
      <w:r>
        <w:t>)</w:t>
      </w:r>
      <w:bookmarkEnd w:id="93"/>
      <w:bookmarkEnd w:id="94"/>
      <w:bookmarkEnd w:id="95"/>
      <w:bookmarkEnd w:id="96"/>
      <w:bookmarkEnd w:id="97"/>
    </w:p>
    <w:p w:rsidR="00000000" w:rsidRDefault="00000000">
      <w:pPr>
        <w:pStyle w:val="SingleTxt"/>
      </w:pPr>
      <w:r>
        <w:t>Закон о дальнейшем расширении прав детей (</w:t>
      </w:r>
      <w:r>
        <w:rPr>
          <w:caps/>
          <w:lang w:val="en-US"/>
        </w:rPr>
        <w:t>g</w:t>
      </w:r>
      <w:r>
        <w:rPr>
          <w:lang w:val="en-US"/>
        </w:rPr>
        <w:t>esetz</w:t>
      </w:r>
      <w:r>
        <w:t xml:space="preserve"> </w:t>
      </w:r>
      <w:r>
        <w:rPr>
          <w:lang w:val="en-US"/>
        </w:rPr>
        <w:t>zur</w:t>
      </w:r>
      <w:r>
        <w:t xml:space="preserve"> </w:t>
      </w:r>
      <w:r>
        <w:rPr>
          <w:lang w:val="en-US"/>
        </w:rPr>
        <w:t>weiteren</w:t>
      </w:r>
      <w:r>
        <w:t xml:space="preserve"> </w:t>
      </w:r>
      <w:r>
        <w:rPr>
          <w:lang w:val="en-US"/>
        </w:rPr>
        <w:t>Verbess</w:t>
      </w:r>
      <w:r>
        <w:rPr>
          <w:lang w:val="en-US"/>
        </w:rPr>
        <w:t>e</w:t>
      </w:r>
      <w:r>
        <w:rPr>
          <w:lang w:val="en-US"/>
        </w:rPr>
        <w:t>rung</w:t>
      </w:r>
      <w:r>
        <w:t xml:space="preserve"> </w:t>
      </w:r>
      <w:r>
        <w:rPr>
          <w:lang w:val="en-US"/>
        </w:rPr>
        <w:t>von</w:t>
      </w:r>
      <w:r>
        <w:t xml:space="preserve"> </w:t>
      </w:r>
      <w:r>
        <w:rPr>
          <w:lang w:val="en-US"/>
        </w:rPr>
        <w:t>Kindesrechten </w:t>
      </w:r>
      <w:r>
        <w:t xml:space="preserve">– </w:t>
      </w:r>
      <w:r>
        <w:rPr>
          <w:lang w:val="en-US"/>
        </w:rPr>
        <w:t>KindrVerbG</w:t>
      </w:r>
      <w:r>
        <w:t>) вступил в силу 12</w:t>
      </w:r>
      <w:r>
        <w:rPr>
          <w:lang w:val="en-US"/>
        </w:rPr>
        <w:t> </w:t>
      </w:r>
      <w:r>
        <w:t>апреля 2002 года. Бл</w:t>
      </w:r>
      <w:r>
        <w:t>а</w:t>
      </w:r>
      <w:r>
        <w:t>годаря ему становится проще вынудить то или иное лицо покинуть место пр</w:t>
      </w:r>
      <w:r>
        <w:t>о</w:t>
      </w:r>
      <w:r>
        <w:t>живания ребенка, если это лицо представляет угрозу для наилучших интересов ребенка. В частности, сюда относятся случаи, когда по отношению к ребенку совершаются насильственные действия. Закон о предупреждении насилия не обеспечивает защиты в тех случаях, когда жертвой насилия становится только ребенок, а виновником является родитель. Теперь сфера охвата расширяется в интересах ребенка и, следовательно, хотя бы опосредованно и в интересах м</w:t>
      </w:r>
      <w:r>
        <w:t>а</w:t>
      </w:r>
      <w:r>
        <w:t>тери.</w:t>
      </w:r>
    </w:p>
    <w:p w:rsidR="00000000" w:rsidRDefault="00000000">
      <w:pPr>
        <w:pStyle w:val="H1"/>
      </w:pPr>
      <w:bookmarkStart w:id="98" w:name="_Toc44113461"/>
      <w:bookmarkStart w:id="99" w:name="_Toc44113727"/>
      <w:bookmarkStart w:id="100" w:name="_Toc44114234"/>
      <w:bookmarkStart w:id="101" w:name="_Toc44115514"/>
      <w:bookmarkStart w:id="102" w:name="_Toc44115911"/>
      <w:r>
        <w:t>3.</w:t>
      </w:r>
      <w:r>
        <w:tab/>
        <w:t>Экономические и социальные условия</w:t>
      </w:r>
      <w:bookmarkEnd w:id="98"/>
      <w:bookmarkEnd w:id="99"/>
      <w:bookmarkEnd w:id="100"/>
      <w:bookmarkEnd w:id="101"/>
      <w:bookmarkEnd w:id="102"/>
    </w:p>
    <w:p w:rsidR="00000000" w:rsidRDefault="00000000">
      <w:pPr>
        <w:pStyle w:val="H23"/>
      </w:pPr>
      <w:bookmarkStart w:id="103" w:name="_Toc44113462"/>
      <w:bookmarkStart w:id="104" w:name="_Toc44113728"/>
      <w:bookmarkStart w:id="105" w:name="_Toc44114235"/>
      <w:bookmarkStart w:id="106" w:name="_Toc44115515"/>
      <w:bookmarkStart w:id="107" w:name="_Toc44115912"/>
      <w:r>
        <w:t>3.1</w:t>
      </w:r>
      <w:r>
        <w:tab/>
        <w:t>Изменение экономических структур</w:t>
      </w:r>
      <w:bookmarkEnd w:id="103"/>
      <w:bookmarkEnd w:id="104"/>
      <w:bookmarkEnd w:id="105"/>
      <w:bookmarkEnd w:id="106"/>
      <w:bookmarkEnd w:id="107"/>
    </w:p>
    <w:p w:rsidR="00000000" w:rsidRDefault="00000000">
      <w:pPr>
        <w:pStyle w:val="SingleTxt"/>
      </w:pPr>
      <w:r>
        <w:t>По своему макроэкономическому потенциалу Федеративная Республика Германия занимает третье место среди промышленно развитых стран после Соединенных Штатов Америки и Японии. За период с 1960 по 2000 год ее в</w:t>
      </w:r>
      <w:r>
        <w:t>а</w:t>
      </w:r>
      <w:r>
        <w:t>ловой внутренний продукт вырос в реальном выражении более чем на 15 процентов, а среднегодовые темпы экономического роста в этот период с</w:t>
      </w:r>
      <w:r>
        <w:t>о</w:t>
      </w:r>
      <w:r>
        <w:t>ст</w:t>
      </w:r>
      <w:r>
        <w:t>а</w:t>
      </w:r>
      <w:r>
        <w:t>вили почти 1,6 процента.</w:t>
      </w:r>
    </w:p>
    <w:p w:rsidR="00000000" w:rsidRDefault="00000000">
      <w:pPr>
        <w:pStyle w:val="SingleTxt"/>
      </w:pPr>
      <w:r>
        <w:t>Доля лиц, занимающихся оплачивающим трудом в обрабатывающей пр</w:t>
      </w:r>
      <w:r>
        <w:t>о</w:t>
      </w:r>
      <w:r>
        <w:t>мышленности (включая строительство), в общей численности экономически активного населения сократилось за период с 1991 по 2000 год с 36,7 процента до 29,2 процента, в сельском хозяйстве – с 4,0 процента до 2,5 процента. И н</w:t>
      </w:r>
      <w:r>
        <w:t>а</w:t>
      </w:r>
      <w:r>
        <w:t>оборот, в сфере обслуживания (оптовая и розничная торговля, гостиницы и рестораны и транспорт, финансовое посредничество, аренда жилья и предо</w:t>
      </w:r>
      <w:r>
        <w:t>с</w:t>
      </w:r>
      <w:r>
        <w:t>тавление услуг поставщика, услуг в государственном и частном секторах) доля лиц, занимающихся оплачиваемым трудом, выросла примерно с 59 процентов до 68,4 процента.</w:t>
      </w:r>
    </w:p>
    <w:p w:rsidR="00000000" w:rsidRDefault="00000000">
      <w:pPr>
        <w:pStyle w:val="SingleTxt"/>
      </w:pPr>
      <w:r>
        <w:t>Рост удельного веса сферы обслуживания в экономике страны самым н</w:t>
      </w:r>
      <w:r>
        <w:t>е</w:t>
      </w:r>
      <w:r>
        <w:t>посредственным образом отразился на занятости женщин. В мае 2000 года доля женщин в общей численности экономически активного населения составляла 54 процента в сфере обслуживания и немногим менее 24 процентов в обраб</w:t>
      </w:r>
      <w:r>
        <w:t>а</w:t>
      </w:r>
      <w:r>
        <w:t>тывающей промышленности и строительстве. На прежней федеральной терр</w:t>
      </w:r>
      <w:r>
        <w:t>и</w:t>
      </w:r>
      <w:r>
        <w:t>тории доля женщин составляла 53 процента, в новых землях и Восточном Бе</w:t>
      </w:r>
      <w:r>
        <w:t>р</w:t>
      </w:r>
      <w:r>
        <w:t>лине – 57 процентов (см. таблицы 3.1 – 3.3 в приложении).</w:t>
      </w:r>
    </w:p>
    <w:p w:rsidR="00000000" w:rsidRDefault="00000000">
      <w:pPr>
        <w:pStyle w:val="H23"/>
      </w:pPr>
      <w:bookmarkStart w:id="108" w:name="_Toc44113463"/>
      <w:bookmarkStart w:id="109" w:name="_Toc44113729"/>
      <w:bookmarkStart w:id="110" w:name="_Toc44114236"/>
      <w:bookmarkStart w:id="111" w:name="_Toc44115516"/>
      <w:bookmarkStart w:id="112" w:name="_Toc44115913"/>
      <w:r>
        <w:t>3.2</w:t>
      </w:r>
      <w:r>
        <w:tab/>
        <w:t>Образование и профессиональная подготовка</w:t>
      </w:r>
      <w:bookmarkEnd w:id="108"/>
      <w:bookmarkEnd w:id="109"/>
      <w:bookmarkEnd w:id="110"/>
      <w:bookmarkEnd w:id="111"/>
      <w:bookmarkEnd w:id="112"/>
    </w:p>
    <w:p w:rsidR="00000000" w:rsidRDefault="00000000">
      <w:pPr>
        <w:pStyle w:val="H4"/>
      </w:pPr>
      <w:bookmarkStart w:id="113" w:name="_Toc44113730"/>
      <w:bookmarkStart w:id="114" w:name="_Toc44114237"/>
      <w:bookmarkStart w:id="115" w:name="_Toc44115914"/>
      <w:r>
        <w:t>3.2.1</w:t>
      </w:r>
      <w:r>
        <w:tab/>
        <w:t>Общие замечания</w:t>
      </w:r>
      <w:bookmarkEnd w:id="113"/>
      <w:bookmarkEnd w:id="114"/>
      <w:bookmarkEnd w:id="115"/>
    </w:p>
    <w:p w:rsidR="00000000" w:rsidRDefault="00000000">
      <w:pPr>
        <w:pStyle w:val="SingleTxt"/>
      </w:pPr>
      <w:r>
        <w:t>Происшедшие с 80-х годов изменения в политике в области просвещения и появление новых путей для получения образования принесли большую пол</w:t>
      </w:r>
      <w:r>
        <w:t>ь</w:t>
      </w:r>
      <w:r>
        <w:t>зу девушкам и женщинам: они воспользовались этим, чтобы продемонстрир</w:t>
      </w:r>
      <w:r>
        <w:t>о</w:t>
      </w:r>
      <w:r>
        <w:t>вать свою готовность и способность учиться, и сегодня они составляют бол</w:t>
      </w:r>
      <w:r>
        <w:t>ь</w:t>
      </w:r>
      <w:r>
        <w:t>шинство учащихся во всех учебных заведениях, в которых выдается аттестат об окончании школы, дающий право поступать в институт (см. таблицу 4.1 в пр</w:t>
      </w:r>
      <w:r>
        <w:t>и</w:t>
      </w:r>
      <w:r>
        <w:t xml:space="preserve">ложении). </w:t>
      </w:r>
      <w:r>
        <w:rPr>
          <w:caps/>
        </w:rPr>
        <w:t>п</w:t>
      </w:r>
      <w:r>
        <w:t>осле окончания общеобразовательной школы уровень знаний у д</w:t>
      </w:r>
      <w:r>
        <w:t>е</w:t>
      </w:r>
      <w:r>
        <w:t>вушек в среднем более высокий, чем у юношей, и они имеют более высокие оценки. Например, в 2000 году доля девушек составляла 50,9 процента в пр</w:t>
      </w:r>
      <w:r>
        <w:t>о</w:t>
      </w:r>
      <w:r>
        <w:t>межуточных школах, 53,8 процента в 5-10-х классах гимназии, 55,9 процента – в 11-13-х классах гимназии, но лишь 43,8 процента – в средних общеобразов</w:t>
      </w:r>
      <w:r>
        <w:t>а</w:t>
      </w:r>
      <w:r>
        <w:t>тельных школах. Число новых и уже обучающихся студенток высших учебных заведений также существенно возросло. Начиная с зимнего семестра 1995/96 года, в университеты Германии поступает больше женщин, чем му</w:t>
      </w:r>
      <w:r>
        <w:t>ж</w:t>
      </w:r>
      <w:r>
        <w:t>чин (см. таблицы 4.3.1 и 4.3.2 в приложении). В последние годы студентки и студенты стали также чаще выбирать одни и те же предметы для изучения (см. ди</w:t>
      </w:r>
      <w:r>
        <w:t>а</w:t>
      </w:r>
      <w:r>
        <w:t>граммы 4.3.3 и 4.3.4 в приложении).</w:t>
      </w:r>
    </w:p>
    <w:p w:rsidR="00000000" w:rsidRDefault="00000000">
      <w:pPr>
        <w:pStyle w:val="H4"/>
      </w:pPr>
      <w:bookmarkStart w:id="116" w:name="_Toc44113731"/>
      <w:bookmarkStart w:id="117" w:name="_Toc44114238"/>
      <w:bookmarkStart w:id="118" w:name="_Toc44115915"/>
      <w:r>
        <w:t>3.2.2</w:t>
      </w:r>
      <w:r>
        <w:tab/>
        <w:t>Обучение по двойной системе</w:t>
      </w:r>
      <w:bookmarkEnd w:id="116"/>
      <w:bookmarkEnd w:id="117"/>
      <w:bookmarkEnd w:id="118"/>
    </w:p>
    <w:p w:rsidR="00000000" w:rsidRDefault="00000000">
      <w:pPr>
        <w:pStyle w:val="SingleTxt"/>
      </w:pPr>
      <w:r>
        <w:t>Доля молодых женщин, обучающихся по двойной системе (т.е. подготовка в той или иной компании и профессионально-техническом училище), растет крайне медленно, и в среднем по стране она составляет порядка 40 процентов (см. таблицу 4.2.4 в приложении). Эта цифра выше в Берлине (45,5 процента) и ниже в новых федеральных землях (примерно 38 процентов). Из общего числа лиц, посещавших профессионально-технические училища в 2000/2001 году, в 1 920 751 человек женщины составляли, по оценкам, 779 143 человека (40,56 процента). Частичное объяснение этому можно найти в небогатом выб</w:t>
      </w:r>
      <w:r>
        <w:t>о</w:t>
      </w:r>
      <w:r>
        <w:t>ре профессий, а также в сохранении традиционного распределения ролей. И наоборот, гимназии посещало больше девочек (1 228 300), чем мальчиков (1 028 900). Поскольку в германской системе образования перспективы труд</w:t>
      </w:r>
      <w:r>
        <w:t>о</w:t>
      </w:r>
      <w:r>
        <w:t>устройства для лиц с аттестатом об окончании школы, дающим право посту</w:t>
      </w:r>
      <w:r>
        <w:t>п</w:t>
      </w:r>
      <w:r>
        <w:t>ления в институт, могут в принципе считаться более благоприятными по сра</w:t>
      </w:r>
      <w:r>
        <w:t>в</w:t>
      </w:r>
      <w:r>
        <w:t>нению с возможностями обучения, открытыми для женщин в целом, такое п</w:t>
      </w:r>
      <w:r>
        <w:t>о</w:t>
      </w:r>
      <w:r>
        <w:t>ложение дел нельзя считать дискриминацио</w:t>
      </w:r>
      <w:r>
        <w:t>н</w:t>
      </w:r>
      <w:r>
        <w:t>ным по отношению к женщинам.</w:t>
      </w:r>
    </w:p>
    <w:p w:rsidR="00000000" w:rsidRDefault="00000000">
      <w:pPr>
        <w:pStyle w:val="SingleTxt"/>
      </w:pPr>
      <w:r>
        <w:t>И напротив, молодые женщины составляют большинство в професси</w:t>
      </w:r>
      <w:r>
        <w:t>о</w:t>
      </w:r>
      <w:r>
        <w:t>нально-технических училищах (дневных профессионально-технических шк</w:t>
      </w:r>
      <w:r>
        <w:t>о</w:t>
      </w:r>
      <w:r>
        <w:t>лах) (1999 год: 57,2 процента).</w:t>
      </w:r>
    </w:p>
    <w:p w:rsidR="00000000" w:rsidRDefault="00000000">
      <w:pPr>
        <w:pStyle w:val="SingleTxt"/>
      </w:pPr>
      <w:r>
        <w:t>Вместе с тем спектр возможностей обучения для мужчин и женщин был по-прежнему принципиально разным. По окончании школы большинство д</w:t>
      </w:r>
      <w:r>
        <w:t>е</w:t>
      </w:r>
      <w:r>
        <w:t>вушек и юношей выбирают такие требующие официальной подготовки пр</w:t>
      </w:r>
      <w:r>
        <w:t>о</w:t>
      </w:r>
      <w:r>
        <w:t>фессии, в которых доминируют соответственно женщины или мужчины. В 2001 году 37,1 процента женщин-слушателей обучались профессиям, которые считаются сугубо «женскими» (свыше 60 или 80 процентов женщин-слушателей), и 34,8 процента – профессиям, в которых доминируют женщины (т.е. 80-100 процентов женщин-слушателей). Таким образом, в целом свыше 70 процентов девушек избрали профессии, в которых они составляют пода</w:t>
      </w:r>
      <w:r>
        <w:t>в</w:t>
      </w:r>
      <w:r>
        <w:t>ляющее большинс</w:t>
      </w:r>
      <w:r>
        <w:t>т</w:t>
      </w:r>
      <w:r>
        <w:t>во.</w:t>
      </w:r>
    </w:p>
    <w:p w:rsidR="00000000" w:rsidRDefault="00000000">
      <w:pPr>
        <w:pStyle w:val="SingleTxt"/>
      </w:pPr>
      <w:r>
        <w:t>Для сравнения можно отметить, что в 2001 году 4,4 процента же</w:t>
      </w:r>
      <w:r>
        <w:t>н</w:t>
      </w:r>
      <w:r>
        <w:t>щин-слушателей обучались профессиям, которые считаются сугубо «мужскими», и 3,2 процента – профессиям, в которых доминируют мужчины. Федеральное правительство уделяет особое внимание этой тенденции в докладах по вопр</w:t>
      </w:r>
      <w:r>
        <w:t>о</w:t>
      </w:r>
      <w:r>
        <w:t>сам профессиональной подготовки, которые представляются на ежегодной о</w:t>
      </w:r>
      <w:r>
        <w:t>с</w:t>
      </w:r>
      <w:r>
        <w:t>нове (см таблицы 4.2.1 – 4.2.3 в прил</w:t>
      </w:r>
      <w:r>
        <w:t>о</w:t>
      </w:r>
      <w:r>
        <w:t>жении).</w:t>
      </w:r>
    </w:p>
    <w:p w:rsidR="00000000" w:rsidRDefault="00000000">
      <w:pPr>
        <w:pStyle w:val="H4"/>
      </w:pPr>
      <w:bookmarkStart w:id="119" w:name="_Toc44113732"/>
      <w:bookmarkStart w:id="120" w:name="_Toc44114239"/>
      <w:bookmarkStart w:id="121" w:name="_Toc44115916"/>
      <w:r>
        <w:t>3.2.3</w:t>
      </w:r>
      <w:r>
        <w:tab/>
        <w:t>Обучение женщин профессиям в области информационно-коммуникационных технологий</w:t>
      </w:r>
      <w:bookmarkEnd w:id="119"/>
      <w:bookmarkEnd w:id="120"/>
      <w:bookmarkEnd w:id="121"/>
    </w:p>
    <w:p w:rsidR="00000000" w:rsidRDefault="00000000">
      <w:pPr>
        <w:pStyle w:val="SingleTxt"/>
      </w:pPr>
      <w:r>
        <w:t xml:space="preserve">В июне 1999 года Комиссия </w:t>
      </w:r>
      <w:r>
        <w:rPr>
          <w:caps/>
        </w:rPr>
        <w:t>ф</w:t>
      </w:r>
      <w:r>
        <w:t>едерации/земель по планированию учебно-просветительской работы и поощрению научных исследований (BLK) обнар</w:t>
      </w:r>
      <w:r>
        <w:t>о</w:t>
      </w:r>
      <w:r>
        <w:t>довала доклад, озаглавленный «Расширение возможностей женщин в сфере профессиональной подготовки и занятости». В нем содержатся конкретные р</w:t>
      </w:r>
      <w:r>
        <w:t>е</w:t>
      </w:r>
      <w:r>
        <w:t>комендации в отношении мер, благодаря которым женщины могли бы осва</w:t>
      </w:r>
      <w:r>
        <w:t>и</w:t>
      </w:r>
      <w:r>
        <w:t>вать естественнонаучные и технические дисциплины как в школах, так и в высших учебных заведен</w:t>
      </w:r>
      <w:r>
        <w:t>и</w:t>
      </w:r>
      <w:r>
        <w:t>ях.</w:t>
      </w:r>
    </w:p>
    <w:p w:rsidR="00000000" w:rsidRDefault="00000000">
      <w:pPr>
        <w:pStyle w:val="SingleTxt"/>
      </w:pPr>
      <w:r>
        <w:t>Большой вклад в удовлетворение этой возросшей заинтересованности м</w:t>
      </w:r>
      <w:r>
        <w:t>о</w:t>
      </w:r>
      <w:r>
        <w:t>лодых женщин к подготовке в области информационных технологий был вн</w:t>
      </w:r>
      <w:r>
        <w:t>е</w:t>
      </w:r>
      <w:r>
        <w:t>сен благодаря проведению кампаний в области информации и просвещения, семинаров-практикумов и учебных курсов для женщин-преподавателей, об</w:t>
      </w:r>
      <w:r>
        <w:t>у</w:t>
      </w:r>
      <w:r>
        <w:t>чающихся в «Центре повышения квалификации для женщин по вопросам и</w:t>
      </w:r>
      <w:r>
        <w:t>н</w:t>
      </w:r>
      <w:r>
        <w:t>формационного общества и технологий», создание которого было иницииров</w:t>
      </w:r>
      <w:r>
        <w:t>а</w:t>
      </w:r>
      <w:r>
        <w:t>но федеральным правительством. Кроме того, Центр повышения квалификации объединяет целый ряд проектов и мер в области обучения ИТ и профессиям от имени федерального правительства и в сотрудничестве с предприятиями и с</w:t>
      </w:r>
      <w:r>
        <w:t>е</w:t>
      </w:r>
      <w:r>
        <w:t>тями технологий в интересах женщин.</w:t>
      </w:r>
    </w:p>
    <w:p w:rsidR="00000000" w:rsidRDefault="00000000">
      <w:pPr>
        <w:pStyle w:val="SingleTxt"/>
      </w:pPr>
      <w:r>
        <w:t>Направленность инициатив федерального правительства заключается в расширении спектра профессий для девушек и молодых женщин и в их обуч</w:t>
      </w:r>
      <w:r>
        <w:t>е</w:t>
      </w:r>
      <w:r>
        <w:t>нии перспективным профессиям. Таким образом федеральное правительство использует широкий круг мероприятий для привлечения внимания к обучению и профессиям в области ИТ. Это включает, например, «Идею ИТ» – национал</w:t>
      </w:r>
      <w:r>
        <w:t>ь</w:t>
      </w:r>
      <w:r>
        <w:t>ный учебный проект федерального министерства по делам семьи и престар</w:t>
      </w:r>
      <w:r>
        <w:t>е</w:t>
      </w:r>
      <w:r>
        <w:t>лых, женщин и молодежи, осуществляемый в сотрудничестве с Инициативой «Д21» по партнерству государственного и частного секторов, в рамках которого стимулируется начало обучения молодых женщин ИТ и профессиям в области средств информации. Эта работа проводится на нескольких уровнях:</w:t>
      </w:r>
    </w:p>
    <w:p w:rsidR="00000000" w:rsidRDefault="00000000">
      <w:pPr>
        <w:pStyle w:val="dot"/>
      </w:pPr>
      <w:r>
        <w:tab/>
      </w:r>
      <w:r>
        <w:tab/>
        <w:t>–</w:t>
      </w:r>
      <w:r>
        <w:tab/>
        <w:t>к предприятиям обращается призыв принять участие в осуществляемых мероприятиях, проводить больше стажировок и предоставлять места для обучения женщин, а также отбирать сотрудниц из числа женщин на их предприятиях для доведения информации об их работе в школах, пров</w:t>
      </w:r>
      <w:r>
        <w:t>е</w:t>
      </w:r>
      <w:r>
        <w:t>дения бесед и других мероприятий;</w:t>
      </w:r>
    </w:p>
    <w:p w:rsidR="00000000" w:rsidRDefault="00000000">
      <w:pPr>
        <w:pStyle w:val="dot"/>
      </w:pPr>
      <w:r>
        <w:tab/>
      </w:r>
      <w:r>
        <w:tab/>
        <w:t>–</w:t>
      </w:r>
      <w:r>
        <w:tab/>
        <w:t>проявление заинтересованности со стороны молодых женщин должно стимулироваться посредством предоставления компетентной информации и консультаций;</w:t>
      </w:r>
    </w:p>
    <w:p w:rsidR="00000000" w:rsidRDefault="00000000">
      <w:pPr>
        <w:pStyle w:val="dot"/>
      </w:pPr>
      <w:r>
        <w:tab/>
      </w:r>
      <w:r>
        <w:tab/>
        <w:t>–</w:t>
      </w:r>
      <w:r>
        <w:tab/>
        <w:t>сам процесс обучения должен быть сделан более привлекательным благ</w:t>
      </w:r>
      <w:r>
        <w:t>о</w:t>
      </w:r>
      <w:r>
        <w:t>даря новой форме и новому содержанию, в частности, в отношении же</w:t>
      </w:r>
      <w:r>
        <w:t>н</w:t>
      </w:r>
      <w:r>
        <w:t>щин. Кроме того, обучающие должны иметь специальную подготовку для реализ</w:t>
      </w:r>
      <w:r>
        <w:t>а</w:t>
      </w:r>
      <w:r>
        <w:t>ции равных возможностей.</w:t>
      </w:r>
    </w:p>
    <w:p w:rsidR="00000000" w:rsidRDefault="00000000">
      <w:pPr>
        <w:pStyle w:val="SingleTxt"/>
      </w:pPr>
      <w:r>
        <w:t>С учетом этого важное значение имеет также целенаправленная информ</w:t>
      </w:r>
      <w:r>
        <w:t>а</w:t>
      </w:r>
      <w:r>
        <w:t>ция о профессиях в области ИТ, необходимая для консультаций в отношении профессионального роста и предоставляемая в рамках деловой игры по упра</w:t>
      </w:r>
      <w:r>
        <w:t>в</w:t>
      </w:r>
      <w:r>
        <w:t>лению мультимедийными средствами информации под названием «Джоблэб». Для непосредственного ознакомления девушек с рынком труда в 2003 году на национальном уровне будет продолжено проведение Дня девушек (дня будущ</w:t>
      </w:r>
      <w:r>
        <w:t>е</w:t>
      </w:r>
      <w:r>
        <w:t>го девушек), проведение которого было успешно опробовано в 2001 и 2002 годах.</w:t>
      </w:r>
    </w:p>
    <w:p w:rsidR="00000000" w:rsidRDefault="00000000">
      <w:pPr>
        <w:pStyle w:val="SingleTxt"/>
      </w:pPr>
      <w:r>
        <w:t>Эти меры дополняются работой портала «ЛиззиНет» в Интернете, где д</w:t>
      </w:r>
      <w:r>
        <w:t>е</w:t>
      </w:r>
      <w:r>
        <w:t>вочки пробуют пользоваться Интернетом. Федеральное правительство знач</w:t>
      </w:r>
      <w:r>
        <w:t>и</w:t>
      </w:r>
      <w:r>
        <w:t>тельно расширило тематику интерактивных учебных курсов и курсов повыш</w:t>
      </w:r>
      <w:r>
        <w:t>е</w:t>
      </w:r>
      <w:r>
        <w:t>ния квалификации преподавателей через «ЛеаНет», которая является форумом в Интернете для преподавателей в контексте ассоциации «Подсоединим школы к сети». Портал в Интернете «</w:t>
      </w:r>
      <w:r>
        <w:rPr>
          <w:lang w:val="en-US"/>
        </w:rPr>
        <w:t>Be</w:t>
      </w:r>
      <w:r>
        <w:t>.</w:t>
      </w:r>
      <w:r>
        <w:rPr>
          <w:lang w:val="en-US"/>
        </w:rPr>
        <w:t>it</w:t>
      </w:r>
      <w:r>
        <w:t>» и «</w:t>
      </w:r>
      <w:r>
        <w:rPr>
          <w:lang w:val="en-US"/>
        </w:rPr>
        <w:t>Be</w:t>
      </w:r>
      <w:r>
        <w:t>.</w:t>
      </w:r>
      <w:r>
        <w:rPr>
          <w:lang w:val="en-US"/>
        </w:rPr>
        <w:t>ing</w:t>
      </w:r>
      <w:r>
        <w:t>» используется в сотрудничестве с деловыми кругами для проведения национальных дней технологии в интер</w:t>
      </w:r>
      <w:r>
        <w:t>е</w:t>
      </w:r>
      <w:r>
        <w:t>сах девушек, представления баз данных о стажировках для студенток и план</w:t>
      </w:r>
      <w:r>
        <w:t>и</w:t>
      </w:r>
      <w:r>
        <w:t>рующих обучаться девушек, а также для предложения привлекательных вар</w:t>
      </w:r>
      <w:r>
        <w:t>и</w:t>
      </w:r>
      <w:r>
        <w:t>антов обучения.</w:t>
      </w:r>
    </w:p>
    <w:p w:rsidR="00000000" w:rsidRDefault="00000000">
      <w:pPr>
        <w:pStyle w:val="SingleTxt"/>
      </w:pPr>
      <w:r>
        <w:t>В период с 1997 по 2000 годы почти в семь раз возросло число женщин, обучающихся четырем профессиям в области ИТ: специалист по вычислител</w:t>
      </w:r>
      <w:r>
        <w:t>ь</w:t>
      </w:r>
      <w:r>
        <w:t>ной технике, специалист по электронным ИТ-системам, се</w:t>
      </w:r>
      <w:r>
        <w:t>к</w:t>
      </w:r>
      <w:r>
        <w:t>ретарь по ИТ-системам и секретарь по вычислительной технике. Если в 1997 году число об</w:t>
      </w:r>
      <w:r>
        <w:t>у</w:t>
      </w:r>
      <w:r>
        <w:t>чающихся составляло 665, то в 2000 году эта цифра возросла до 5253. В рамках проекта «Дальнейшее обучение женщин профессиям в области ИТ для подг</w:t>
      </w:r>
      <w:r>
        <w:t>о</w:t>
      </w:r>
      <w:r>
        <w:t>товки преподавателей в области ИТ» к концу 2002 года федеральное прав</w:t>
      </w:r>
      <w:r>
        <w:t>и</w:t>
      </w:r>
      <w:r>
        <w:t>тельство значительно увеличило количество преподавателей-женщин. Пара</w:t>
      </w:r>
      <w:r>
        <w:t>л</w:t>
      </w:r>
      <w:r>
        <w:t>лельно с этим разрабатывается учебная программа, включающая принцип а</w:t>
      </w:r>
      <w:r>
        <w:t>к</w:t>
      </w:r>
      <w:r>
        <w:t>туализации гендерной проблематики, где учитываются озабоченности женщин и мужчин в отношении обучения; она будет использоваться в будущем преп</w:t>
      </w:r>
      <w:r>
        <w:t>о</w:t>
      </w:r>
      <w:r>
        <w:t>давателями.</w:t>
      </w:r>
    </w:p>
    <w:p w:rsidR="00000000" w:rsidRDefault="00000000">
      <w:pPr>
        <w:pStyle w:val="H23"/>
      </w:pPr>
      <w:bookmarkStart w:id="122" w:name="_Toc44113464"/>
      <w:bookmarkStart w:id="123" w:name="_Toc44113733"/>
      <w:bookmarkStart w:id="124" w:name="_Toc44114240"/>
      <w:bookmarkStart w:id="125" w:name="_Toc44115517"/>
      <w:bookmarkStart w:id="126" w:name="_Toc44115917"/>
      <w:r>
        <w:t>3.3</w:t>
      </w:r>
      <w:r>
        <w:tab/>
        <w:t>Женщины в учреждениях высшего образования и исследовательских учреждениях</w:t>
      </w:r>
      <w:bookmarkEnd w:id="122"/>
      <w:bookmarkEnd w:id="123"/>
      <w:bookmarkEnd w:id="124"/>
      <w:bookmarkEnd w:id="125"/>
      <w:bookmarkEnd w:id="126"/>
    </w:p>
    <w:p w:rsidR="00000000" w:rsidRDefault="00000000">
      <w:pPr>
        <w:pStyle w:val="H4"/>
      </w:pPr>
      <w:bookmarkStart w:id="127" w:name="_Toc44113734"/>
      <w:bookmarkStart w:id="128" w:name="_Toc44114241"/>
      <w:bookmarkStart w:id="129" w:name="_Toc44115918"/>
      <w:r>
        <w:t>3.3.1</w:t>
      </w:r>
      <w:r>
        <w:tab/>
        <w:t>Замечания общего характера</w:t>
      </w:r>
      <w:bookmarkEnd w:id="127"/>
      <w:bookmarkEnd w:id="128"/>
      <w:bookmarkEnd w:id="129"/>
    </w:p>
    <w:p w:rsidR="00000000" w:rsidRDefault="00000000">
      <w:pPr>
        <w:pStyle w:val="SingleTxt"/>
      </w:pPr>
      <w:r>
        <w:t>В настоящее время все большее число женщин принимают решение пр</w:t>
      </w:r>
      <w:r>
        <w:t>и</w:t>
      </w:r>
      <w:r>
        <w:t>ступить к обучению. Так, в зимнем семестре 2000/2001 годов число молодых женщин, приступивших к обучению в университетах, превысило число мол</w:t>
      </w:r>
      <w:r>
        <w:t>о</w:t>
      </w:r>
      <w:r>
        <w:t>дых мужчин (53,4 процента). В 2000 учебном году доля студенток, приступи</w:t>
      </w:r>
      <w:r>
        <w:t>в</w:t>
      </w:r>
      <w:r>
        <w:t>ших к обучению в высших учебных заведениях (университеты, гуманитарные колледжи и технические колледжи) составила 49 процентов. Женщины заве</w:t>
      </w:r>
      <w:r>
        <w:t>р</w:t>
      </w:r>
      <w:r>
        <w:t>шают учебу в высших учебных заведениях столь же успешно, сколь и обуча</w:t>
      </w:r>
      <w:r>
        <w:t>ю</w:t>
      </w:r>
      <w:r>
        <w:t>щиеся мужчины. Таким образом, можно ожидать, что доля женщин, проход</w:t>
      </w:r>
      <w:r>
        <w:t>я</w:t>
      </w:r>
      <w:r>
        <w:t>щих обучение и сдающих выпускные экзам</w:t>
      </w:r>
      <w:r>
        <w:t>е</w:t>
      </w:r>
      <w:r>
        <w:t>ны, в ближайшие годы будет по-прежнему возрастать в соответствии со статистикой в отношении вновь пр</w:t>
      </w:r>
      <w:r>
        <w:t>и</w:t>
      </w:r>
      <w:r>
        <w:t>ступивших к обучению студентов.</w:t>
      </w:r>
    </w:p>
    <w:p w:rsidR="00000000" w:rsidRDefault="00000000">
      <w:pPr>
        <w:pStyle w:val="SingleTxt"/>
      </w:pPr>
      <w:r>
        <w:t>Одна из важных целей установления равных прав в отношении женщин и мужчин заключается также в увеличении доли женщин, обучающихся дисци</w:t>
      </w:r>
      <w:r>
        <w:t>п</w:t>
      </w:r>
      <w:r>
        <w:t>линам, которые в первую очередь выбирают мужчины, а также в мотивации и поддержке женщин для выбора ими ранее нетрадиционных для них направл</w:t>
      </w:r>
      <w:r>
        <w:t>е</w:t>
      </w:r>
      <w:r>
        <w:t>ний обучения и целей профессионального роста. В этом контексте важно орг</w:t>
      </w:r>
      <w:r>
        <w:t>а</w:t>
      </w:r>
      <w:r>
        <w:t>низовать современные и ориентированные на будущее учебные курсы, благ</w:t>
      </w:r>
      <w:r>
        <w:t>о</w:t>
      </w:r>
      <w:r>
        <w:t>даря обучению на которых женщины могли бы иметь привлекательные пе</w:t>
      </w:r>
      <w:r>
        <w:t>р</w:t>
      </w:r>
      <w:r>
        <w:t>спективы в отношении профессионального роста. Поэтому федеральное прав</w:t>
      </w:r>
      <w:r>
        <w:t>и</w:t>
      </w:r>
      <w:r>
        <w:t>тельство предприняло особые усилия по увеличению доли женщин, занима</w:t>
      </w:r>
      <w:r>
        <w:t>ю</w:t>
      </w:r>
      <w:r>
        <w:t>щихся техническими и естественно-научными дисциплинами. Многие высшие учебные заведения в настоящее время предлагают выездные и летние курсы в высших учебных заведениях по естественно-научным дисциплинам, особенно для обучающихся из числа женщин. Цель программ наставничества в земле Рейнланд-Пфальц (проект Ады Лавлейс) и Гессене (Сеть женщин-наставников по естественным наукам и техническим дисциплинам) заключается в оказании персональной поддержки в переходе от обучения в школах к обучению в вы</w:t>
      </w:r>
      <w:r>
        <w:t>с</w:t>
      </w:r>
      <w:r>
        <w:t>ших учебных заведениях и в пропагандировании примеров успешного обуч</w:t>
      </w:r>
      <w:r>
        <w:t>е</w:t>
      </w:r>
      <w:r>
        <w:t>ния женщин.</w:t>
      </w:r>
    </w:p>
    <w:p w:rsidR="00000000" w:rsidRDefault="00000000">
      <w:pPr>
        <w:pStyle w:val="SingleTxt"/>
      </w:pPr>
      <w:r>
        <w:t>Что касается студенток, обучающихся вычислительной технике, то фед</w:t>
      </w:r>
      <w:r>
        <w:t>е</w:t>
      </w:r>
      <w:r>
        <w:t xml:space="preserve">ральное министерство образования и научных исследований в сотрудничестве с Инициативой Д21 и обществом Фраунхоф (ранее называвшемся </w:t>
      </w:r>
      <w:r>
        <w:rPr>
          <w:lang w:val="en-US"/>
        </w:rPr>
        <w:t>GMD</w:t>
      </w:r>
      <w:r>
        <w:t>) начало осуществление проектов наставничества «Маффин» и «Маффин21». Даже в период обучения студентки могут планировать свои дальнейшие карьеры, пользуясь специализированными личными рекомендациями женщин-наставников, прикрепленных исследовательскими учреждениями и промы</w:t>
      </w:r>
      <w:r>
        <w:t>ш</w:t>
      </w:r>
      <w:r>
        <w:t>ленными предприятиями.</w:t>
      </w:r>
    </w:p>
    <w:p w:rsidR="00000000" w:rsidRDefault="00000000">
      <w:pPr>
        <w:pStyle w:val="SingleTxt"/>
      </w:pPr>
      <w:r>
        <w:t>С середины 90-х годов в качестве экспериментальных проектов было о</w:t>
      </w:r>
      <w:r>
        <w:t>р</w:t>
      </w:r>
      <w:r>
        <w:t>ганизовано проведение учебных курсов исключительно для женщин, таких как женские курсы по организации промышленного производства в университете Вильгельмсхафена (с зимнего семестра 1997/98 годов) и техническом колледже Штральзунда (с зимнего семестра 2000/01 годов), а также по подготовке ко</w:t>
      </w:r>
      <w:r>
        <w:t>н</w:t>
      </w:r>
      <w:r>
        <w:t>сультантов по вопросам энергетики в техническом колледже Билефельда (с зимнего семестра 1998/99 годов, который с зимнего семестра 2000/01 годов был открыт и для мужчин). С зимнего семестра 2000/01 годов в высшем уче</w:t>
      </w:r>
      <w:r>
        <w:t>б</w:t>
      </w:r>
      <w:r>
        <w:t>ном заведении Бремена было организовано преподавание международного учебного курса для женщин по вычисл</w:t>
      </w:r>
      <w:r>
        <w:t>и</w:t>
      </w:r>
      <w:r>
        <w:t>тельной технике.</w:t>
      </w:r>
    </w:p>
    <w:p w:rsidR="00000000" w:rsidRDefault="00000000">
      <w:pPr>
        <w:pStyle w:val="SingleTxt"/>
      </w:pPr>
      <w:r>
        <w:t>В 2000 году доля женщин среди выпускников высших учебных заведений, получивших диплом об окончании учебного заведения или сдавших эквив</w:t>
      </w:r>
      <w:r>
        <w:t>а</w:t>
      </w:r>
      <w:r>
        <w:t>лентные выпускные экзамены, на всей территории Германии составила 44,8 процента. Доля женщин в научно-исследовательской области по-прежнему крайне низка, хотя доля женщин–соискателей докторской степени возросла с 28,5 процента в 1990 году до 34,3 процента в 2000 году.</w:t>
      </w:r>
    </w:p>
    <w:p w:rsidR="00000000" w:rsidRDefault="00000000">
      <w:pPr>
        <w:pStyle w:val="SingleTxt"/>
      </w:pPr>
      <w:r>
        <w:t>Число женщин, обладающих достаточной квалификацией для научно-исследовательской деятельности, в последние годы существенно возросло. В основном это является результатом мер и рекомендаций Федерал</w:t>
      </w:r>
      <w:r>
        <w:t>ь</w:t>
      </w:r>
      <w:r>
        <w:t>ной/Земельной комиссии по планированию в области образования и содейс</w:t>
      </w:r>
      <w:r>
        <w:t>т</w:t>
      </w:r>
      <w:r>
        <w:t>вию научным исследованиям, а также реализации специальных университе</w:t>
      </w:r>
      <w:r>
        <w:t>т</w:t>
      </w:r>
      <w:r>
        <w:t>ских программ, организованных федеральным правительством и землями в н</w:t>
      </w:r>
      <w:r>
        <w:t>а</w:t>
      </w:r>
      <w:r>
        <w:t>чале 90-х годов и ориентированных на оказание женщинам поддержки в нау</w:t>
      </w:r>
      <w:r>
        <w:t>ч</w:t>
      </w:r>
      <w:r>
        <w:t>ной деятельности. По программе «Женщины, занимающиеся научно-исследовательской деятельностью» за период с 1990 по 1999 годы было изра</w:t>
      </w:r>
      <w:r>
        <w:t>с</w:t>
      </w:r>
      <w:r>
        <w:t>ходовано более 500 млн. евро. Доля женщин, обучающихся на преподавателей высших учебных заведений, возросла с 10 процентов в 1990 году до 18,04 процента в 2000 году. Доля работающих на полную ставку женщин в у</w:t>
      </w:r>
      <w:r>
        <w:t>ч</w:t>
      </w:r>
      <w:r>
        <w:t>реждениях высшего образования, преподающих научные и гуманитарные ди</w:t>
      </w:r>
      <w:r>
        <w:t>с</w:t>
      </w:r>
      <w:r>
        <w:t>циплины, составила в 2000 году 30,4 процента. Доля женщин среди профессо</w:t>
      </w:r>
      <w:r>
        <w:t>р</w:t>
      </w:r>
      <w:r>
        <w:t>ско-преподавательского состава категории С-2 возросла с 14,2 процента в 1999 году до 14,9 процента в 2000 году, среди профессорско-преподавательского состава категории С-3 – с 10,2 процента до 11 процентов, а среди профессорско-преподавательского состава категории С-4 – с 6,3 процента до 7,1 процента (таблица 4.4 в приложении).</w:t>
      </w:r>
    </w:p>
    <w:p w:rsidR="00000000" w:rsidRDefault="00000000">
      <w:pPr>
        <w:pStyle w:val="H4"/>
      </w:pPr>
      <w:bookmarkStart w:id="130" w:name="_Toc44113735"/>
      <w:bookmarkStart w:id="131" w:name="_Toc44114242"/>
      <w:bookmarkStart w:id="132" w:name="_Toc44115919"/>
      <w:r>
        <w:t>3.3.2</w:t>
      </w:r>
      <w:r>
        <w:tab/>
        <w:t>Результаты осуществления третей специальной университетской программы (</w:t>
      </w:r>
      <w:r>
        <w:rPr>
          <w:lang w:val="en-US"/>
        </w:rPr>
        <w:t>HSP</w:t>
      </w:r>
      <w:r>
        <w:t xml:space="preserve"> </w:t>
      </w:r>
      <w:r>
        <w:rPr>
          <w:lang w:val="en-US"/>
        </w:rPr>
        <w:t>III</w:t>
      </w:r>
      <w:r>
        <w:t>)</w:t>
      </w:r>
      <w:bookmarkEnd w:id="130"/>
      <w:bookmarkEnd w:id="131"/>
      <w:bookmarkEnd w:id="132"/>
    </w:p>
    <w:p w:rsidR="00000000" w:rsidRDefault="00000000">
      <w:pPr>
        <w:pStyle w:val="SingleTxt"/>
      </w:pPr>
      <w:r>
        <w:t>О совместной специальной университетской программе (</w:t>
      </w:r>
      <w:r>
        <w:rPr>
          <w:lang w:val="en-US"/>
        </w:rPr>
        <w:t>HSP</w:t>
      </w:r>
      <w:r>
        <w:t xml:space="preserve"> </w:t>
      </w:r>
      <w:r>
        <w:rPr>
          <w:lang w:val="en-US"/>
        </w:rPr>
        <w:t>III</w:t>
      </w:r>
      <w:r>
        <w:t>) на пер</w:t>
      </w:r>
      <w:r>
        <w:t>и</w:t>
      </w:r>
      <w:r>
        <w:t>од 1996–2000 годов включительно впервые говорилось в последнем докладе КЛДЖ. В рамках данной программы федеральное правительство и земли до</w:t>
      </w:r>
      <w:r>
        <w:t>с</w:t>
      </w:r>
      <w:r>
        <w:t>тигли согласия о существенном увеличении доли женщин, занимающихся н</w:t>
      </w:r>
      <w:r>
        <w:t>а</w:t>
      </w:r>
      <w:r>
        <w:t xml:space="preserve">учными исследованиями и преподаванием. При осуществлении </w:t>
      </w:r>
      <w:r>
        <w:rPr>
          <w:lang w:val="en-US"/>
        </w:rPr>
        <w:t>HSP</w:t>
      </w:r>
      <w:r>
        <w:t xml:space="preserve"> </w:t>
      </w:r>
      <w:r>
        <w:rPr>
          <w:lang w:val="en-US"/>
        </w:rPr>
        <w:t>III</w:t>
      </w:r>
      <w:r>
        <w:t xml:space="preserve"> были учтены выводы и рекомендации, сформулированные в докладе Федерал</w:t>
      </w:r>
      <w:r>
        <w:t>ь</w:t>
      </w:r>
      <w:r>
        <w:t>ной/Земельной комиссии по планированию в сфере образования и содействию научным исследованиям, озаглавленном «Оказание содействия женщинам, з</w:t>
      </w:r>
      <w:r>
        <w:t>а</w:t>
      </w:r>
      <w:r>
        <w:t>нимающимся научной деятельностью». Первоначально запланированный об</w:t>
      </w:r>
      <w:r>
        <w:t>ъ</w:t>
      </w:r>
      <w:r>
        <w:t>ем средств по программе в сумме 720 миллионов марок ФРГ был превышен на 11 миллионов марок ФРГ.</w:t>
      </w:r>
    </w:p>
    <w:p w:rsidR="00000000" w:rsidRDefault="00000000">
      <w:pPr>
        <w:pStyle w:val="SingleTxt"/>
      </w:pPr>
      <w:r>
        <w:t xml:space="preserve">Можно отметить, что в результате осуществления </w:t>
      </w:r>
      <w:r>
        <w:rPr>
          <w:lang w:val="en-US"/>
        </w:rPr>
        <w:t>HSP</w:t>
      </w:r>
      <w:r>
        <w:t xml:space="preserve"> </w:t>
      </w:r>
      <w:r>
        <w:rPr>
          <w:lang w:val="en-US"/>
        </w:rPr>
        <w:t>III</w:t>
      </w:r>
      <w:r>
        <w:t xml:space="preserve"> было оказано содействие 4407 соискателям докторской степени, 1439 из которых были же</w:t>
      </w:r>
      <w:r>
        <w:t>н</w:t>
      </w:r>
      <w:r>
        <w:t>щины, что составляет 32,65%. Несмотря на существующую на рынке труда н</w:t>
      </w:r>
      <w:r>
        <w:t>а</w:t>
      </w:r>
      <w:r>
        <w:t>пряженность, благодаря этому удалось привлечь к научным исследованиям большое число соискателей докторской степени. Оказывалось содействие об</w:t>
      </w:r>
      <w:r>
        <w:t>у</w:t>
      </w:r>
      <w:r>
        <w:t>чающимся на преподавателя высших учебных заведений, общее число которых составило 261, из которых женщины составляли 83; в гуманитарных и соц</w:t>
      </w:r>
      <w:r>
        <w:t>и</w:t>
      </w:r>
      <w:r>
        <w:t>альных науках их число составило 55 из 158, в биологии, медицине и агрон</w:t>
      </w:r>
      <w:r>
        <w:t>о</w:t>
      </w:r>
      <w:r>
        <w:t>мии – 16 из 42, в естественных науках – 8 из 50, а в инженерно-технических дисциплинах – 4 из 11. Следует отметить, что 33 обучавшимся, 28 из которых были женщинами, выдавалось пособие по уходу за детьми.</w:t>
      </w:r>
    </w:p>
    <w:p w:rsidR="00000000" w:rsidRDefault="00000000">
      <w:pPr>
        <w:pStyle w:val="SingleTxt"/>
      </w:pPr>
      <w:r>
        <w:t xml:space="preserve">Благодаря </w:t>
      </w:r>
      <w:r>
        <w:rPr>
          <w:lang w:val="en-US"/>
        </w:rPr>
        <w:t>HSP</w:t>
      </w:r>
      <w:r>
        <w:t xml:space="preserve"> </w:t>
      </w:r>
      <w:r>
        <w:rPr>
          <w:lang w:val="en-US"/>
        </w:rPr>
        <w:t>III</w:t>
      </w:r>
      <w:r>
        <w:t xml:space="preserve"> многие молодые женщины-ученые вернулись в высшие учебные заведения после связанного с уходом за детьми перерыва. Для этого выделялись пособия для возобновления работы, заключались трудовые согл</w:t>
      </w:r>
      <w:r>
        <w:t>а</w:t>
      </w:r>
      <w:r>
        <w:t>шения, оказывались услуги или предоставлялись должности для работы на н</w:t>
      </w:r>
      <w:r>
        <w:t>е</w:t>
      </w:r>
      <w:r>
        <w:t>полную ставку. Благодаря этим средствам удалось снизить неблагоприятные последствия для профессионального роста.</w:t>
      </w:r>
    </w:p>
    <w:p w:rsidR="00000000" w:rsidRDefault="00000000">
      <w:pPr>
        <w:pStyle w:val="SingleTxt"/>
      </w:pPr>
      <w:r>
        <w:t xml:space="preserve">Все предоставлявшиеся в рамках </w:t>
      </w:r>
      <w:r>
        <w:rPr>
          <w:lang w:val="en-US"/>
        </w:rPr>
        <w:t>HSP</w:t>
      </w:r>
      <w:r>
        <w:t xml:space="preserve"> </w:t>
      </w:r>
      <w:r>
        <w:rPr>
          <w:lang w:val="en-US"/>
        </w:rPr>
        <w:t>III</w:t>
      </w:r>
      <w:r>
        <w:t xml:space="preserve"> субсидии сопровождались в</w:t>
      </w:r>
      <w:r>
        <w:t>ы</w:t>
      </w:r>
      <w:r>
        <w:t>платами на уход за детьми с тем, чтобы женщины, в частности, имели возмо</w:t>
      </w:r>
      <w:r>
        <w:t>ж</w:t>
      </w:r>
      <w:r>
        <w:t>ность совмещать обучение с научной работой. Получателями этих субсидий, при соответствии выдвигаемым требованиям, были в основном женщины.</w:t>
      </w:r>
    </w:p>
    <w:p w:rsidR="00000000" w:rsidRDefault="00000000">
      <w:pPr>
        <w:pStyle w:val="SingleTxt"/>
      </w:pPr>
      <w:r>
        <w:t>Тем не менее, число женщин среди преподавателей по-прежнему является крайне низким. Поэтому в конце 90-х годов федеральное правительство вместе с землями поставило перед собой цель увеличения доли женщин в численности профессорско-преподавательского состава к 2005 году до 20 процентов.</w:t>
      </w:r>
    </w:p>
    <w:p w:rsidR="00000000" w:rsidRDefault="00000000">
      <w:pPr>
        <w:pStyle w:val="SingleTxt"/>
      </w:pPr>
      <w:r>
        <w:t>Для более широкого использования потенциала высоко квалифицирова</w:t>
      </w:r>
      <w:r>
        <w:t>н</w:t>
      </w:r>
      <w:r>
        <w:t>ных женщин с учетом также предстоящей смены поколений в высших учебных заведениях федеральное правительство инициировало целый ряд мер для з</w:t>
      </w:r>
      <w:r>
        <w:t>а</w:t>
      </w:r>
      <w:r>
        <w:t>крепления женщин в области научных исследований, особенно на руководящих должностях.</w:t>
      </w:r>
    </w:p>
    <w:p w:rsidR="00000000" w:rsidRDefault="00000000">
      <w:pPr>
        <w:pStyle w:val="SingleTxt"/>
      </w:pPr>
      <w:r>
        <w:t>В качестве заключения можно отметить, что несмотря на значительные усилия, предпринятые федеральным правительством и землями и связанные с этим финансовые расходы, запланированное увеличение участия женщин в н</w:t>
      </w:r>
      <w:r>
        <w:t>а</w:t>
      </w:r>
      <w:r>
        <w:t>учной деятельности пока не достигнуто во всех областях и на всех уровнях. Это, в частности, применимо к должностям руководителей в высших учебных заведениях и научно-исследовательских институтах, занимающихся практич</w:t>
      </w:r>
      <w:r>
        <w:t>е</w:t>
      </w:r>
      <w:r>
        <w:t>ской деятельностью. Поэтому федеральное правительство и земли достигли с</w:t>
      </w:r>
      <w:r>
        <w:t>о</w:t>
      </w:r>
      <w:r>
        <w:t xml:space="preserve">гласия о продолжении совместных усилий по реализации концепции равных возможностей для женщин в области науки и исследований, в том числе после завершения </w:t>
      </w:r>
      <w:r>
        <w:rPr>
          <w:lang w:val="en-US"/>
        </w:rPr>
        <w:t>HSP</w:t>
      </w:r>
      <w:r>
        <w:t xml:space="preserve"> </w:t>
      </w:r>
      <w:r>
        <w:rPr>
          <w:lang w:val="en-US"/>
        </w:rPr>
        <w:t>III</w:t>
      </w:r>
      <w:r>
        <w:t>. Для этого 16 декабря 1999 года было достигнуто соглаш</w:t>
      </w:r>
      <w:r>
        <w:t>е</w:t>
      </w:r>
      <w:r>
        <w:t>ние между федеральным правительством и землями о поощрении дальнейшего развития высших учебных заведений и науки и реализации концепции равных возможностей для женщин в научных исследованиях и преподавании в качес</w:t>
      </w:r>
      <w:r>
        <w:t>т</w:t>
      </w:r>
      <w:r>
        <w:t xml:space="preserve">ве последующих мероприятий по реализации специальной университетской программы </w:t>
      </w:r>
      <w:r>
        <w:rPr>
          <w:lang w:val="en-US"/>
        </w:rPr>
        <w:t>III</w:t>
      </w:r>
      <w:r>
        <w:t xml:space="preserve"> под названием «Университетская научная программа» (</w:t>
      </w:r>
      <w:r>
        <w:rPr>
          <w:lang w:val="en-US"/>
        </w:rPr>
        <w:t>HWP</w:t>
      </w:r>
      <w:r>
        <w:t>), которая начала действовать с 2001 года до, первоначально, 2003 года. Фед</w:t>
      </w:r>
      <w:r>
        <w:t>е</w:t>
      </w:r>
      <w:r>
        <w:t>ральное правительство и земли намерены учесть результаты оценки соглас</w:t>
      </w:r>
      <w:r>
        <w:t>о</w:t>
      </w:r>
      <w:r>
        <w:t>ванных мер для осуществления в 2002 году при принятии решения о том, пр</w:t>
      </w:r>
      <w:r>
        <w:t>о</w:t>
      </w:r>
      <w:r>
        <w:t xml:space="preserve">длевать ли работу по программе до 2006 года. </w:t>
      </w:r>
    </w:p>
    <w:p w:rsidR="00000000" w:rsidRDefault="00000000">
      <w:pPr>
        <w:pStyle w:val="SingleTxt"/>
      </w:pPr>
      <w:r>
        <w:t xml:space="preserve">Одной из составных частей новой программы </w:t>
      </w:r>
      <w:r>
        <w:rPr>
          <w:lang w:val="en-US"/>
        </w:rPr>
        <w:t>HWP</w:t>
      </w:r>
      <w:r>
        <w:t xml:space="preserve"> является программа «Равные возможности для женщин в научно-исследовательской деятельности и преподавании», поддержку которой совместно оказывают федеральное прав</w:t>
      </w:r>
      <w:r>
        <w:t>и</w:t>
      </w:r>
      <w:r>
        <w:t>тельство и земли, уделяя основное внимание следующему:</w:t>
      </w:r>
    </w:p>
    <w:p w:rsidR="00000000" w:rsidRDefault="00000000">
      <w:pPr>
        <w:pStyle w:val="dot"/>
      </w:pPr>
      <w:r>
        <w:tab/>
      </w:r>
      <w:r>
        <w:tab/>
        <w:t>•</w:t>
      </w:r>
      <w:r>
        <w:tab/>
        <w:t>мерам по обеспечению получения квалификации преподавателя в униве</w:t>
      </w:r>
      <w:r>
        <w:t>р</w:t>
      </w:r>
      <w:r>
        <w:t>ситетах или преподавателя в технических колледжах. Для этого пред</w:t>
      </w:r>
      <w:r>
        <w:t>у</w:t>
      </w:r>
      <w:r>
        <w:t>смотр</w:t>
      </w:r>
      <w:r>
        <w:t>е</w:t>
      </w:r>
      <w:r>
        <w:t>на основная доля финансирования (75 процентов);</w:t>
      </w:r>
    </w:p>
    <w:p w:rsidR="00000000" w:rsidRDefault="00000000">
      <w:pPr>
        <w:pStyle w:val="dot"/>
      </w:pPr>
      <w:r>
        <w:tab/>
      </w:r>
      <w:r>
        <w:tab/>
        <w:t>•</w:t>
      </w:r>
      <w:r>
        <w:tab/>
        <w:t>мерам по проведению исследований в отношении женщин/гендерных в</w:t>
      </w:r>
      <w:r>
        <w:t>о</w:t>
      </w:r>
      <w:r>
        <w:t>пр</w:t>
      </w:r>
      <w:r>
        <w:t>о</w:t>
      </w:r>
      <w:r>
        <w:t>сов, и</w:t>
      </w:r>
    </w:p>
    <w:p w:rsidR="00000000" w:rsidRDefault="00000000">
      <w:pPr>
        <w:pStyle w:val="dot"/>
      </w:pPr>
      <w:r>
        <w:tab/>
      </w:r>
      <w:r>
        <w:tab/>
        <w:t>•</w:t>
      </w:r>
      <w:r>
        <w:tab/>
        <w:t>мерам по увеличению доли женщин, обучающихся естественным наукам и на технических курсах.</w:t>
      </w:r>
    </w:p>
    <w:p w:rsidR="00000000" w:rsidRDefault="00000000">
      <w:pPr>
        <w:pStyle w:val="SingleTxt"/>
      </w:pPr>
      <w:r>
        <w:t xml:space="preserve">Для этой программы федеральное правительство и земли выделяют 30,7 млн. евро в год. По всем программам в рамках </w:t>
      </w:r>
      <w:r>
        <w:rPr>
          <w:lang w:val="en-US"/>
        </w:rPr>
        <w:t>HWP</w:t>
      </w:r>
      <w:r>
        <w:t xml:space="preserve"> ставится цель обесп</w:t>
      </w:r>
      <w:r>
        <w:t>е</w:t>
      </w:r>
      <w:r>
        <w:t xml:space="preserve">чения сорокапроцентного участия женщин. </w:t>
      </w:r>
    </w:p>
    <w:p w:rsidR="00000000" w:rsidRDefault="00000000">
      <w:pPr>
        <w:pStyle w:val="SingleTxt"/>
      </w:pPr>
      <w:r>
        <w:t>Принимаемые федеральным правительством меры по реализации конце</w:t>
      </w:r>
      <w:r>
        <w:t>п</w:t>
      </w:r>
      <w:r>
        <w:t>ции равных возможностей для женщин в области научной деятельности и и</w:t>
      </w:r>
      <w:r>
        <w:t>с</w:t>
      </w:r>
      <w:r>
        <w:t>следований перечислены ниже:</w:t>
      </w:r>
    </w:p>
    <w:p w:rsidR="00000000" w:rsidRDefault="00000000">
      <w:pPr>
        <w:pStyle w:val="dot"/>
      </w:pPr>
      <w:r>
        <w:tab/>
      </w:r>
      <w:r>
        <w:tab/>
        <w:t>•</w:t>
      </w:r>
      <w:r>
        <w:tab/>
        <w:t>Одновременно с реформой Закона о трудовой деятельности и осущест</w:t>
      </w:r>
      <w:r>
        <w:t>в</w:t>
      </w:r>
      <w:r>
        <w:t xml:space="preserve">лением </w:t>
      </w:r>
      <w:r>
        <w:rPr>
          <w:lang w:val="en-US"/>
        </w:rPr>
        <w:t>HWP</w:t>
      </w:r>
      <w:r>
        <w:t xml:space="preserve"> федеральным министерством образования и научных иссл</w:t>
      </w:r>
      <w:r>
        <w:t>е</w:t>
      </w:r>
      <w:r>
        <w:t>дований была учреждена программа «Содействие в становлении – страт</w:t>
      </w:r>
      <w:r>
        <w:t>е</w:t>
      </w:r>
      <w:r>
        <w:t>гии профессионального роста для ученых-женщин». В рамках этой пр</w:t>
      </w:r>
      <w:r>
        <w:t>о</w:t>
      </w:r>
      <w:r>
        <w:t>граммы ученым-женщинам предлагается подавать заявки на занятие должностей преподавателей или младшего преподавательского состава для повышения квалификации и обучения их навыкам, позволяющим им занять лучшую стартовую позицию при процедуре отбора, в которой н</w:t>
      </w:r>
      <w:r>
        <w:t>а</w:t>
      </w:r>
      <w:r>
        <w:t>блюдается доминирование мужчин. Важность этой инициативы показыв</w:t>
      </w:r>
      <w:r>
        <w:t>а</w:t>
      </w:r>
      <w:r>
        <w:t>ет участие более 500 высококвалифицированных женщин в этой програ</w:t>
      </w:r>
      <w:r>
        <w:t>м</w:t>
      </w:r>
      <w:r>
        <w:t>ме в общенациональных масштабах. Поэтому осенью 2002 года снова пройдет отбор жела</w:t>
      </w:r>
      <w:r>
        <w:t>ю</w:t>
      </w:r>
      <w:r>
        <w:t>щих принять участие в программе.</w:t>
      </w:r>
    </w:p>
    <w:p w:rsidR="00000000" w:rsidRDefault="00000000">
      <w:pPr>
        <w:pStyle w:val="dot"/>
      </w:pPr>
      <w:r>
        <w:tab/>
      </w:r>
      <w:r>
        <w:tab/>
        <w:t>•</w:t>
      </w:r>
      <w:r>
        <w:tab/>
        <w:t>Образцовым проектом реформы высших учебных заведений стало соде</w:t>
      </w:r>
      <w:r>
        <w:t>й</w:t>
      </w:r>
      <w:r>
        <w:t>ствие федеральным министерством образования и научных исследований на «ЭКСПО-2000» Международному женскому университету «Технология и культура» (</w:t>
      </w:r>
      <w:r>
        <w:rPr>
          <w:lang w:val="en-US"/>
        </w:rPr>
        <w:t>ifu</w:t>
      </w:r>
      <w:r>
        <w:t xml:space="preserve">). Благодаря </w:t>
      </w:r>
      <w:r>
        <w:rPr>
          <w:lang w:val="en-US"/>
        </w:rPr>
        <w:t>ifu</w:t>
      </w:r>
      <w:r>
        <w:t xml:space="preserve"> достижения женщин в сфере науки и те</w:t>
      </w:r>
      <w:r>
        <w:t>х</w:t>
      </w:r>
      <w:r>
        <w:t xml:space="preserve">ники стали очевидными для всего мира. </w:t>
      </w:r>
      <w:r>
        <w:rPr>
          <w:lang w:val="en-US"/>
        </w:rPr>
        <w:t>Ifu</w:t>
      </w:r>
      <w:r>
        <w:t xml:space="preserve"> продемонстрировал путь к н</w:t>
      </w:r>
      <w:r>
        <w:t>о</w:t>
      </w:r>
      <w:r>
        <w:t>вой научной культуре. Научная культура будущего заключается в послед</w:t>
      </w:r>
      <w:r>
        <w:t>о</w:t>
      </w:r>
      <w:r>
        <w:t>вательном учете точки зрения женщин и гендерной перспективы во всех в</w:t>
      </w:r>
      <w:r>
        <w:t>о</w:t>
      </w:r>
      <w:r>
        <w:t>просах, касающихся научных исследований.</w:t>
      </w:r>
    </w:p>
    <w:p w:rsidR="00000000" w:rsidRDefault="00000000">
      <w:pPr>
        <w:pStyle w:val="dot"/>
      </w:pPr>
      <w:r>
        <w:tab/>
      </w:r>
      <w:r>
        <w:tab/>
        <w:t>•</w:t>
      </w:r>
      <w:r>
        <w:tab/>
        <w:t>На «Центр повышения квалификации женщин и научной деятельности» (</w:t>
      </w:r>
      <w:r>
        <w:rPr>
          <w:lang w:val="en-US"/>
        </w:rPr>
        <w:t>CEWS</w:t>
      </w:r>
      <w:r>
        <w:t>), созданный федеральным министерством образования и научных исследований в 2000 году в Боннском университете в качестве национал</w:t>
      </w:r>
      <w:r>
        <w:t>ь</w:t>
      </w:r>
      <w:r>
        <w:t>ного координационного учреждения, центра обслуживания и связи с Е</w:t>
      </w:r>
      <w:r>
        <w:t>в</w:t>
      </w:r>
      <w:r>
        <w:t>ропейским союзом, возложена задача по содействию обеспечению равных возможностей для женщин в сфере образования и научных исследований. Он должен оказывать поддержку федеральному правительству, высшим учебным заведениям и исследовательским учреждениям, уполномоче</w:t>
      </w:r>
      <w:r>
        <w:t>н</w:t>
      </w:r>
      <w:r>
        <w:t>ным по вопросам женщин и равенства, научным и политическим учре</w:t>
      </w:r>
      <w:r>
        <w:t>ж</w:t>
      </w:r>
      <w:r>
        <w:t xml:space="preserve">дениям в принятии ими мер по реализации концепции равного участия женщин в научной деятельности и исследованиях. База данных </w:t>
      </w:r>
      <w:r>
        <w:rPr>
          <w:u w:val="single"/>
          <w:lang w:val="en-US"/>
        </w:rPr>
        <w:t>FemCo</w:t>
      </w:r>
      <w:r>
        <w:rPr>
          <w:u w:val="single"/>
          <w:lang w:val="en-US"/>
        </w:rPr>
        <w:t>n</w:t>
      </w:r>
      <w:r>
        <w:rPr>
          <w:u w:val="single"/>
          <w:lang w:val="en-US"/>
        </w:rPr>
        <w:t>sult</w:t>
      </w:r>
      <w:r>
        <w:t xml:space="preserve"> начала функционировать в 2002 году, в интерактивном режиме в ней имеется более 7000 наборов данных об ученых-женщинах по всем дисц</w:t>
      </w:r>
      <w:r>
        <w:t>и</w:t>
      </w:r>
      <w:r>
        <w:t>плинам из Германии, Австрии и Швейцарии, которые имеют ученые ст</w:t>
      </w:r>
      <w:r>
        <w:t>е</w:t>
      </w:r>
      <w:r>
        <w:t>пени доктора или профессора.</w:t>
      </w:r>
    </w:p>
    <w:p w:rsidR="00000000" w:rsidRDefault="00000000">
      <w:pPr>
        <w:pStyle w:val="dot"/>
      </w:pPr>
      <w:r>
        <w:tab/>
      </w:r>
      <w:r>
        <w:tab/>
        <w:t>•</w:t>
      </w:r>
      <w:r>
        <w:tab/>
        <w:t>Благодаря реформе Закона о трудовой деятельности федеральное прав</w:t>
      </w:r>
      <w:r>
        <w:t>и</w:t>
      </w:r>
      <w:r>
        <w:t>тельство намерено предоставить возможность молодым женщинам и мужчинам-ученым заниматься научными исследованиями и преподаван</w:t>
      </w:r>
      <w:r>
        <w:t>и</w:t>
      </w:r>
      <w:r>
        <w:t>ем независимо и по своему усмотрению по достижении 30, а не 40 лет, для чего вводятся должности младшего преподавательского состава. Транспарентные процедуры назначения ведут к слому укоренившихся структур и устранению неформальных механизмов набора персонала. Данная процедура направлена на прекращение дискриминации в отнош</w:t>
      </w:r>
      <w:r>
        <w:t>е</w:t>
      </w:r>
      <w:r>
        <w:t>нии женщин. Благодаря такому нововведению, как понятие «младший преподавательский состав», большее число молодых ученых-женщин п</w:t>
      </w:r>
      <w:r>
        <w:t>о</w:t>
      </w:r>
      <w:r>
        <w:t>лучит возможности для продвижения по службе.</w:t>
      </w:r>
    </w:p>
    <w:p w:rsidR="00000000" w:rsidRDefault="00000000">
      <w:pPr>
        <w:pStyle w:val="dot"/>
      </w:pPr>
      <w:r>
        <w:tab/>
      </w:r>
      <w:r>
        <w:tab/>
        <w:t>•</w:t>
      </w:r>
      <w:r>
        <w:tab/>
        <w:t>С 2000 года высшим учебным заведениям и исследовательским учрежд</w:t>
      </w:r>
      <w:r>
        <w:t>е</w:t>
      </w:r>
      <w:r>
        <w:t xml:space="preserve">ниям, проводящим кадровую политику, направленную на обеспечение равных возможностей, вручается премия </w:t>
      </w:r>
      <w:r>
        <w:rPr>
          <w:lang w:val="en-US"/>
        </w:rPr>
        <w:t>Total</w:t>
      </w:r>
      <w:r>
        <w:t xml:space="preserve"> </w:t>
      </w:r>
      <w:r>
        <w:rPr>
          <w:lang w:val="en-US"/>
        </w:rPr>
        <w:t>T</w:t>
      </w:r>
      <w:r>
        <w:t>-</w:t>
      </w:r>
      <w:r>
        <w:rPr>
          <w:lang w:val="en-US"/>
        </w:rPr>
        <w:t>Quality</w:t>
      </w:r>
      <w:r>
        <w:t>, которая ранее вручалась почти исключительно в среде деловых кругов. Эта премия, я</w:t>
      </w:r>
      <w:r>
        <w:t>в</w:t>
      </w:r>
      <w:r>
        <w:t>ляющаяся знаком качества, задумана как стимул для высшего эшелона р</w:t>
      </w:r>
      <w:r>
        <w:t>у</w:t>
      </w:r>
      <w:r>
        <w:t>ководящих кругов и управлений кадров уделять большое внимание обе</w:t>
      </w:r>
      <w:r>
        <w:t>с</w:t>
      </w:r>
      <w:r>
        <w:t>печению равных возможностей. В тоже время она служит молодым же</w:t>
      </w:r>
      <w:r>
        <w:t>н</w:t>
      </w:r>
      <w:r>
        <w:t>щинам ориентиром в поисках высшего учебного заведения, обеспеч</w:t>
      </w:r>
      <w:r>
        <w:t>и</w:t>
      </w:r>
      <w:r>
        <w:t>вающего защиту их интересов.</w:t>
      </w:r>
    </w:p>
    <w:p w:rsidR="00000000" w:rsidRDefault="00000000">
      <w:pPr>
        <w:pStyle w:val="SingleTxt"/>
      </w:pPr>
      <w:r>
        <w:t>Помимо учета целей политики обеспечения равенства в системах фина</w:t>
      </w:r>
      <w:r>
        <w:t>н</w:t>
      </w:r>
      <w:r>
        <w:t>сового стимулирования, оценки, контроля и других мер по реформированию в высших учебных заведениях существует и задача, с которой мы столкнемся в ближайшем будущем и которая заключается в изменении структур ученой кв</w:t>
      </w:r>
      <w:r>
        <w:t>а</w:t>
      </w:r>
      <w:r>
        <w:t>лификации для более интенсивного использования интеллектуального поте</w:t>
      </w:r>
      <w:r>
        <w:t>н</w:t>
      </w:r>
      <w:r>
        <w:t>циала женщин. С началом проведения стратегии актуализации гендерной пр</w:t>
      </w:r>
      <w:r>
        <w:t>о</w:t>
      </w:r>
      <w:r>
        <w:t>блематики были завершены изменения в перспективах проведения политики обеспечения равенства. Что касается высших учебных заведениях, то это изм</w:t>
      </w:r>
      <w:r>
        <w:t>е</w:t>
      </w:r>
      <w:r>
        <w:t>нение в перспективе означает, что реализация равных возможностей как ник</w:t>
      </w:r>
      <w:r>
        <w:t>о</w:t>
      </w:r>
      <w:r>
        <w:t>гда ранее становится задачей управленческ</w:t>
      </w:r>
      <w:r>
        <w:t>о</w:t>
      </w:r>
      <w:r>
        <w:t>го персонала.</w:t>
      </w:r>
    </w:p>
    <w:p w:rsidR="00000000" w:rsidRDefault="00000000">
      <w:pPr>
        <w:pStyle w:val="H4"/>
      </w:pPr>
      <w:bookmarkStart w:id="133" w:name="_Toc44113736"/>
      <w:bookmarkStart w:id="134" w:name="_Toc44114243"/>
      <w:bookmarkStart w:id="135" w:name="_Toc44115920"/>
      <w:r>
        <w:t>3.3.3</w:t>
      </w:r>
      <w:r>
        <w:tab/>
        <w:t>Исследования в отношении женщин и гендерные исследования</w:t>
      </w:r>
      <w:bookmarkEnd w:id="133"/>
      <w:bookmarkEnd w:id="134"/>
      <w:bookmarkEnd w:id="135"/>
    </w:p>
    <w:p w:rsidR="00000000" w:rsidRDefault="00000000">
      <w:pPr>
        <w:pStyle w:val="SingleTxt"/>
      </w:pPr>
      <w:r>
        <w:t>Современное состояние научных исследований в отношении женщин в высших учебных заведениях тесно связано с кадровым составом профессо</w:t>
      </w:r>
      <w:r>
        <w:t>р</w:t>
      </w:r>
      <w:r>
        <w:t>ско-преподавательского состава в области исследований в отношении женщин. В июне 2001 года в общем числе профессорско-преподавательского состава в университетах Германии насчитывалось 120 женщин на должностях исследов</w:t>
      </w:r>
      <w:r>
        <w:t>а</w:t>
      </w:r>
      <w:r>
        <w:t>телей, а в технических колледжах Германии их насчитывалось 17, тогда как в 1992 году их было всего 61. Эти должности профессорско-преподавательского состава, занимающегося исследованиями в отношении женщин, подраздел</w:t>
      </w:r>
      <w:r>
        <w:t>я</w:t>
      </w:r>
      <w:r>
        <w:t>лись на три категории: должности, созданные только для исследований в отн</w:t>
      </w:r>
      <w:r>
        <w:t>о</w:t>
      </w:r>
      <w:r>
        <w:t>шении женщин и гендерных исследований, должности, которые помимо общей конкретной ориентации по собственной проблематике предусматривали также проведение исследований в отношении женщин и гендерных исследований, и должности, где в качестве одного из предварительных условий к их занятию в специальном перечне требований к претенденту предусматривалось провед</w:t>
      </w:r>
      <w:r>
        <w:t>е</w:t>
      </w:r>
      <w:r>
        <w:t>ние исследований в отношении женщин.</w:t>
      </w:r>
    </w:p>
    <w:p w:rsidR="00000000" w:rsidRDefault="00000000">
      <w:pPr>
        <w:pStyle w:val="H23"/>
      </w:pPr>
      <w:bookmarkStart w:id="136" w:name="_Toc44113465"/>
      <w:bookmarkStart w:id="137" w:name="_Toc44113737"/>
      <w:bookmarkStart w:id="138" w:name="_Toc44114244"/>
      <w:bookmarkStart w:id="139" w:name="_Toc44115518"/>
      <w:bookmarkStart w:id="140" w:name="_Toc44115921"/>
      <w:r>
        <w:t>3.4</w:t>
      </w:r>
      <w:r>
        <w:tab/>
        <w:t>Трудовая деятельность</w:t>
      </w:r>
      <w:bookmarkEnd w:id="136"/>
      <w:bookmarkEnd w:id="137"/>
      <w:bookmarkEnd w:id="138"/>
      <w:bookmarkEnd w:id="139"/>
      <w:bookmarkEnd w:id="140"/>
    </w:p>
    <w:p w:rsidR="00000000" w:rsidRDefault="00000000">
      <w:pPr>
        <w:pStyle w:val="H4"/>
      </w:pPr>
      <w:bookmarkStart w:id="141" w:name="_Toc44113738"/>
      <w:bookmarkStart w:id="142" w:name="_Toc44114245"/>
      <w:bookmarkStart w:id="143" w:name="_Toc44115922"/>
      <w:r>
        <w:t>3.4.1</w:t>
      </w:r>
      <w:r>
        <w:tab/>
        <w:t>Доля занятости</w:t>
      </w:r>
      <w:bookmarkEnd w:id="141"/>
      <w:bookmarkEnd w:id="142"/>
      <w:bookmarkEnd w:id="143"/>
    </w:p>
    <w:p w:rsidR="00000000" w:rsidRDefault="00000000">
      <w:pPr>
        <w:pStyle w:val="SingleTxt"/>
      </w:pPr>
      <w:r>
        <w:t>Положение женщин в сфере занятости продолжало улучшаться со врем</w:t>
      </w:r>
      <w:r>
        <w:t>е</w:t>
      </w:r>
      <w:r>
        <w:t>ни представления в 1998 году четвертого периодического доклада. Уровень з</w:t>
      </w:r>
      <w:r>
        <w:t>а</w:t>
      </w:r>
      <w:r>
        <w:t>нятости женщин (что означает процентную долю женщин по сравнению с чи</w:t>
      </w:r>
      <w:r>
        <w:t>с</w:t>
      </w:r>
      <w:r>
        <w:t>ленностью населения на оплачиваемой работе в возрасте от 15 до 65 лет) во</w:t>
      </w:r>
      <w:r>
        <w:t>з</w:t>
      </w:r>
      <w:r>
        <w:t>рос с 55,2 процента в 1997 году до 57,7 процента в 2000 году, после чего Ге</w:t>
      </w:r>
      <w:r>
        <w:t>р</w:t>
      </w:r>
      <w:r>
        <w:t>мания выполнила промежуточную цель достижения доли занятости среди женщин в 57 процентов к 2005 году, которая была поставлена на Европейской встрече на высшем уровне в Стокгольме. Учитывая темпы роста уровня зан</w:t>
      </w:r>
      <w:r>
        <w:t>я</w:t>
      </w:r>
      <w:r>
        <w:t>тости, достигнутые в последние годы, федеральное правительство убеждено, что оно может выполнить инструкцию Европейского совета, изданную в Ли</w:t>
      </w:r>
      <w:r>
        <w:t>с</w:t>
      </w:r>
      <w:r>
        <w:t>сабоне, о достижении уровня занятости среди женщин к 2010 году в 60 процентов.</w:t>
      </w:r>
    </w:p>
    <w:p w:rsidR="00000000" w:rsidRDefault="00000000">
      <w:pPr>
        <w:pStyle w:val="SingleTxt"/>
      </w:pPr>
      <w:r>
        <w:t>Рост уровня занятости женщин объясняется повышением осознания нео</w:t>
      </w:r>
      <w:r>
        <w:t>б</w:t>
      </w:r>
      <w:r>
        <w:t>ходимости трудоустройства, содействием занятости в течение неполного раб</w:t>
      </w:r>
      <w:r>
        <w:t>о</w:t>
      </w:r>
      <w:r>
        <w:t>чего дня и сокращением безработицы. С 1997 года доля занятости женщин (что означает процентную долю женщин по сравнению с числом женщин, занятых на оплачиваемой работе и не занятых на оплачиваемой работе в возрасте от 15 до 65 лет), которая составляла 62,8 процента, возросла в 2000 году до 64,0 процента. В тот же период доля женщин среди безработных упала с 12,2 процента до 10,0 процента. Такое позитивное развитие событий привело к созданию положения, когда доля женщин, занятых на оплачиваемой работе, возросла с 42,7 процента (1997 год) до 43,6 процента (2000 год).</w:t>
      </w:r>
    </w:p>
    <w:p w:rsidR="00000000" w:rsidRDefault="00000000">
      <w:pPr>
        <w:pStyle w:val="H4"/>
      </w:pPr>
      <w:bookmarkStart w:id="144" w:name="_Toc44113739"/>
      <w:bookmarkStart w:id="145" w:name="_Toc44114246"/>
      <w:bookmarkStart w:id="146" w:name="_Toc44115923"/>
      <w:r>
        <w:t>3.4.2</w:t>
      </w:r>
      <w:r>
        <w:tab/>
        <w:t>Уровень безработицы</w:t>
      </w:r>
      <w:bookmarkEnd w:id="144"/>
      <w:bookmarkEnd w:id="145"/>
      <w:bookmarkEnd w:id="146"/>
    </w:p>
    <w:p w:rsidR="00000000" w:rsidRDefault="00000000">
      <w:pPr>
        <w:pStyle w:val="SingleTxt"/>
      </w:pPr>
      <w:r>
        <w:t>Уровень безработицы среди женщин постоянно снижался с 1997 года. Удалось также уменьшить разрыв в уровне безработицы по гендерному факт</w:t>
      </w:r>
      <w:r>
        <w:t>о</w:t>
      </w:r>
      <w:r>
        <w:t>ру. Если уровень безработицы среди женщин сократился с 12,2 процента (1997 год) до 10,0 процента (2000 год), то уровень безработицы среди мужчин сокращался не столь быстрыми темпами, в частности с 10,8 процента (1997 год) до 9,2 процента (2000 год).</w:t>
      </w:r>
    </w:p>
    <w:p w:rsidR="00000000" w:rsidRDefault="00000000">
      <w:pPr>
        <w:pStyle w:val="SingleTxt"/>
      </w:pPr>
      <w:r>
        <w:t>В тот же период возросла степень зависимости женщин и мужчин от до</w:t>
      </w:r>
      <w:r>
        <w:t>л</w:t>
      </w:r>
      <w:r>
        <w:t>госрочной безработицы. Если процентная доля женщин, являющихся безрабо</w:t>
      </w:r>
      <w:r>
        <w:t>т</w:t>
      </w:r>
      <w:r>
        <w:t>ными в течение длительного периода времени, по сравнению с общей числе</w:t>
      </w:r>
      <w:r>
        <w:t>н</w:t>
      </w:r>
      <w:r>
        <w:t>ностью безработных возросла с 34,7 процента (1997 год) до 38,2 (2000 год), то доля являющихся безработными в течение длительного времени мужчин во</w:t>
      </w:r>
      <w:r>
        <w:t>з</w:t>
      </w:r>
      <w:r>
        <w:t>росла с 29,8 процента (1997 год) до 32,8 процента (2000 год). Это означает, что женщины затронуты долгосрочной безработицей более серьезно, нежели му</w:t>
      </w:r>
      <w:r>
        <w:t>ж</w:t>
      </w:r>
      <w:r>
        <w:t>чины.</w:t>
      </w:r>
    </w:p>
    <w:p w:rsidR="00000000" w:rsidRDefault="00000000">
      <w:pPr>
        <w:pStyle w:val="H4"/>
      </w:pPr>
      <w:bookmarkStart w:id="147" w:name="_Toc44113740"/>
      <w:bookmarkStart w:id="148" w:name="_Toc44114247"/>
      <w:bookmarkStart w:id="149" w:name="_Toc44115924"/>
      <w:r>
        <w:t>3.4.3</w:t>
      </w:r>
      <w:r>
        <w:tab/>
        <w:t>Сравнение старых и новых федеральных земель</w:t>
      </w:r>
      <w:bookmarkEnd w:id="147"/>
      <w:bookmarkEnd w:id="148"/>
      <w:bookmarkEnd w:id="149"/>
    </w:p>
    <w:p w:rsidR="00000000" w:rsidRDefault="00000000">
      <w:pPr>
        <w:pStyle w:val="SingleTxt"/>
      </w:pPr>
      <w:r>
        <w:t>В старых федеральных землях положение женщин на рынке труда хара</w:t>
      </w:r>
      <w:r>
        <w:t>к</w:t>
      </w:r>
      <w:r>
        <w:t>теризовалось в последние годы весьма позитивными изменениями. Женщины смогли столь же успешно, сколь и мужчины, воспользоваться улучшением эк</w:t>
      </w:r>
      <w:r>
        <w:t>о</w:t>
      </w:r>
      <w:r>
        <w:t>номического положения, и уровень безработицы упал с 10,7 процента (1997 год) до 7,9 процента (2001 год). Если численность женщин-безработных снизилась в тот период примерно на 180 тысяч человек, то численность же</w:t>
      </w:r>
      <w:r>
        <w:t>н</w:t>
      </w:r>
      <w:r>
        <w:t>щин, занятых на оплачиваемой работе, возросла на более чем 920 тысяч чел</w:t>
      </w:r>
      <w:r>
        <w:t>о</w:t>
      </w:r>
      <w:r>
        <w:t>век. Эти цифры четко демонстрируют, что в старых федеральных землях был успешно мобилизован дополнительный потенциал в отношении трудоустро</w:t>
      </w:r>
      <w:r>
        <w:t>й</w:t>
      </w:r>
      <w:r>
        <w:t>ства женщин. В новых федеральных землях уровень безработицы среди же</w:t>
      </w:r>
      <w:r>
        <w:t>н</w:t>
      </w:r>
      <w:r>
        <w:t>щин выше, чем среди мужчин, но со времени представления последнего н</w:t>
      </w:r>
      <w:r>
        <w:t>а</w:t>
      </w:r>
      <w:r>
        <w:t>ционального периодического доклада разрыв сократился. Если уровень безр</w:t>
      </w:r>
      <w:r>
        <w:t>а</w:t>
      </w:r>
      <w:r>
        <w:t>ботицы в 1997 году составлял 22,5 процента, то в 2000 году он снизился до 18,8 процента. Уровень безработицы среди мужчин составлял 16,6 процента в 1997 году и сократился до 15,9 процента в 2000 году. Однако снижение числа безработных женщин не привело к соответствующему увеличению численн</w:t>
      </w:r>
      <w:r>
        <w:t>о</w:t>
      </w:r>
      <w:r>
        <w:t>сти женщин, занятых на оплачиваемой работе. Очевидно, что ряд женщин, з</w:t>
      </w:r>
      <w:r>
        <w:t>а</w:t>
      </w:r>
      <w:r>
        <w:t>регистрированных в качестве безработных, в настоящее время ушли с рынка труда с учетом сложного положения на рынке труда в новых федеральных зе</w:t>
      </w:r>
      <w:r>
        <w:t>м</w:t>
      </w:r>
      <w:r>
        <w:t>лях. Такие изменения привели к созданию положения, когда уровень безраб</w:t>
      </w:r>
      <w:r>
        <w:t>о</w:t>
      </w:r>
      <w:r>
        <w:t>тицы среди женщин был ниже в новых федеральных землях в 2000 году (с</w:t>
      </w:r>
      <w:r>
        <w:t>о</w:t>
      </w:r>
      <w:r>
        <w:t>ставляя 57,6 процента), нежели в старых федеральных землях (57,7 процента), что отмечалось впервые после объединения Герм</w:t>
      </w:r>
      <w:r>
        <w:t>а</w:t>
      </w:r>
      <w:r>
        <w:t>нии.</w:t>
      </w:r>
    </w:p>
    <w:p w:rsidR="00000000" w:rsidRDefault="00000000">
      <w:pPr>
        <w:pStyle w:val="H4"/>
      </w:pPr>
      <w:bookmarkStart w:id="150" w:name="_Toc44113741"/>
      <w:bookmarkStart w:id="151" w:name="_Toc44114248"/>
      <w:bookmarkStart w:id="152" w:name="_Toc44115925"/>
      <w:r>
        <w:t>3.4.4</w:t>
      </w:r>
      <w:r>
        <w:tab/>
        <w:t>Занятость в течение неполного рабочего дня</w:t>
      </w:r>
      <w:bookmarkEnd w:id="150"/>
      <w:bookmarkEnd w:id="151"/>
      <w:bookmarkEnd w:id="152"/>
    </w:p>
    <w:p w:rsidR="00000000" w:rsidRDefault="00000000">
      <w:pPr>
        <w:pStyle w:val="SingleTxt"/>
      </w:pPr>
      <w:r>
        <w:t>Согласно представленной в 2001 году Федеральным статистическим управлением информации (микроперепись) 86,4 процента трудящихся, раб</w:t>
      </w:r>
      <w:r>
        <w:t>о</w:t>
      </w:r>
      <w:r>
        <w:t>тающих в течение неполного рабочего дня, составляли женщины. Процентная доля трудящихся, работающих в течение неполного рабочего дня, в сравнении с численностью всех женщин, работающих по контрактам, составляла порядка 30 процентов. По-прежнему существуют значительные различия в занятости на неполную ставку между старыми и новыми федеральными землями: если на западе доля женщин, работающих неполный рабочий день (доля женщин, раб</w:t>
      </w:r>
      <w:r>
        <w:t>о</w:t>
      </w:r>
      <w:r>
        <w:t>тающих неполный рабочий день, в сравнении с общей численностью женщин, работающих по контракту) составляла 43,1 процента, то на востоке она была гораздо ниже, составляя 24,4 процента. Различия между востоком и западом проявляются как на фоне общего экономического положения в обеих частях Германии, так и исторически, поскольку понятие занятости в течение полного рабочего дня относилось в бывшей ГДР почти исключительно к занятым на о</w:t>
      </w:r>
      <w:r>
        <w:t>п</w:t>
      </w:r>
      <w:r>
        <w:t>лачиваемой работе женщинам.</w:t>
      </w:r>
    </w:p>
    <w:p w:rsidR="00000000" w:rsidRDefault="00000000">
      <w:pPr>
        <w:pStyle w:val="H4"/>
      </w:pPr>
      <w:bookmarkStart w:id="153" w:name="_Toc44113742"/>
      <w:bookmarkStart w:id="154" w:name="_Toc44114249"/>
      <w:bookmarkStart w:id="155" w:name="_Toc44115926"/>
      <w:r>
        <w:t>3.4.5</w:t>
      </w:r>
      <w:r>
        <w:tab/>
        <w:t>Квалификация женщин и их профессиональный статус</w:t>
      </w:r>
      <w:bookmarkEnd w:id="153"/>
      <w:bookmarkEnd w:id="154"/>
      <w:bookmarkEnd w:id="155"/>
    </w:p>
    <w:p w:rsidR="00000000" w:rsidRDefault="00000000">
      <w:pPr>
        <w:pStyle w:val="SingleTxt"/>
      </w:pPr>
      <w:r>
        <w:t>По-прежнему существует разрыв между квалификацией женщин и их профессиональным статусом. Кроме того, работа по разному распределяется среди представителей различных полов. Пока еще не ликвидировано традиц</w:t>
      </w:r>
      <w:r>
        <w:t>и</w:t>
      </w:r>
      <w:r>
        <w:t>онное гендерное разделение труда, по которому работа в семье относилась к женщинам – помимо занятости на оплачиваемой работе, – а работа собственно на оплачиваемой работе – к мужчинам. Даже когда они обладают одинаковой с мужчинами квалификацией, женщины, занятые на оплачиваемой работе, зача</w:t>
      </w:r>
      <w:r>
        <w:t>с</w:t>
      </w:r>
      <w:r>
        <w:t>тую находятся в худшем положении в иерархиях компаний по сравнению с мужчинами. По-прежнему среди управленческих кадров слишком мало же</w:t>
      </w:r>
      <w:r>
        <w:t>н</w:t>
      </w:r>
      <w:r>
        <w:t>щин. В тоже время их слишком много среди тех, кто занимает более низкую, третью ступень иерархии.</w:t>
      </w:r>
    </w:p>
    <w:p w:rsidR="00000000" w:rsidRDefault="00000000">
      <w:pPr>
        <w:pStyle w:val="SingleTxt"/>
      </w:pPr>
      <w:r>
        <w:t>Хотя федеральное правительство не имеет возможности регулировать в</w:t>
      </w:r>
      <w:r>
        <w:t>о</w:t>
      </w:r>
      <w:r>
        <w:t>просы, касающиеся заработной платы, – этот вопрос решается партнерами по коллективным соглашениям – тем не менее оно поддерживает равную оплату женщин и мужчин путем ряда мер и положений и создания надлежащих рамо</w:t>
      </w:r>
      <w:r>
        <w:t>ч</w:t>
      </w:r>
      <w:r>
        <w:t>ных усл</w:t>
      </w:r>
      <w:r>
        <w:t>о</w:t>
      </w:r>
      <w:r>
        <w:t>вий в обществе и на рабочих местах.</w:t>
      </w:r>
    </w:p>
    <w:p w:rsidR="00000000" w:rsidRDefault="00000000">
      <w:pPr>
        <w:pStyle w:val="SingleTxt"/>
      </w:pPr>
      <w:r>
        <w:t>Поддержка оказывается «Союзом за рабочие места и профессиональную подготовку», который представляет собой форум для обсуждения на самом в</w:t>
      </w:r>
      <w:r>
        <w:t>ы</w:t>
      </w:r>
      <w:r>
        <w:t>соком уровне федерального правительства, ассоциаций работодателей и про</w:t>
      </w:r>
      <w:r>
        <w:t>ф</w:t>
      </w:r>
      <w:r>
        <w:t>союзов, взявших на себя обязательство предоставлять равные возможности для женщин и содействовать занятости женщин на оплачиваемой работе в качестве касающихся всех секторов деятельности целей во всех предпринимаемых Со</w:t>
      </w:r>
      <w:r>
        <w:t>ю</w:t>
      </w:r>
      <w:r>
        <w:t>зом инициативах.</w:t>
      </w:r>
    </w:p>
    <w:p w:rsidR="00000000" w:rsidRDefault="00000000">
      <w:pPr>
        <w:pStyle w:val="SingleTxt"/>
      </w:pPr>
      <w:r>
        <w:t>Для более эффективного анализа причин и для получения возможности осуществить намеченные меры федеральное правительство представило фед</w:t>
      </w:r>
      <w:r>
        <w:t>е</w:t>
      </w:r>
      <w:r>
        <w:t>ральному парламенту Германии в апреле 2002 года всеобъемлющий доклад о положении женщин и мужчин с учетом их профессии и дохода (см. пункт 3.4.12 ниже).</w:t>
      </w:r>
    </w:p>
    <w:p w:rsidR="00000000" w:rsidRDefault="00000000">
      <w:pPr>
        <w:pStyle w:val="H4"/>
      </w:pPr>
      <w:bookmarkStart w:id="156" w:name="_Toc44113743"/>
      <w:bookmarkStart w:id="157" w:name="_Toc44114250"/>
      <w:bookmarkStart w:id="158" w:name="_Toc44115927"/>
      <w:r>
        <w:t>3.4.6</w:t>
      </w:r>
      <w:r>
        <w:tab/>
        <w:t>Содействие трудовой занятости</w:t>
      </w:r>
      <w:bookmarkEnd w:id="156"/>
      <w:bookmarkEnd w:id="157"/>
      <w:bookmarkEnd w:id="158"/>
    </w:p>
    <w:p w:rsidR="00000000" w:rsidRDefault="00000000">
      <w:pPr>
        <w:pStyle w:val="SingleTxt"/>
      </w:pPr>
      <w:r>
        <w:t>Содействие занятости является одним из главных направлений борьбы со сложным положением на рынке труда в новых федеральных землях. Оно пом</w:t>
      </w:r>
      <w:r>
        <w:t>о</w:t>
      </w:r>
      <w:r>
        <w:t>гает решать вопросы не только продолжающегося сокращения числа рабочих мест в некоторых секторах экономики, но и помогает компаниям иметь в своем распоряжении после экономической перестройки подготовленный и оптимал</w:t>
      </w:r>
      <w:r>
        <w:t>ь</w:t>
      </w:r>
      <w:r>
        <w:t>но квалифицированный персонал. В 2000 году почти 45 процентов расходов на активное содействие занятости приходилось на новые федеральные земли. В новых федеральных землях доля женщин в числе лиц, которым было оказано содействие благодаря политическим инструментам на рынке труда, составляла 54,1 процента. Эта цифра превышает показатели, предусмотренные в Законе о содействии занятости, по которому оказание содействия женщинам должно производиться в соответствии с их процентной долей среди безработных (51,8 процента). Кроме того, в старых федеральных землях доля женщин среди всех тех лиц, кому была оказана поддержка, составляла 45,7 процента, что пр</w:t>
      </w:r>
      <w:r>
        <w:t>е</w:t>
      </w:r>
      <w:r>
        <w:t>вышало их долю среди безработных (44,7 процента).</w:t>
      </w:r>
    </w:p>
    <w:p w:rsidR="00000000" w:rsidRDefault="00000000">
      <w:pPr>
        <w:pStyle w:val="H4"/>
      </w:pPr>
      <w:bookmarkStart w:id="159" w:name="_Toc44113744"/>
      <w:bookmarkStart w:id="160" w:name="_Toc44114251"/>
      <w:bookmarkStart w:id="161" w:name="_Toc44115928"/>
      <w:r>
        <w:t>3.4.7</w:t>
      </w:r>
      <w:r>
        <w:tab/>
        <w:t xml:space="preserve">Поправки к Закону о содействии занятости – реформа Тома </w:t>
      </w:r>
      <w:r>
        <w:rPr>
          <w:lang w:val="en-US"/>
        </w:rPr>
        <w:t>III</w:t>
      </w:r>
      <w:r>
        <w:t xml:space="preserve"> Социального кодекса (</w:t>
      </w:r>
      <w:r>
        <w:rPr>
          <w:lang w:val="en-US"/>
        </w:rPr>
        <w:t>SGB</w:t>
      </w:r>
      <w:r>
        <w:t xml:space="preserve"> </w:t>
      </w:r>
      <w:r>
        <w:rPr>
          <w:lang w:val="en-US"/>
        </w:rPr>
        <w:t>III</w:t>
      </w:r>
      <w:r>
        <w:t xml:space="preserve">) и Закон о труде </w:t>
      </w:r>
      <w:r>
        <w:rPr>
          <w:lang w:val="en-US"/>
        </w:rPr>
        <w:t>AQTIV</w:t>
      </w:r>
      <w:bookmarkEnd w:id="159"/>
      <w:bookmarkEnd w:id="160"/>
      <w:bookmarkEnd w:id="161"/>
    </w:p>
    <w:p w:rsidR="00000000" w:rsidRDefault="00000000">
      <w:pPr>
        <w:pStyle w:val="SingleTxt"/>
      </w:pPr>
      <w:r>
        <w:t xml:space="preserve">Приняв второй Закон с поправками к Тому </w:t>
      </w:r>
      <w:r>
        <w:rPr>
          <w:lang w:val="en-US"/>
        </w:rPr>
        <w:t>III</w:t>
      </w:r>
      <w:r>
        <w:t xml:space="preserve"> Социального кодекса, кот</w:t>
      </w:r>
      <w:r>
        <w:t>о</w:t>
      </w:r>
      <w:r>
        <w:t>рый вступил в силу 1 августа 1999 года, федеральное правительство произвело несколько усовершенствований в Законе о содействии занятости, которые к</w:t>
      </w:r>
      <w:r>
        <w:t>а</w:t>
      </w:r>
      <w:r>
        <w:t>саются женщин. После введения поправок в отношении категории женщин и мужчин, возвращающихся на работу, он стал распространяться и на лиц, кот</w:t>
      </w:r>
      <w:r>
        <w:t>о</w:t>
      </w:r>
      <w:r>
        <w:t>рые прервали свою работу или профессиональное обучение в компании для воспитания детей или ухода за нуждающимися в этом детьми или членами с</w:t>
      </w:r>
      <w:r>
        <w:t>е</w:t>
      </w:r>
      <w:r>
        <w:t>мьи, нуждающимися в уходе в течение длительного периода времени. Поскол</w:t>
      </w:r>
      <w:r>
        <w:t>ь</w:t>
      </w:r>
      <w:r>
        <w:t>ку для возвращающихся на работу женщин применяются более мягкие предв</w:t>
      </w:r>
      <w:r>
        <w:t>а</w:t>
      </w:r>
      <w:r>
        <w:t>рительные условия в отношении содействия занятости, если говорить о мех</w:t>
      </w:r>
      <w:r>
        <w:t>а</w:t>
      </w:r>
      <w:r>
        <w:t xml:space="preserve">низмах, предусмотренных в Томе </w:t>
      </w:r>
      <w:r>
        <w:rPr>
          <w:lang w:val="en-US"/>
        </w:rPr>
        <w:t>III</w:t>
      </w:r>
      <w:r>
        <w:t xml:space="preserve"> Социального кодекса, значительно улу</w:t>
      </w:r>
      <w:r>
        <w:t>ч</w:t>
      </w:r>
      <w:r>
        <w:t xml:space="preserve">шился благодаря этому положению доступ женщин на рынок труда. </w:t>
      </w:r>
    </w:p>
    <w:p w:rsidR="00000000" w:rsidRDefault="00000000">
      <w:pPr>
        <w:pStyle w:val="SingleTxt"/>
      </w:pPr>
      <w:r>
        <w:t xml:space="preserve">Дополнительные поправки, касающиеся политики в отношении женщин, закреплены в Законе о труде </w:t>
      </w:r>
      <w:r>
        <w:rPr>
          <w:lang w:val="en-US"/>
        </w:rPr>
        <w:t>AQTIV</w:t>
      </w:r>
      <w:r>
        <w:t xml:space="preserve"> (</w:t>
      </w:r>
      <w:r>
        <w:rPr>
          <w:lang w:val="en-US"/>
        </w:rPr>
        <w:t>Job</w:t>
      </w:r>
      <w:r>
        <w:t>-</w:t>
      </w:r>
      <w:r>
        <w:rPr>
          <w:lang w:val="en-US"/>
        </w:rPr>
        <w:t>AQTIV</w:t>
      </w:r>
      <w:r>
        <w:t>-</w:t>
      </w:r>
      <w:r>
        <w:rPr>
          <w:lang w:val="en-US"/>
        </w:rPr>
        <w:t>Gesetz</w:t>
      </w:r>
      <w:r>
        <w:t xml:space="preserve">), который вступил в силу 1 января 2002 года. На немецком языке буквы аббревиатуры </w:t>
      </w:r>
      <w:r>
        <w:rPr>
          <w:lang w:val="en-US"/>
        </w:rPr>
        <w:t>AQTIV</w:t>
      </w:r>
      <w:r>
        <w:t xml:space="preserve"> озн</w:t>
      </w:r>
      <w:r>
        <w:t>а</w:t>
      </w:r>
      <w:r>
        <w:t xml:space="preserve">чают следующее: А – активация, </w:t>
      </w:r>
      <w:r>
        <w:rPr>
          <w:lang w:val="en-US"/>
        </w:rPr>
        <w:t>Q</w:t>
      </w:r>
      <w:r>
        <w:t xml:space="preserve"> – квалификация, Т – обучение, </w:t>
      </w:r>
      <w:r>
        <w:rPr>
          <w:lang w:val="en-US"/>
        </w:rPr>
        <w:t>I</w:t>
      </w:r>
      <w:r>
        <w:t> – инвест</w:t>
      </w:r>
      <w:r>
        <w:t>и</w:t>
      </w:r>
      <w:r>
        <w:t>рование и С – коммуникации. Одна из целей Закона заключается в содействии обеспечению равенства женщин и мужчин на рынке труда. В Законе о содейс</w:t>
      </w:r>
      <w:r>
        <w:t>т</w:t>
      </w:r>
      <w:r>
        <w:t>вии занятости равенство женщин и мужчин закреплено в качестве охватыва</w:t>
      </w:r>
      <w:r>
        <w:t>ю</w:t>
      </w:r>
      <w:r>
        <w:t>щей все сектора цели. Кроме того, с 1 января 2002 года при учете содействия занятости женщин с использованием инструментов активной политики на ры</w:t>
      </w:r>
      <w:r>
        <w:t>н</w:t>
      </w:r>
      <w:r>
        <w:t>ке труда следует учитывать различия в доле безработных по гендерному факт</w:t>
      </w:r>
      <w:r>
        <w:t>о</w:t>
      </w:r>
      <w:r>
        <w:t xml:space="preserve">ру. Кроме того, Закон о труде </w:t>
      </w:r>
      <w:r>
        <w:rPr>
          <w:lang w:val="en-US"/>
        </w:rPr>
        <w:t>AQTIV</w:t>
      </w:r>
      <w:r>
        <w:t xml:space="preserve"> предназначен для содействия сбалансир</w:t>
      </w:r>
      <w:r>
        <w:t>о</w:t>
      </w:r>
      <w:r>
        <w:t>ванности между семьей и работой. Этой цели служит увеличение объема во</w:t>
      </w:r>
      <w:r>
        <w:t>з</w:t>
      </w:r>
      <w:r>
        <w:t>мещения расходов по уходу за детьми до 130 евро на ребенка в месяц, если безработные участвуют в мероприятиях по получению базовой професси</w:t>
      </w:r>
      <w:r>
        <w:t>о</w:t>
      </w:r>
      <w:r>
        <w:t xml:space="preserve">нальной подготовки и повышению квалификации или обучении. Кроме того, по Закону о труде </w:t>
      </w:r>
      <w:r>
        <w:rPr>
          <w:lang w:val="en-US"/>
        </w:rPr>
        <w:t>AQTIV</w:t>
      </w:r>
      <w:r>
        <w:t>, начиная с 2003 года увеличивается социальное обесп</w:t>
      </w:r>
      <w:r>
        <w:t>е</w:t>
      </w:r>
      <w:r>
        <w:t>чение при получении пособия при беременности, родам и уходу за ребенком (как правило, это период в течение шести недель до и восьми недель после р</w:t>
      </w:r>
      <w:r>
        <w:t>о</w:t>
      </w:r>
      <w:r>
        <w:t>дов), а период воспитания ребенка до трехлетнего возраста включен в обяз</w:t>
      </w:r>
      <w:r>
        <w:t>а</w:t>
      </w:r>
      <w:r>
        <w:t>тельство, обеспечиваемое страхованием в Федеральной службе занятости. Это обусловливается обязательством, подлежащим страхованию в Федеральной службе занятости, которое существовало до получения пособия по беременн</w:t>
      </w:r>
      <w:r>
        <w:t>о</w:t>
      </w:r>
      <w:r>
        <w:t>сти, родам и уходу за ребенком или до начала воспитания детей, или ситуац</w:t>
      </w:r>
      <w:r>
        <w:t>и</w:t>
      </w:r>
      <w:r>
        <w:t>ей, когда прекращались выплаты пособий по безработице или вспомоществ</w:t>
      </w:r>
      <w:r>
        <w:t>о</w:t>
      </w:r>
      <w:r>
        <w:t>ваний в связи с безработицей. Взносы для такого улучшения социального обе</w:t>
      </w:r>
      <w:r>
        <w:t>с</w:t>
      </w:r>
      <w:r>
        <w:t>печения производятся из фондов Федерации и медицинского страхования.</w:t>
      </w:r>
    </w:p>
    <w:p w:rsidR="00000000" w:rsidRDefault="00000000">
      <w:pPr>
        <w:pStyle w:val="H4"/>
      </w:pPr>
      <w:bookmarkStart w:id="162" w:name="_Toc44113745"/>
      <w:bookmarkStart w:id="163" w:name="_Toc44114252"/>
      <w:bookmarkStart w:id="164" w:name="_Toc44115929"/>
      <w:r>
        <w:t>3.4.8</w:t>
      </w:r>
      <w:r>
        <w:tab/>
        <w:t>Другие поправки юридического характера</w:t>
      </w:r>
      <w:bookmarkEnd w:id="162"/>
      <w:bookmarkEnd w:id="163"/>
      <w:bookmarkEnd w:id="164"/>
    </w:p>
    <w:p w:rsidR="00000000" w:rsidRDefault="00000000">
      <w:pPr>
        <w:pStyle w:val="SingleTxt"/>
      </w:pPr>
      <w:r>
        <w:t>В качестве примера следует остановиться на трех инициативах юридич</w:t>
      </w:r>
      <w:r>
        <w:t>е</w:t>
      </w:r>
      <w:r>
        <w:t>ского характера, которые способствуют обеспечению равенства между женщ</w:t>
      </w:r>
      <w:r>
        <w:t>и</w:t>
      </w:r>
      <w:r>
        <w:t>нами и мужчинами и направлены на содействие сбалансированности семейных и трудовых отнош</w:t>
      </w:r>
      <w:r>
        <w:t>е</w:t>
      </w:r>
      <w:r>
        <w:t>ний:</w:t>
      </w:r>
    </w:p>
    <w:p w:rsidR="00000000" w:rsidRDefault="00000000">
      <w:pPr>
        <w:pStyle w:val="dot"/>
      </w:pPr>
      <w:r>
        <w:tab/>
      </w:r>
      <w:r>
        <w:tab/>
        <w:t>•</w:t>
      </w:r>
      <w:r>
        <w:tab/>
        <w:t>Закон о равных возможностях женщин и мужчин в федеральной админ</w:t>
      </w:r>
      <w:r>
        <w:t>и</w:t>
      </w:r>
      <w:r>
        <w:t>страции и в судах Федерации, который вступил в силу 5 декабря 2001 года, заменил Закон Федерации об улучшении положения женщин (подробно описа</w:t>
      </w:r>
      <w:r>
        <w:t>н</w:t>
      </w:r>
      <w:r>
        <w:t xml:space="preserve">ный в главе 2.5 раздела </w:t>
      </w:r>
      <w:r>
        <w:rPr>
          <w:lang w:val="en-US"/>
        </w:rPr>
        <w:t>I</w:t>
      </w:r>
      <w:r>
        <w:t>).</w:t>
      </w:r>
    </w:p>
    <w:p w:rsidR="00000000" w:rsidRDefault="00000000">
      <w:pPr>
        <w:pStyle w:val="dot"/>
      </w:pPr>
      <w:r>
        <w:tab/>
      </w:r>
      <w:r>
        <w:tab/>
        <w:t>•</w:t>
      </w:r>
      <w:r>
        <w:tab/>
        <w:t>благодаря реформе Федерального закона о пособиях на воспитание детей (Bundeserziehungsgeldgezetz), которая вступила в силу 1 января 2001 года, улучшилась основа для обеспечения сбалансированности между занят</w:t>
      </w:r>
      <w:r>
        <w:t>о</w:t>
      </w:r>
      <w:r>
        <w:t>стью на оплачиваемой работе и семьей как в отношении матерей, так и отцов (этот вопрос рассматривается в подпун</w:t>
      </w:r>
      <w:r>
        <w:t>к</w:t>
      </w:r>
      <w:r>
        <w:t>те 11.5.1 раздела II), и</w:t>
      </w:r>
    </w:p>
    <w:p w:rsidR="00000000" w:rsidRDefault="00000000">
      <w:pPr>
        <w:pStyle w:val="dot"/>
      </w:pPr>
      <w:r>
        <w:tab/>
      </w:r>
      <w:r>
        <w:tab/>
        <w:t>•</w:t>
      </w:r>
      <w:r>
        <w:tab/>
        <w:t>в Законе о частичной занятости и трудоустройстве по срочным контра</w:t>
      </w:r>
      <w:r>
        <w:t>к</w:t>
      </w:r>
      <w:r>
        <w:t>там, который вступил в силу с 1 января 2001 года, впервые предусматр</w:t>
      </w:r>
      <w:r>
        <w:t>и</w:t>
      </w:r>
      <w:r>
        <w:t>вается общее юридическое право на работу в течение неполного рабочего дня в частном секторе (см. подробности в подпунктах 5.1; 11.5.1; 13.3 раздела II).</w:t>
      </w:r>
    </w:p>
    <w:p w:rsidR="00000000" w:rsidRDefault="00000000">
      <w:pPr>
        <w:pStyle w:val="H4"/>
      </w:pPr>
      <w:bookmarkStart w:id="165" w:name="_Toc44113746"/>
      <w:bookmarkStart w:id="166" w:name="_Toc44114253"/>
      <w:bookmarkStart w:id="167" w:name="_Toc44115930"/>
      <w:r>
        <w:t>3.4.9</w:t>
      </w:r>
      <w:r>
        <w:tab/>
        <w:t>Незначительная занятость</w:t>
      </w:r>
      <w:bookmarkEnd w:id="165"/>
      <w:bookmarkEnd w:id="166"/>
      <w:bookmarkEnd w:id="167"/>
    </w:p>
    <w:p w:rsidR="00000000" w:rsidRDefault="00000000">
      <w:pPr>
        <w:pStyle w:val="SingleTxt"/>
      </w:pPr>
      <w:r>
        <w:t>На всей территории Германии с 1 января 2002 года в отношении незнач</w:t>
      </w:r>
      <w:r>
        <w:t>и</w:t>
      </w:r>
      <w:r>
        <w:t>тельной занятости применяется стандартный предел заработной платы в разм</w:t>
      </w:r>
      <w:r>
        <w:t>е</w:t>
      </w:r>
      <w:r>
        <w:t>ре 325 евро в месяц. При такой занятости работодатель обязан выплачивать фиксированную ставку в размере 12 процентов от заработной платы в пенс</w:t>
      </w:r>
      <w:r>
        <w:t>и</w:t>
      </w:r>
      <w:r>
        <w:t>онный фонд и в размере 10 процентов — в фонд медицинского страхования. Обеспеченные незначительной занятостью могут добавлять фиксированную ставку работодателя к сумме пенсии (12 процентов) для выплаты полного взн</w:t>
      </w:r>
      <w:r>
        <w:t>о</w:t>
      </w:r>
      <w:r>
        <w:t>са. Если общая сумма других доходов за календарный год не превышает порога в отношении незначительной занятости, то заработная плата работающих не облагается налогом. Занятость считается «незначительной занятостью», если заработная плата в месяц не превышает сумму в 325 евро, а ее продолжител</w:t>
      </w:r>
      <w:r>
        <w:t>ь</w:t>
      </w:r>
      <w:r>
        <w:t>ность не превышает 15 часов в неделю. Это может быть как дополнительная, так и единственная занятость. В зависимости от страхования и незначительной дополнительной занятости производится добавление к основной занятости. Кроме того, охватывается краткосрочная занятость в течение максимум двух месяцев или 50 рабочих дней. Вышеупомянутые социальные преимущества имеют особое значение для женщин.</w:t>
      </w:r>
    </w:p>
    <w:p w:rsidR="00000000" w:rsidRDefault="00000000">
      <w:pPr>
        <w:pStyle w:val="H4"/>
        <w:tabs>
          <w:tab w:val="clear" w:pos="1741"/>
          <w:tab w:val="left" w:pos="1843"/>
        </w:tabs>
        <w:ind w:left="1843" w:hanging="579"/>
      </w:pPr>
      <w:bookmarkStart w:id="168" w:name="_Toc44113747"/>
      <w:bookmarkStart w:id="169" w:name="_Toc44114254"/>
      <w:bookmarkStart w:id="170" w:name="_Toc44115931"/>
      <w:r>
        <w:t>3.4.10</w:t>
      </w:r>
      <w:r>
        <w:tab/>
        <w:t>Соглашение о содействии обеспечению равных возможностей для женщин и мужчин в частном секторе</w:t>
      </w:r>
      <w:bookmarkEnd w:id="168"/>
      <w:bookmarkEnd w:id="169"/>
      <w:bookmarkEnd w:id="170"/>
    </w:p>
    <w:p w:rsidR="00000000" w:rsidRDefault="00000000">
      <w:pPr>
        <w:pStyle w:val="SingleTxt"/>
      </w:pPr>
      <w:r>
        <w:t>Федеральное правительство и национальные ассоциации промышленн</w:t>
      </w:r>
      <w:r>
        <w:t>о</w:t>
      </w:r>
      <w:r>
        <w:t>сти Германии также предприняли важный шаг по обеспечению равенства ме</w:t>
      </w:r>
      <w:r>
        <w:t>ж</w:t>
      </w:r>
      <w:r>
        <w:t>ду женщинами и мужчинами в промышленности 2 июля 2001 года, подписав «Соглашение о содействии обеспечению равных возможностей для женщин и мужчин в частном секторе». Национальные ассоциации промышленности Ге</w:t>
      </w:r>
      <w:r>
        <w:t>р</w:t>
      </w:r>
      <w:r>
        <w:t>мании достигли также согласия рекомендовать своим членам целый ряд мер для принятия в компаниях с целью улучшения положения в отношении равных возможностей женщин и мужчин, а также с целью улучшения атмосферы в семьях.</w:t>
      </w:r>
    </w:p>
    <w:p w:rsidR="00000000" w:rsidRDefault="00000000">
      <w:pPr>
        <w:pStyle w:val="SingleTxt"/>
      </w:pPr>
      <w:r>
        <w:t>В зависимости от соответствующих обстоятельств на местах целесоо</w:t>
      </w:r>
      <w:r>
        <w:t>б</w:t>
      </w:r>
      <w:r>
        <w:t>разные меры, принима</w:t>
      </w:r>
      <w:r>
        <w:t>е</w:t>
      </w:r>
      <w:r>
        <w:t>мые внутри компаний, могут, в частности, включать:</w:t>
      </w:r>
    </w:p>
    <w:p w:rsidR="00000000" w:rsidRDefault="00000000">
      <w:pPr>
        <w:pStyle w:val="dot"/>
      </w:pPr>
      <w:r>
        <w:tab/>
      </w:r>
      <w:r>
        <w:tab/>
        <w:t>•</w:t>
      </w:r>
      <w:r>
        <w:tab/>
        <w:t>закрепление равных возможностей и создание благоприятной атмосферы в семье в корпор</w:t>
      </w:r>
      <w:r>
        <w:t>а</w:t>
      </w:r>
      <w:r>
        <w:t>тивной концепции;</w:t>
      </w:r>
    </w:p>
    <w:p w:rsidR="00000000" w:rsidRDefault="00000000">
      <w:pPr>
        <w:pStyle w:val="dot"/>
      </w:pPr>
      <w:r>
        <w:tab/>
      </w:r>
      <w:r>
        <w:tab/>
        <w:t>•</w:t>
      </w:r>
      <w:r>
        <w:tab/>
        <w:t>увеличение доли женщин на управленческих должностях;</w:t>
      </w:r>
    </w:p>
    <w:p w:rsidR="00000000" w:rsidRDefault="00000000">
      <w:pPr>
        <w:pStyle w:val="dot"/>
      </w:pPr>
      <w:r>
        <w:tab/>
      </w:r>
      <w:r>
        <w:tab/>
        <w:t>•</w:t>
      </w:r>
      <w:r>
        <w:tab/>
        <w:t>подготовка предложений для привлечения большего числа молодых же</w:t>
      </w:r>
      <w:r>
        <w:t>н</w:t>
      </w:r>
      <w:r>
        <w:t>щин к обучению с ориентацией на будущее и иного рода обуч</w:t>
      </w:r>
      <w:r>
        <w:t>е</w:t>
      </w:r>
      <w:r>
        <w:t>нию;</w:t>
      </w:r>
    </w:p>
    <w:p w:rsidR="00000000" w:rsidRDefault="00000000">
      <w:pPr>
        <w:pStyle w:val="dot"/>
      </w:pPr>
      <w:r>
        <w:tab/>
      </w:r>
      <w:r>
        <w:tab/>
        <w:t>•</w:t>
      </w:r>
      <w:r>
        <w:tab/>
        <w:t>улучшение сбалансированности семейных и трудовых отношений в инт</w:t>
      </w:r>
      <w:r>
        <w:t>е</w:t>
      </w:r>
      <w:r>
        <w:t>ресах матерей и о</w:t>
      </w:r>
      <w:r>
        <w:t>т</w:t>
      </w:r>
      <w:r>
        <w:t>цов; и</w:t>
      </w:r>
    </w:p>
    <w:p w:rsidR="00000000" w:rsidRDefault="00000000">
      <w:pPr>
        <w:pStyle w:val="dot"/>
      </w:pPr>
      <w:r>
        <w:tab/>
      </w:r>
      <w:r>
        <w:tab/>
        <w:t>•</w:t>
      </w:r>
      <w:r>
        <w:tab/>
        <w:t>формулировка и документальное оформление имеющих обязательный х</w:t>
      </w:r>
      <w:r>
        <w:t>а</w:t>
      </w:r>
      <w:r>
        <w:t>рактер целей для реализации концепции равных возможностей и создания благоприятной атмосферы в семьях в компаниях; к достижению этих ц</w:t>
      </w:r>
      <w:r>
        <w:t>е</w:t>
      </w:r>
      <w:r>
        <w:t>лей нео</w:t>
      </w:r>
      <w:r>
        <w:t>б</w:t>
      </w:r>
      <w:r>
        <w:t>ходимо привлекать трудящихся.</w:t>
      </w:r>
    </w:p>
    <w:p w:rsidR="00000000" w:rsidRDefault="00000000">
      <w:pPr>
        <w:pStyle w:val="SingleTxt"/>
      </w:pPr>
      <w:r>
        <w:t>Эта современная концепция равенства женщин и мужчин в частном се</w:t>
      </w:r>
      <w:r>
        <w:t>к</w:t>
      </w:r>
      <w:r>
        <w:t>торе зависит от инициативы предприятий. Поддержка ее осуществлению ок</w:t>
      </w:r>
      <w:r>
        <w:t>а</w:t>
      </w:r>
      <w:r>
        <w:t>зывается группой старших должностных лиц, представляющих как политич</w:t>
      </w:r>
      <w:r>
        <w:t>е</w:t>
      </w:r>
      <w:r>
        <w:t>ские круги, так и национальные ассоциации. Первый обзор успехов в ее ос</w:t>
      </w:r>
      <w:r>
        <w:t>у</w:t>
      </w:r>
      <w:r>
        <w:t>ществлении будет проведен в 2003 году, а затем будет проводиться через ка</w:t>
      </w:r>
      <w:r>
        <w:t>ж</w:t>
      </w:r>
      <w:r>
        <w:t>дые два года. Первый вклад в реализацию этой концепции был сделан Инст</w:t>
      </w:r>
      <w:r>
        <w:t>и</w:t>
      </w:r>
      <w:r>
        <w:t>тутом по исследованию в области занятости (IAB) Федеральной службы зан</w:t>
      </w:r>
      <w:r>
        <w:t>я</w:t>
      </w:r>
      <w:r>
        <w:t>тости, который подготовил публикацию «Возможности рынка труда для же</w:t>
      </w:r>
      <w:r>
        <w:t>н</w:t>
      </w:r>
      <w:r>
        <w:t>щин».</w:t>
      </w:r>
    </w:p>
    <w:p w:rsidR="00000000" w:rsidRDefault="00000000">
      <w:pPr>
        <w:pStyle w:val="H4"/>
      </w:pPr>
      <w:bookmarkStart w:id="171" w:name="_Toc44113748"/>
      <w:bookmarkStart w:id="172" w:name="_Toc44114255"/>
      <w:bookmarkStart w:id="173" w:name="_Toc44115932"/>
      <w:r>
        <w:t>3.4.11 Программа «Женщины и труд»</w:t>
      </w:r>
      <w:bookmarkEnd w:id="171"/>
      <w:bookmarkEnd w:id="172"/>
      <w:bookmarkEnd w:id="173"/>
    </w:p>
    <w:p w:rsidR="00000000" w:rsidRDefault="00000000">
      <w:pPr>
        <w:pStyle w:val="SingleTxt"/>
      </w:pPr>
      <w:r>
        <w:t>На основе резолюции, принятой федеральным кабинетом министров 23 июня 1999 года, для быстрой реализации концепции равных возможностей для работающих женщин и мужчин федеральное правительство начало осущ</w:t>
      </w:r>
      <w:r>
        <w:t>е</w:t>
      </w:r>
      <w:r>
        <w:t>ствление программы «Женщины и труд». Программа «Женщины и работа» — это не некая разовая программа с фиксированными сроками, а текущая де</w:t>
      </w:r>
      <w:r>
        <w:t>я</w:t>
      </w:r>
      <w:r>
        <w:t>тельность, которая регулярно оценивается и продолжается. Главная цель этой программы — планомерное включение политики обеспечения равных прав во все стратегические и тематические области деятельности федерального прав</w:t>
      </w:r>
      <w:r>
        <w:t>и</w:t>
      </w:r>
      <w:r>
        <w:t>тельства в рамках концепции «актуализации гендерной проблематики». (Пр</w:t>
      </w:r>
      <w:r>
        <w:t>о</w:t>
      </w:r>
      <w:r>
        <w:t>грамма «Женщины и труд» подробно описана в разделе II доклада в подпункте 11.5.1.)</w:t>
      </w:r>
    </w:p>
    <w:p w:rsidR="00000000" w:rsidRDefault="00000000">
      <w:pPr>
        <w:pStyle w:val="H4"/>
      </w:pPr>
      <w:bookmarkStart w:id="174" w:name="_Toc44113749"/>
      <w:bookmarkStart w:id="175" w:name="_Toc44114256"/>
      <w:bookmarkStart w:id="176" w:name="_Toc44115933"/>
      <w:r>
        <w:t>3.4.12 Доклад о равной оплате</w:t>
      </w:r>
      <w:bookmarkEnd w:id="174"/>
      <w:bookmarkEnd w:id="175"/>
      <w:bookmarkEnd w:id="176"/>
    </w:p>
    <w:p w:rsidR="00000000" w:rsidRDefault="00000000">
      <w:pPr>
        <w:pStyle w:val="SingleTxt"/>
      </w:pPr>
      <w:r>
        <w:t>Хотя принцип равной оплаты, безусловно, закреплен в законодательстве Германии, в области оплаты труда женщин и мужчин по-прежнему существуют случаи неравного отношения. В среднем женщины зарабатывают 75,8 процента от совокупной заработной платы мужчин. В Восточной Германии эта цифра с</w:t>
      </w:r>
      <w:r>
        <w:t>о</w:t>
      </w:r>
      <w:r>
        <w:t>ставляет почти 94 процента. Благодаря позиции в области права, которая в н</w:t>
      </w:r>
      <w:r>
        <w:t>а</w:t>
      </w:r>
      <w:r>
        <w:t>стоящее время четко определилась, практически не существует прямой ди</w:t>
      </w:r>
      <w:r>
        <w:t>с</w:t>
      </w:r>
      <w:r>
        <w:t>криминации в отношении женщин в области заработной платы, но существует много случаев, которые зачастую тщательно скрываются и, соответственно, их трудно доказать.</w:t>
      </w:r>
    </w:p>
    <w:p w:rsidR="00000000" w:rsidRDefault="00000000">
      <w:pPr>
        <w:pStyle w:val="SingleTxt"/>
      </w:pPr>
      <w:r>
        <w:t>Учитывая автономность партнеров по коллективным соглашениям, фед</w:t>
      </w:r>
      <w:r>
        <w:t>е</w:t>
      </w:r>
      <w:r>
        <w:t>ральное правительство не несет прямой ответственности за регулирование в</w:t>
      </w:r>
      <w:r>
        <w:t>о</w:t>
      </w:r>
      <w:r>
        <w:t>просов, касающихся заработной платы. Тем не менее оно взяло на себя заботу по внесению посильного вклада в сокращение масштабов неравенства между мужчинами и женщинами в отношении заработной платы и представило вс</w:t>
      </w:r>
      <w:r>
        <w:t>е</w:t>
      </w:r>
      <w:r>
        <w:t>объемлющий доклад о положении женщин в области труда и заработной платы в рамках программы «Женщины и труд». Для подготовки данного доклада пр</w:t>
      </w:r>
      <w:r>
        <w:t>и</w:t>
      </w:r>
      <w:r>
        <w:t>влекалась группа научных эк</w:t>
      </w:r>
      <w:r>
        <w:t>с</w:t>
      </w:r>
      <w:r>
        <w:t>пертов.</w:t>
      </w:r>
    </w:p>
    <w:p w:rsidR="00000000" w:rsidRDefault="00000000">
      <w:pPr>
        <w:pStyle w:val="SingleTxt"/>
      </w:pPr>
      <w:r>
        <w:t>В докладе приводится информация о тенденциях в положении женщин и мужчин в области труда и доходов и анализируются причины этого. В нем пр</w:t>
      </w:r>
      <w:r>
        <w:t>и</w:t>
      </w:r>
      <w:r>
        <w:t>водится описание распределения рабочих мест и мест, где производится пр</w:t>
      </w:r>
      <w:r>
        <w:t>о</w:t>
      </w:r>
      <w:r>
        <w:t>фессиональная подготовка, с учетом гендерного фактора, возможностей в о</w:t>
      </w:r>
      <w:r>
        <w:t>т</w:t>
      </w:r>
      <w:r>
        <w:t>ношении оказания содействия и уровней заработной платы и окладов женщин и мужчин, в том числе с сопоставлением различных секторов экономики. Сд</w:t>
      </w:r>
      <w:r>
        <w:t>е</w:t>
      </w:r>
      <w:r>
        <w:t>ланные в докладе в</w:t>
      </w:r>
      <w:r>
        <w:t>ы</w:t>
      </w:r>
      <w:r>
        <w:t>воды приводятся ниже.</w:t>
      </w:r>
    </w:p>
    <w:p w:rsidR="00000000" w:rsidRDefault="00000000">
      <w:pPr>
        <w:pStyle w:val="SingleTxt"/>
      </w:pPr>
      <w:r>
        <w:t>Женщины добились прогресса в сравнении с мужчинами в вопросах пр</w:t>
      </w:r>
      <w:r>
        <w:t>о</w:t>
      </w:r>
      <w:r>
        <w:t>фессиональной подготовки. Благодаря лучшей подготовке в школах и профе</w:t>
      </w:r>
      <w:r>
        <w:t>с</w:t>
      </w:r>
      <w:r>
        <w:t>сиональной подготовке значительно возросла ориентированность женщин, и в частности матерей, на работу. Однако молодые женщины остаются недопре</w:t>
      </w:r>
      <w:r>
        <w:t>д</w:t>
      </w:r>
      <w:r>
        <w:t>ставленными как в области профессионального обучения внутри компаний, так и в профессиях с техническим уклоном.</w:t>
      </w:r>
    </w:p>
    <w:p w:rsidR="00000000" w:rsidRDefault="00000000">
      <w:pPr>
        <w:pStyle w:val="SingleTxt"/>
      </w:pPr>
      <w:r>
        <w:t>Ориентированность женщин Западной Германии на работу продолжала возрастать в 90-е годы и достигла самого высокого на данное время уровня в 2000 году (уровень безработицы 62,1 процента). И наоборот, уровень безраб</w:t>
      </w:r>
      <w:r>
        <w:t>о</w:t>
      </w:r>
      <w:r>
        <w:t>тицы среди женщин Восточной Германии в 90-е годы снизился, но он по-прежнему значительно выше уровня безработицы среди женщин Западной Германии и составляет 72,2 процента.</w:t>
      </w:r>
    </w:p>
    <w:p w:rsidR="00000000" w:rsidRDefault="00000000">
      <w:pPr>
        <w:pStyle w:val="SingleTxt"/>
      </w:pPr>
      <w:r>
        <w:t>Еще больше доля женщин, работающих в течение неполного рабочего дня (доля женщин, работающих в течение неполного рабочего дня, составляла 42 процента среди женщин Западной Германии, а среди женщин Восточной Германии — 23 процента). С учетом макроэкономического объема труда, кот</w:t>
      </w:r>
      <w:r>
        <w:t>о</w:t>
      </w:r>
      <w:r>
        <w:t>рый в целом упал, увеличение числа женщин на рынке труда в ряде случаев было сопряжено с перераспределением работы среди женщин.</w:t>
      </w:r>
    </w:p>
    <w:p w:rsidR="00000000" w:rsidRDefault="00000000">
      <w:pPr>
        <w:pStyle w:val="SingleTxt"/>
      </w:pPr>
      <w:r>
        <w:t>По-прежнему меньше женщин занимают в компаниях старшие должности или более высокие по иерархии должности по сравнению с мужчинами, обл</w:t>
      </w:r>
      <w:r>
        <w:t>а</w:t>
      </w:r>
      <w:r>
        <w:t>дающими равной квалификацией. В Западной Германии в 2000 году на старших должностях мужчин насчитывалось почти в два раза больше по сравнению с числом женщин: 20,3 процента мужчин и только 10,5 процента женщин. На Востоке процентные доли были значительно ближе, но на более низком уровне: 14,4 процента мужчин и 12 процентов женщин. В возрастной группе до 30 лет наблюдается тенденция, когда с равным успехом можно встретить на должн</w:t>
      </w:r>
      <w:r>
        <w:t>о</w:t>
      </w:r>
      <w:r>
        <w:t>стях руководителей как женщин, так и мужчин. С возрастом же доля мужчин на руководящих должностях возрастает. И наоборот, доля женщин на руковод</w:t>
      </w:r>
      <w:r>
        <w:t>я</w:t>
      </w:r>
      <w:r>
        <w:t>щих должностях с возрастом уменьшается. Вероятно, одной из главных причин этого являются перерывы в трудовом стаже по семейным причинам. В старых федеральных землях значительно выше разрыв в доходах женщин и мужчин: если в Западной Германии доходы женщин составляют почти 75 процентов от средних доходов мужчин, то в Восточной Германии они составляют почти 94 процента.</w:t>
      </w:r>
    </w:p>
    <w:p w:rsidR="00000000" w:rsidRDefault="00000000">
      <w:pPr>
        <w:pStyle w:val="SingleTxt"/>
      </w:pPr>
      <w:r>
        <w:t>Если взглянуть на этот в долгосрочной перспективе, то наблюдается те</w:t>
      </w:r>
      <w:r>
        <w:t>н</w:t>
      </w:r>
      <w:r>
        <w:t>денция к сближению доходов женщин и мужчин. Однако это происходит ме</w:t>
      </w:r>
      <w:r>
        <w:t>д</w:t>
      </w:r>
      <w:r>
        <w:t>ленными темпами. За 20-летний период женщины Западной Германии доб</w:t>
      </w:r>
      <w:r>
        <w:t>и</w:t>
      </w:r>
      <w:r>
        <w:t>лись почти трехпроцентного сокращения разрыва, а женщины Восточной Ге</w:t>
      </w:r>
      <w:r>
        <w:t>р</w:t>
      </w:r>
      <w:r>
        <w:t>мании в 90-е годы добились почти двухпроцен</w:t>
      </w:r>
      <w:r>
        <w:t>т</w:t>
      </w:r>
      <w:r>
        <w:t>ного сокращения разрыва.</w:t>
      </w:r>
    </w:p>
    <w:p w:rsidR="00000000" w:rsidRDefault="00000000">
      <w:pPr>
        <w:pStyle w:val="SingleTxt"/>
      </w:pPr>
      <w:r>
        <w:t>Концентрация работающих на оплачиваемых должностях женщин в о</w:t>
      </w:r>
      <w:r>
        <w:t>с</w:t>
      </w:r>
      <w:r>
        <w:t>новном приходится на экономическую сферу, где уровень заработков невысок, а также на малые и средние предприятия, где трудящиеся зарабатывают в сре</w:t>
      </w:r>
      <w:r>
        <w:t>д</w:t>
      </w:r>
      <w:r>
        <w:t>нем меньше.</w:t>
      </w:r>
    </w:p>
    <w:p w:rsidR="00000000" w:rsidRDefault="00000000">
      <w:pPr>
        <w:pStyle w:val="SingleTxt"/>
      </w:pPr>
      <w:r>
        <w:t>Рост уровня безработицы женщин пока что не сопровождался равным разделением семейного труда между женщинами и мужчинами. Семейное ра</w:t>
      </w:r>
      <w:r>
        <w:t>з</w:t>
      </w:r>
      <w:r>
        <w:t>деление труда с учетом гендерного фактора также ведет к очень большой ра</w:t>
      </w:r>
      <w:r>
        <w:t>з</w:t>
      </w:r>
      <w:r>
        <w:t>нице в доходах и профессиональном росте в течение трудовой жизни. Если мужчины почти всегда работают в течение полного рабочего дня, независимо от формы семьи, то женщины, имеющие партнера/супруга, очень часто раб</w:t>
      </w:r>
      <w:r>
        <w:t>о</w:t>
      </w:r>
      <w:r>
        <w:t>тают в течение неполного рабочего дня или не работают вовсе. Эти примеры гораздо более типичны для Западной Германии, нежели для Восточной Герм</w:t>
      </w:r>
      <w:r>
        <w:t>а</w:t>
      </w:r>
      <w:r>
        <w:t>нии.</w:t>
      </w:r>
    </w:p>
    <w:p w:rsidR="00000000" w:rsidRDefault="00000000">
      <w:pPr>
        <w:pStyle w:val="SingleTxt"/>
      </w:pPr>
      <w:r>
        <w:t>Совокупный общий трудовой стаж женщин значительно ниже стажа му</w:t>
      </w:r>
      <w:r>
        <w:t>ж</w:t>
      </w:r>
      <w:r>
        <w:t>чин. Соответственно, совокупные доходы женщин в период их занятости (р</w:t>
      </w:r>
      <w:r>
        <w:t>о</w:t>
      </w:r>
      <w:r>
        <w:t>дившиеся в период с 1936 по 1955 годы) в среднем составляют лишь 42 процента от доходов мужчин.</w:t>
      </w:r>
    </w:p>
    <w:p w:rsidR="00000000" w:rsidRDefault="00000000">
      <w:pPr>
        <w:pStyle w:val="SingleTxt"/>
      </w:pPr>
      <w:r>
        <w:t>Вследствие различий в общих доходах размер независимых пенсий по старости женщин на востоке достигает в настоящее время лишь примерно 60 процентов, а на западе не превышает 50 процентов от размера пенсий му</w:t>
      </w:r>
      <w:r>
        <w:t>ж</w:t>
      </w:r>
      <w:r>
        <w:t>чин.</w:t>
      </w:r>
    </w:p>
    <w:p w:rsidR="00000000" w:rsidRDefault="00000000">
      <w:pPr>
        <w:pStyle w:val="SingleTxt"/>
      </w:pPr>
      <w:r>
        <w:t>В докладе анализируется целый ряд причин гендерных различий в занят</w:t>
      </w:r>
      <w:r>
        <w:t>о</w:t>
      </w:r>
      <w:r>
        <w:t>сти на приносящих доход должностях и в доходах в целом. В данном контексте упоминаются традиционные модели гендерной роли и совместного проживания мужчин и женщин («модель добытчика дополнительных финансовых средств/кормильца»), распределение труда в семьях по гендерному признаку, поведение женщин и мужчин при выборе своих профессий, обеспечение на</w:t>
      </w:r>
      <w:r>
        <w:t>д</w:t>
      </w:r>
      <w:r>
        <w:t>лежащего ухода за детьми, а также структура стандартных профессий, кадр</w:t>
      </w:r>
      <w:r>
        <w:t>о</w:t>
      </w:r>
      <w:r>
        <w:t>вая политика компаний и их организ</w:t>
      </w:r>
      <w:r>
        <w:t>а</w:t>
      </w:r>
      <w:r>
        <w:t>ционная структура.</w:t>
      </w:r>
    </w:p>
    <w:p w:rsidR="00000000" w:rsidRDefault="00000000">
      <w:pPr>
        <w:pStyle w:val="SingleTxt"/>
      </w:pPr>
      <w:r>
        <w:t>Судя по сделанным в докладе выводам, следует рассмотреть коллекти</w:t>
      </w:r>
      <w:r>
        <w:t>в</w:t>
      </w:r>
      <w:r>
        <w:t>ные соглашения на предмет того, всегда ли в системах оценки уровня квалиф</w:t>
      </w:r>
      <w:r>
        <w:t>и</w:t>
      </w:r>
      <w:r>
        <w:t>кации используются одни и те же критерии, а не индивидуальные критерии, применимые лишь для конкретных категорий заработной платы или сфер зан</w:t>
      </w:r>
      <w:r>
        <w:t>я</w:t>
      </w:r>
      <w:r>
        <w:t>тости (например, ответственность лишь за более высокооплачиваемые катег</w:t>
      </w:r>
      <w:r>
        <w:t>о</w:t>
      </w:r>
      <w:r>
        <w:t>рии и физические требования, применяемые только к сфере труда).</w:t>
      </w:r>
    </w:p>
    <w:p w:rsidR="00000000" w:rsidRDefault="00000000">
      <w:pPr>
        <w:pStyle w:val="SingleTxt"/>
      </w:pPr>
      <w:r>
        <w:t>По мнению женщин и мужчин-ученых, коллективные соглашения следует структурно оформлять таким образом, чтобы трудящиеся имели возможность изучить основу для расчета уровня их заработной платы и основу для различий в заработной плате между различными видами равноценной работы, выпо</w:t>
      </w:r>
      <w:r>
        <w:t>л</w:t>
      </w:r>
      <w:r>
        <w:t>няемой женщинами и мужчинами.</w:t>
      </w:r>
    </w:p>
    <w:p w:rsidR="00000000" w:rsidRDefault="00000000">
      <w:pPr>
        <w:pStyle w:val="SingleTxt"/>
      </w:pPr>
      <w:r>
        <w:t>Доклад был представлен 24 апреля 2002 года федеральному парламенту Германии и сопровождался заявлением федерального правительства. Фед</w:t>
      </w:r>
      <w:r>
        <w:t>е</w:t>
      </w:r>
      <w:r>
        <w:t>ральное правительство считает, что оно подтвердило свою позицию относ</w:t>
      </w:r>
      <w:r>
        <w:t>и</w:t>
      </w:r>
      <w:r>
        <w:t>тельного того, что равенство женщин и мужчин на рынке труда по-прежнему остается приоритетом проводимой им социальной политики. Оно считает абс</w:t>
      </w:r>
      <w:r>
        <w:t>о</w:t>
      </w:r>
      <w:r>
        <w:t>лютно необходимым продолжать расширять возможности молодых женщин по обучению перспективным профессиям информационного общества и расш</w:t>
      </w:r>
      <w:r>
        <w:t>и</w:t>
      </w:r>
      <w:r>
        <w:t>рять возможности женщин в отношении поиска рабочих мест и професси</w:t>
      </w:r>
      <w:r>
        <w:t>о</w:t>
      </w:r>
      <w:r>
        <w:t>нального роста. Женщинам и мужчинам должна быть предоставлена равная возможность для достижения сбалансированности трудовых и семейных отн</w:t>
      </w:r>
      <w:r>
        <w:t>о</w:t>
      </w:r>
      <w:r>
        <w:t>шений.</w:t>
      </w:r>
    </w:p>
    <w:p w:rsidR="00000000" w:rsidRDefault="00000000">
      <w:pPr>
        <w:pStyle w:val="H4"/>
      </w:pPr>
      <w:bookmarkStart w:id="177" w:name="_Toc44113750"/>
      <w:bookmarkStart w:id="178" w:name="_Toc44114257"/>
      <w:bookmarkStart w:id="179" w:name="_Toc44115934"/>
      <w:r>
        <w:t>3.4.13 Женщины в информационном обществе</w:t>
      </w:r>
      <w:bookmarkEnd w:id="177"/>
      <w:bookmarkEnd w:id="178"/>
      <w:bookmarkEnd w:id="179"/>
    </w:p>
    <w:p w:rsidR="00000000" w:rsidRDefault="00000000">
      <w:pPr>
        <w:pStyle w:val="SingleTxt"/>
      </w:pPr>
      <w:r>
        <w:t>Предоставление женщинам равных возможностей в развитии и становл</w:t>
      </w:r>
      <w:r>
        <w:t>е</w:t>
      </w:r>
      <w:r>
        <w:t>нии информационного общества составляет главные стратегические цели Н</w:t>
      </w:r>
      <w:r>
        <w:t>а</w:t>
      </w:r>
      <w:r>
        <w:t>циональной программы действий, озаглавленной «Новаторство и рабочие места в информационном обществе XXI века». Одна из главных целей федерального правительства в Германии заключается также в расширении участия женщин в Интернете. Благодаря программе «Женщины в сети», организованной фед</w:t>
      </w:r>
      <w:r>
        <w:t>е</w:t>
      </w:r>
      <w:r>
        <w:t>ральным правительством при содействии компании «Дойче Телеком АГ», Ф</w:t>
      </w:r>
      <w:r>
        <w:t>е</w:t>
      </w:r>
      <w:r>
        <w:t>деральной службой занятости и журналом «Бригитт», общая численность по</w:t>
      </w:r>
      <w:r>
        <w:t>д</w:t>
      </w:r>
      <w:r>
        <w:t>ключенных к Интернету женщин составила более 100 000 человек. Наибольш</w:t>
      </w:r>
      <w:r>
        <w:t>е</w:t>
      </w:r>
      <w:r>
        <w:t>го успеха в национальных масштабах удалось добиться благодаря порталу, где для женщин организованы курсы работы в Интернете, доступ к которому зн</w:t>
      </w:r>
      <w:r>
        <w:t>а</w:t>
      </w:r>
      <w:r>
        <w:t>чительно увеличился в период с осени 1999 года по лето 2001 года. Если в 1999 году примерно одна треть женщин пользовалась Интернетом, то в н</w:t>
      </w:r>
      <w:r>
        <w:t>а</w:t>
      </w:r>
      <w:r>
        <w:t>стоящее время Интернетом пользуется более 43 процентов женщин. Вплоть до 2003 года будет продолжено успешное развитие концепции государственного партнерства с частным сектором. При участии новых преподавателей-женщин следует уделять внимание, в частности, тем женщинам, которые до сих пор не интересовались пользованием Интернетом из-за безработицы, низких доходов или просто из-за отсутствия интереса. Таких женщин насчитывается почти 60 процентов. Если целенаправленно заниматься расширением масштабов этой работы на местном уровне, то она примет более устойчивый хара</w:t>
      </w:r>
      <w:r>
        <w:t>к</w:t>
      </w:r>
      <w:r>
        <w:t>тер.</w:t>
      </w:r>
    </w:p>
    <w:p w:rsidR="00000000" w:rsidRDefault="00000000">
      <w:pPr>
        <w:pStyle w:val="SingleTxt"/>
      </w:pPr>
      <w:r>
        <w:t>Кроме того, федеральное правительство содействует также другим ин</w:t>
      </w:r>
      <w:r>
        <w:t>и</w:t>
      </w:r>
      <w:r>
        <w:t>циативам в Интернете в отношении женщин, таким, как создание сетей упо</w:t>
      </w:r>
      <w:r>
        <w:t>л</w:t>
      </w:r>
      <w:r>
        <w:t>номоченных по вопросам обеспечения равенства, сетей неправительственных организаций и сетей женщин-экспертов. Одна из целей международной конф</w:t>
      </w:r>
      <w:r>
        <w:t>е</w:t>
      </w:r>
      <w:r>
        <w:t>ренции под названием «ЖС — женщины в сети», которая состоялась в марте 2001 года в Гамбурге, также заключалась в обеспечении возможностей для женщин в Интернете и доступности этих возможностей.</w:t>
      </w:r>
    </w:p>
    <w:p w:rsidR="00000000" w:rsidRDefault="00000000">
      <w:pPr>
        <w:pStyle w:val="SingleTxt"/>
      </w:pPr>
      <w:r>
        <w:t>Для борьбы с опасностью цифрового разрыва в нашем обществе фед</w:t>
      </w:r>
      <w:r>
        <w:t>е</w:t>
      </w:r>
      <w:r>
        <w:t>ральное правительство дополнительно организовало проведение демонстрац</w:t>
      </w:r>
      <w:r>
        <w:t>и</w:t>
      </w:r>
      <w:r>
        <w:t>онной и образовательной кампании в рамках инициативы «Интернет для всех», участие в которой приняли дети, пожилые граждане, инвалиды и представит</w:t>
      </w:r>
      <w:r>
        <w:t>е</w:t>
      </w:r>
      <w:r>
        <w:t>ли других групп, которые в настоящее время являются недопредставленными в отношении пользования новыми средствами информации.</w:t>
      </w:r>
    </w:p>
    <w:p w:rsidR="00000000" w:rsidRDefault="00000000">
      <w:pPr>
        <w:pStyle w:val="SingleTxt"/>
      </w:pPr>
      <w:r>
        <w:t>В рамках этой кампании была учреждена рабочая группа Форума инфо</w:t>
      </w:r>
      <w:r>
        <w:t>р</w:t>
      </w:r>
      <w:r>
        <w:t>мационного общества под названием «Женщины» для описания конкретных возможностей и опасностей, которые создает и предоставляет информационное общество в отношении женщин, и формирования нового понимания в отнош</w:t>
      </w:r>
      <w:r>
        <w:t>е</w:t>
      </w:r>
      <w:r>
        <w:t>нии базирующейся на этом деятельности. Помимо оказания поддержки нов</w:t>
      </w:r>
      <w:r>
        <w:t>а</w:t>
      </w:r>
      <w:r>
        <w:t>торским формам труда женщин и увеличения доли женщин в профессиях и</w:t>
      </w:r>
      <w:r>
        <w:t>н</w:t>
      </w:r>
      <w:r>
        <w:t>формационного общества и доли женщин, обучающихся на курсах, цель здесь заключается в формировании всеобъемлющего и благоприятного для женщин информационного общества в отношении образования, профессиональной по</w:t>
      </w:r>
      <w:r>
        <w:t>д</w:t>
      </w:r>
      <w:r>
        <w:t>готовки, повышения квалификации и развития технических навыков. (В отн</w:t>
      </w:r>
      <w:r>
        <w:t>о</w:t>
      </w:r>
      <w:r>
        <w:t>шении профессиональной подготовки см. I 3.2.3).</w:t>
      </w:r>
    </w:p>
    <w:p w:rsidR="00000000" w:rsidRDefault="00000000">
      <w:pPr>
        <w:pStyle w:val="H4"/>
      </w:pPr>
      <w:bookmarkStart w:id="180" w:name="_Toc44113751"/>
      <w:bookmarkStart w:id="181" w:name="_Toc44114258"/>
      <w:bookmarkStart w:id="182" w:name="_Toc44115935"/>
      <w:r>
        <w:t>3.14.14 Женщины в сфере культуры и средств информации</w:t>
      </w:r>
      <w:bookmarkEnd w:id="180"/>
      <w:bookmarkEnd w:id="181"/>
      <w:bookmarkEnd w:id="182"/>
    </w:p>
    <w:p w:rsidR="00000000" w:rsidRDefault="00000000">
      <w:pPr>
        <w:pStyle w:val="SingleTxt"/>
      </w:pPr>
      <w:r>
        <w:t>Кроме того, в области занятости женщин на оплачиваемых должностях важную роль играют культура и средства информации. Доля женщин среди с</w:t>
      </w:r>
      <w:r>
        <w:t>о</w:t>
      </w:r>
      <w:r>
        <w:t>трудников радио и телевидения превышает 40 процентов. Что касается руков</w:t>
      </w:r>
      <w:r>
        <w:t>о</w:t>
      </w:r>
      <w:r>
        <w:t>дящих должностей, то в государственных теле- и радиовещательных компаниях доля женщин в период с 1985 года увеличилась почти втрое — с 5 до 14 процентов, но должностей директоров женщины не занимают. Доля женщин среди членов советов теле- и радиокомпаний возросла к 1999 году до 20 процентов (она составляла 17 процентов в 1994 году), а среди членов адм</w:t>
      </w:r>
      <w:r>
        <w:t>и</w:t>
      </w:r>
      <w:r>
        <w:t>нистративных советов — до 18 процентов (в 1994 году она составляла 15 процентов). Однако темпы роста доли женщин в государственных теле- и радиовещательных компаниях по-прежнему значительно ниже темпов роста в рамках тенденций, наблюдаемых в других органах и парламентах. Другая ка</w:t>
      </w:r>
      <w:r>
        <w:t>р</w:t>
      </w:r>
      <w:r>
        <w:t>тина наблюдается в частных радио- и телевещательных компаниях, где уже в настоящее время женщины занимают 25 процентов руководящих должностей, хотя в них не существует квот, предусмотренных в планах продвижения же</w:t>
      </w:r>
      <w:r>
        <w:t>н</w:t>
      </w:r>
      <w:r>
        <w:t>щин по службе, как это сделано в отношении государственных радио- и тел</w:t>
      </w:r>
      <w:r>
        <w:t>е</w:t>
      </w:r>
      <w:r>
        <w:t>вещательных компаний.</w:t>
      </w:r>
    </w:p>
    <w:p w:rsidR="00000000" w:rsidRDefault="00000000">
      <w:pPr>
        <w:pStyle w:val="SingleTxt"/>
      </w:pPr>
      <w:r>
        <w:t>Значительно улучшилось положение в области профессиональной подг</w:t>
      </w:r>
      <w:r>
        <w:t>о</w:t>
      </w:r>
      <w:r>
        <w:t>товки, где доля обучающихся составляет в среднем 50 процентов. В теле- и р</w:t>
      </w:r>
      <w:r>
        <w:t>а</w:t>
      </w:r>
      <w:r>
        <w:t>диовещательных компаниях почти без исключения существуют руководящие принципы, трудовые соглашения или планы в отношении равенства, пред</w:t>
      </w:r>
      <w:r>
        <w:t>у</w:t>
      </w:r>
      <w:r>
        <w:t>сматривающие улучшение положения в деле представленности женщин, кот</w:t>
      </w:r>
      <w:r>
        <w:t>о</w:t>
      </w:r>
      <w:r>
        <w:t>рые составляют важную основу для работы уполномоченных по вопросам обеспечения равенства.</w:t>
      </w:r>
    </w:p>
    <w:p w:rsidR="00000000" w:rsidRDefault="00000000">
      <w:pPr>
        <w:pStyle w:val="SingleTxt"/>
      </w:pPr>
      <w:r>
        <w:t>Если в областях гуманитарных наук женщины представлены достойно – так, например, темпы роста численности женщин среди профе</w:t>
      </w:r>
      <w:r>
        <w:t>с</w:t>
      </w:r>
      <w:r>
        <w:t>сорско-преподавательского состава гуманитарных академий в период с1995 по 2000 годы более чем удвоились – то на руководящих должностях в секторе п</w:t>
      </w:r>
      <w:r>
        <w:t>о</w:t>
      </w:r>
      <w:r>
        <w:t>литики в области культуры (должностные лица, занимающиеся вопросами культуры) в основном работают мужчины. Что касается связанных с проект</w:t>
      </w:r>
      <w:r>
        <w:t>и</w:t>
      </w:r>
      <w:r>
        <w:t>рованием профессий, то во всех сферах деятельности можно отметить четкую тенденцию к увеличению числа женщин.</w:t>
      </w:r>
    </w:p>
    <w:p w:rsidR="00000000" w:rsidRDefault="00000000">
      <w:pPr>
        <w:pStyle w:val="H4"/>
      </w:pPr>
      <w:bookmarkStart w:id="183" w:name="_Toc44113752"/>
      <w:bookmarkStart w:id="184" w:name="_Toc44114259"/>
      <w:bookmarkStart w:id="185" w:name="_Toc44115936"/>
      <w:r>
        <w:t>3.4.15 Женщины в качестве предпринимателей и начинающих свой бизнес лиц</w:t>
      </w:r>
      <w:bookmarkEnd w:id="183"/>
      <w:bookmarkEnd w:id="184"/>
      <w:bookmarkEnd w:id="185"/>
    </w:p>
    <w:p w:rsidR="00000000" w:rsidRDefault="00000000">
      <w:pPr>
        <w:pStyle w:val="SingleTxt"/>
      </w:pPr>
      <w:r>
        <w:t>Федеральное правительство начало осуществление своей Программы де</w:t>
      </w:r>
      <w:r>
        <w:t>й</w:t>
      </w:r>
      <w:r>
        <w:t>ствий «Новаторство и рабочие места в информационном обществе 21-го века» с сентября 1999 года с целью увеличения доли женщин в начинающих свой бизнес компаниях до по крайней мере 40 процентов к 2005 году. Она должна открыть возможности для женщин в сфере экономики и обеспечить оказание большей поддержки женщ</w:t>
      </w:r>
      <w:r>
        <w:t>и</w:t>
      </w:r>
      <w:r>
        <w:t>нам, начинающим свой бизнес.</w:t>
      </w:r>
    </w:p>
    <w:p w:rsidR="00000000" w:rsidRDefault="00000000">
      <w:pPr>
        <w:pStyle w:val="SingleTxt"/>
      </w:pPr>
      <w:r>
        <w:t>Женщины-предприниматели и начинающие свой бизнес женщины вносят большой вклад в рост, обеспечение занятости и прогресс в экономике Герм</w:t>
      </w:r>
      <w:r>
        <w:t>а</w:t>
      </w:r>
      <w:r>
        <w:t>нии. Из общего числа 3,6 млн. человек, работающих в Германии не по найму, 1 012 000 человек составляют женщины, что соответствует примерно 28 процентам. Таким образом, численность работающих не по найму женщин осталась на том же уровне по сравнению с предыдущим годом. Число раб</w:t>
      </w:r>
      <w:r>
        <w:t>о</w:t>
      </w:r>
      <w:r>
        <w:t>тающих не по найму женщин выросло на тысячу человек в новых землях и Восточном Берлине; в 2001 году 168 000 женщин работали здесь не по найму. В старых же федеральных землях их численность снизилась на тысячу человек, достигнув 844 000 человек.</w:t>
      </w:r>
    </w:p>
    <w:p w:rsidR="00000000" w:rsidRDefault="00000000">
      <w:pPr>
        <w:pStyle w:val="SingleTxt"/>
      </w:pPr>
      <w:r>
        <w:t>В период с 1991 по 2001 годы доля женщин, работающих не по найму, в старых федеральных землях возросла с почти 26 процентов до почти 28 процентов. Доля женщин, работающих не по найму, на предприятиях вост</w:t>
      </w:r>
      <w:r>
        <w:t>о</w:t>
      </w:r>
      <w:r>
        <w:t>ка колебалась в период с 1991 по 2001 годы с почти 28 процентов до 30 процентов (см. для сравнения таблицу 3.7 в прил</w:t>
      </w:r>
      <w:r>
        <w:t>о</w:t>
      </w:r>
      <w:r>
        <w:t>жении).</w:t>
      </w:r>
    </w:p>
    <w:p w:rsidR="00000000" w:rsidRDefault="00000000">
      <w:pPr>
        <w:pStyle w:val="SingleTxt"/>
      </w:pPr>
      <w:r>
        <w:t>Большинство работающих не по найму женщин трудятся в секторе о</w:t>
      </w:r>
      <w:r>
        <w:t>б</w:t>
      </w:r>
      <w:r>
        <w:t>служивания (558 000 человек), после чего следует работа в оптовой и розни</w:t>
      </w:r>
      <w:r>
        <w:t>ч</w:t>
      </w:r>
      <w:r>
        <w:t>ной торговле и гостиницах и ресторанах (329 000), на промышленном прои</w:t>
      </w:r>
      <w:r>
        <w:t>з</w:t>
      </w:r>
      <w:r>
        <w:t>водстве и строительстве (78 000), а также в сельском и лесном хозяйстве (47 000). Примерно 160 000 работающих не по найму женщин работают по и</w:t>
      </w:r>
      <w:r>
        <w:t>н</w:t>
      </w:r>
      <w:r>
        <w:t>дивидуальным контрактам. Желающие начать свой бизнес в Германии женщ</w:t>
      </w:r>
      <w:r>
        <w:t>и</w:t>
      </w:r>
      <w:r>
        <w:t>ны могут полагаться на широкий круг инструментов содействия, существу</w:t>
      </w:r>
      <w:r>
        <w:t>ю</w:t>
      </w:r>
      <w:r>
        <w:t xml:space="preserve">щих для удовлетворения потребностей представителей обоих полов, желающих начать свой бизнес. Так например, в 2002 году из специального </w:t>
      </w:r>
      <w:r>
        <w:rPr>
          <w:lang w:val="en-US"/>
        </w:rPr>
        <w:t>ERP</w:t>
      </w:r>
      <w:r>
        <w:t xml:space="preserve"> фонда Ф</w:t>
      </w:r>
      <w:r>
        <w:t>е</w:t>
      </w:r>
      <w:r>
        <w:t>дерации общая сумма примерно в 5 млрд. евро была выделена для предоста</w:t>
      </w:r>
      <w:r>
        <w:t>в</w:t>
      </w:r>
      <w:r>
        <w:t>ления ссуд под низкие проценты, к чему следует добавить еще 9 млрд. евро, выделенных «Дойче Аусгляйхсбанком» и Корпорацией кредитования стро</w:t>
      </w:r>
      <w:r>
        <w:t>и</w:t>
      </w:r>
      <w:r>
        <w:t>тельных работ в рамках своих собственных программ. Численность женщин, которым было оказано содействие в начале их бизнеса, определенно возросло с 1990 года: так, например, в 2001 году в старых федеральных землях более о</w:t>
      </w:r>
      <w:r>
        <w:t>д</w:t>
      </w:r>
      <w:r>
        <w:t>ной четверти объема содействия в начинании своего бизнеса приходилось на женщин (25,1 процента), а в новых федеральных землях – более одной трети (33,7 процента). В 1990 году эти цифры составляли 21,3 процента и 25,6 процента соотве</w:t>
      </w:r>
      <w:r>
        <w:t>т</w:t>
      </w:r>
      <w:r>
        <w:t>ственно.</w:t>
      </w:r>
    </w:p>
    <w:p w:rsidR="00000000" w:rsidRDefault="00000000">
      <w:pPr>
        <w:pStyle w:val="SingleTxt"/>
      </w:pPr>
      <w:r>
        <w:t>Внедрение так называемой Программы выделения подъемных финанс</w:t>
      </w:r>
      <w:r>
        <w:t>о</w:t>
      </w:r>
      <w:r>
        <w:t>вых средств «Дойче Аусгляйхсбанком» (</w:t>
      </w:r>
      <w:r>
        <w:rPr>
          <w:lang w:val="en-US"/>
        </w:rPr>
        <w:t>DtA</w:t>
      </w:r>
      <w:r>
        <w:t>) оказалось особенно полезным для женщин, начинающих свой бизнес; она, в частности, охватывает потребн</w:t>
      </w:r>
      <w:r>
        <w:t>о</w:t>
      </w:r>
      <w:r>
        <w:t>сти в капитале по проектам малых предприятий начинающих свой бизнес лиц (до 50 000 евро). Ею широко пользуется гораздо большее число женщин, нач</w:t>
      </w:r>
      <w:r>
        <w:t>и</w:t>
      </w:r>
      <w:r>
        <w:t>нающих свой бизнес, нежели мужчин. Со времени начала ее осуществления в мае 1999 года было выделено 20 703 кредита в рамках предоставления перв</w:t>
      </w:r>
      <w:r>
        <w:t>о</w:t>
      </w:r>
      <w:r>
        <w:t>начального капитала, объем которых составил 654,3 млн. евро (по состоянию на июль 2002 года). Доля женщин составляет здесь 36,3 процента по сравн</w:t>
      </w:r>
      <w:r>
        <w:t>е</w:t>
      </w:r>
      <w:r>
        <w:t xml:space="preserve">нию с 25,3 процента по другим программам содействия </w:t>
      </w:r>
      <w:r>
        <w:rPr>
          <w:lang w:val="en-US"/>
        </w:rPr>
        <w:t>DtA</w:t>
      </w:r>
      <w:r>
        <w:t>. С 1 октября 2002 года «Дойче Аусгляйхсбанк» дополнит свою программу содействия путем предоставления микрокредитов в сумме до 25 000 евро. Микрокредиты предн</w:t>
      </w:r>
      <w:r>
        <w:t>а</w:t>
      </w:r>
      <w:r>
        <w:t>значены для содействия начинающим свой бизнес малым и микропредприят</w:t>
      </w:r>
      <w:r>
        <w:t>и</w:t>
      </w:r>
      <w:r>
        <w:t>ям, которые широко распространены, в частности в сфере обслуживания, с тем чтобы оказать им содействие в становлении самостоятельного бизнеса. Более 56 процентов работающих не по найму женщин трудятся в сфере обслужив</w:t>
      </w:r>
      <w:r>
        <w:t>а</w:t>
      </w:r>
      <w:r>
        <w:t>ния. Поэтому можно ожидать, что женщины извлекут из этой программы ос</w:t>
      </w:r>
      <w:r>
        <w:t>о</w:t>
      </w:r>
      <w:r>
        <w:t xml:space="preserve">бую пользу. </w:t>
      </w:r>
    </w:p>
    <w:p w:rsidR="00000000" w:rsidRDefault="00000000">
      <w:pPr>
        <w:pStyle w:val="SingleTxt"/>
      </w:pPr>
      <w:r>
        <w:t>Кроме того, существует целый ряд специальных предложений для нач</w:t>
      </w:r>
      <w:r>
        <w:t>и</w:t>
      </w:r>
      <w:r>
        <w:t>нающих свой бизнес женщин, поступающих со стороны местных органов вл</w:t>
      </w:r>
      <w:r>
        <w:t>а</w:t>
      </w:r>
      <w:r>
        <w:t xml:space="preserve">сти или на уровне земель, которые дополняются предложениями со стороны женщин в сетях или ассоциациях. В виртуальном «Центре для начинающих» </w:t>
      </w:r>
      <w:r>
        <w:rPr>
          <w:lang w:val="en-US"/>
        </w:rPr>
        <w:t>DtA</w:t>
      </w:r>
      <w:r>
        <w:t xml:space="preserve"> мужчины и женщины-предприниматели, начинающие свой бизнес, находят ответы на многие экономические и юридические вопросы. Новшеством являе</w:t>
      </w:r>
      <w:r>
        <w:t>т</w:t>
      </w:r>
      <w:r>
        <w:t>ся программа «Специально для женщин-предпринимателей», которая конкре</w:t>
      </w:r>
      <w:r>
        <w:t>т</w:t>
      </w:r>
      <w:r>
        <w:t>но направлена на начинающих свой бизнес женщин. В специальной программе не только дается обзор относительно финансирования и рекомендаций по предложениям, но и излагается дополнительная ценная информация, такая как практические советы и списки книг, а также обзор сетей для женщин.</w:t>
      </w:r>
    </w:p>
    <w:p w:rsidR="00000000" w:rsidRDefault="00000000">
      <w:pPr>
        <w:pStyle w:val="SingleTxt"/>
      </w:pPr>
      <w:r>
        <w:t>Для повышения мотивации и поддержки предпринимателей в их начин</w:t>
      </w:r>
      <w:r>
        <w:t>а</w:t>
      </w:r>
      <w:r>
        <w:t>ниях федеральное правительство планирует осуществление программы «Пр</w:t>
      </w:r>
      <w:r>
        <w:t>е</w:t>
      </w:r>
      <w:r>
        <w:t>доставление возможностей для начинающих свой бизнес». В программе будут применяться целенаправленные структурные меры, рамки и будет использ</w:t>
      </w:r>
      <w:r>
        <w:t>о</w:t>
      </w:r>
      <w:r>
        <w:t>ваться работа по связям с общественностью для содействия в создании в Ге</w:t>
      </w:r>
      <w:r>
        <w:t>р</w:t>
      </w:r>
      <w:r>
        <w:t>мании климата, благоприятного для начинающих свой бизнес женщин. В пе</w:t>
      </w:r>
      <w:r>
        <w:t>р</w:t>
      </w:r>
      <w:r>
        <w:t>вую очередь здесь важно объединить статистические данные в отношении н</w:t>
      </w:r>
      <w:r>
        <w:t>а</w:t>
      </w:r>
      <w:r>
        <w:t>чинающих свой бизнес женщин, данные о воздействии информационного о</w:t>
      </w:r>
      <w:r>
        <w:t>б</w:t>
      </w:r>
      <w:r>
        <w:t>щества на начало функционирования предприятий и данные о планах женщин в отношении начала своего бизнеса. Существует также необходимость в работе над расширением участия женщин в организации своего бизнеса в ориентир</w:t>
      </w:r>
      <w:r>
        <w:t>о</w:t>
      </w:r>
      <w:r>
        <w:t>ванной на технологии сфере (область И</w:t>
      </w:r>
      <w:r>
        <w:rPr>
          <w:lang w:val="en-US"/>
        </w:rPr>
        <w:t>T</w:t>
      </w:r>
      <w:r>
        <w:t>, биотехнологии) и в использовании возможностей Интернета женщинами-предпринимателями. Этим мерам будет содействовать «Центр информации и обслуживания для начинающих свой би</w:t>
      </w:r>
      <w:r>
        <w:t>з</w:t>
      </w:r>
      <w:r>
        <w:t>нес».</w:t>
      </w:r>
    </w:p>
    <w:p w:rsidR="00000000" w:rsidRDefault="00000000">
      <w:pPr>
        <w:pStyle w:val="SingleTxt"/>
      </w:pPr>
      <w:r>
        <w:t>Важное значение имеет также для женщин вступивший в силу в 1996 году Закон о содействии дальнейшему повышению квалификации (</w:t>
      </w:r>
      <w:r>
        <w:rPr>
          <w:lang w:val="en-US"/>
        </w:rPr>
        <w:t>Aufstiegsfor</w:t>
      </w:r>
      <w:r>
        <w:rPr>
          <w:lang w:val="en-US"/>
        </w:rPr>
        <w:t>t</w:t>
      </w:r>
      <w:r>
        <w:rPr>
          <w:lang w:val="en-US"/>
        </w:rPr>
        <w:t>bildungsf</w:t>
      </w:r>
      <w:r>
        <w:t>ö</w:t>
      </w:r>
      <w:r>
        <w:rPr>
          <w:lang w:val="en-US"/>
        </w:rPr>
        <w:t>rderungsgesetz</w:t>
      </w:r>
      <w:r>
        <w:t> – “</w:t>
      </w:r>
      <w:r>
        <w:rPr>
          <w:lang w:val="en-US"/>
        </w:rPr>
        <w:t>Meister</w:t>
      </w:r>
      <w:r>
        <w:t>-</w:t>
      </w:r>
      <w:r>
        <w:rPr>
          <w:lang w:val="en-US"/>
        </w:rPr>
        <w:t>BAF</w:t>
      </w:r>
      <w:r>
        <w:t>ö</w:t>
      </w:r>
      <w:r>
        <w:rPr>
          <w:lang w:val="en-US"/>
        </w:rPr>
        <w:t>G</w:t>
      </w:r>
      <w:r>
        <w:t>”), поскольку в нем содержатся п</w:t>
      </w:r>
      <w:r>
        <w:t>о</w:t>
      </w:r>
      <w:r>
        <w:t>ложения в отношении участия женщин с детьми в программах повышения кв</w:t>
      </w:r>
      <w:r>
        <w:t>а</w:t>
      </w:r>
      <w:r>
        <w:t>лификации; направлен он и на содействие женщинам в профессиональном ро</w:t>
      </w:r>
      <w:r>
        <w:t>с</w:t>
      </w:r>
      <w:r>
        <w:t>те. Реформа “</w:t>
      </w:r>
      <w:r>
        <w:rPr>
          <w:lang w:val="en-US"/>
        </w:rPr>
        <w:t>Meister</w:t>
      </w:r>
      <w:r>
        <w:t>-</w:t>
      </w:r>
      <w:r>
        <w:rPr>
          <w:lang w:val="en-US"/>
        </w:rPr>
        <w:t>BAF</w:t>
      </w:r>
      <w:r>
        <w:t>ö</w:t>
      </w:r>
      <w:r>
        <w:rPr>
          <w:lang w:val="en-US"/>
        </w:rPr>
        <w:t>G</w:t>
      </w:r>
      <w:r>
        <w:t>” начала действовать с 1 января 2002 года и в ее рамках, среди прочего, будет усилено воздействие компонента данного Закона, направленного на содействие семье и начинающим свой бизнес. Улучшились в настоящее время и условия содействия семьям с детьми и одиноким родит</w:t>
      </w:r>
      <w:r>
        <w:t>е</w:t>
      </w:r>
      <w:r>
        <w:t>лям.</w:t>
      </w:r>
    </w:p>
    <w:p w:rsidR="00000000" w:rsidRDefault="00000000">
      <w:pPr>
        <w:pStyle w:val="H1"/>
      </w:pPr>
      <w:bookmarkStart w:id="186" w:name="_Toc44113466"/>
      <w:bookmarkStart w:id="187" w:name="_Toc44113753"/>
      <w:bookmarkStart w:id="188" w:name="_Toc44114260"/>
      <w:bookmarkStart w:id="189" w:name="_Toc44115519"/>
      <w:bookmarkStart w:id="190" w:name="_Toc44115937"/>
      <w:r>
        <w:t>4.</w:t>
      </w:r>
      <w:r>
        <w:tab/>
        <w:t>Женщины в сельском хозяйстве и в сельских районах</w:t>
      </w:r>
      <w:bookmarkEnd w:id="186"/>
      <w:bookmarkEnd w:id="187"/>
      <w:bookmarkEnd w:id="188"/>
      <w:bookmarkEnd w:id="189"/>
      <w:bookmarkEnd w:id="190"/>
    </w:p>
    <w:p w:rsidR="00000000" w:rsidRDefault="00000000">
      <w:pPr>
        <w:pStyle w:val="H23"/>
      </w:pPr>
      <w:bookmarkStart w:id="191" w:name="_Toc44113467"/>
      <w:bookmarkStart w:id="192" w:name="_Toc44113754"/>
      <w:bookmarkStart w:id="193" w:name="_Toc44114261"/>
      <w:bookmarkStart w:id="194" w:name="_Toc44115520"/>
      <w:bookmarkStart w:id="195" w:name="_Toc44115938"/>
      <w:r>
        <w:t>4.1</w:t>
      </w:r>
      <w:r>
        <w:tab/>
        <w:t>Положение женщин в сельском хозяйстве</w:t>
      </w:r>
      <w:bookmarkEnd w:id="191"/>
      <w:bookmarkEnd w:id="192"/>
      <w:bookmarkEnd w:id="193"/>
      <w:bookmarkEnd w:id="194"/>
      <w:bookmarkEnd w:id="195"/>
    </w:p>
    <w:p w:rsidR="00000000" w:rsidRDefault="00000000">
      <w:pPr>
        <w:pStyle w:val="SingleTxt"/>
      </w:pPr>
      <w:r>
        <w:t>В Германии, как и в других промышленно развитых странах, на протяж</w:t>
      </w:r>
      <w:r>
        <w:t>е</w:t>
      </w:r>
      <w:r>
        <w:t>нии многих лет происходило снижение числа лиц, занятых в сельском хозяйс</w:t>
      </w:r>
      <w:r>
        <w:t>т</w:t>
      </w:r>
      <w:r>
        <w:t>ве. В то время как в 1950 году в сельском хозяйстве был занят каждый четве</w:t>
      </w:r>
      <w:r>
        <w:t>р</w:t>
      </w:r>
      <w:r>
        <w:t>тый из лиц, составляющих самодеятельное население старых федеральных з</w:t>
      </w:r>
      <w:r>
        <w:t>е</w:t>
      </w:r>
      <w:r>
        <w:t>мель, в настоящее время в сельском хозяйстве занято лишь 3 из 100 человек, относящихся к такой категории. За тот же период число предприятий, ведущих фермерское хозяйство на площади в 2 или более гектаров, снизилось с 1,6 млн. до примерно 406 200. Поскольку был изменен нижний порог сбора данных, то информация является сопоставимой лишь в ограниченной степени. (До 1997 года сюда включались и сельскохозяйственные предприятия, ведущие фермерское хозяйство на площади в 1 или более гектаров). Тем не менее в н</w:t>
      </w:r>
      <w:r>
        <w:t>а</w:t>
      </w:r>
      <w:r>
        <w:t>стоящее время сельское хозяйство обеспечивает почти 90 процентов наци</w:t>
      </w:r>
      <w:r>
        <w:t>о</w:t>
      </w:r>
      <w:r>
        <w:t>нальных потребностей в продовольствии.</w:t>
      </w:r>
    </w:p>
    <w:p w:rsidR="00000000" w:rsidRDefault="00000000">
      <w:pPr>
        <w:pStyle w:val="SingleTxt"/>
      </w:pPr>
      <w:r>
        <w:t>Примерно 97 процентов фермерских хозяйств в 1999 году в Германии я</w:t>
      </w:r>
      <w:r>
        <w:t>в</w:t>
      </w:r>
      <w:r>
        <w:t>лялись принадлежащими одному лицу предприятиями, подавляющее больши</w:t>
      </w:r>
      <w:r>
        <w:t>н</w:t>
      </w:r>
      <w:r>
        <w:t>ство из которых были семейными предприятиями. Женщины составляли 12,5 процента полностью занятых работой в семье лиц, тогда как численность женщин, частично занятых работой в семье составляла 45,6 процента.</w:t>
      </w:r>
    </w:p>
    <w:p w:rsidR="00000000" w:rsidRDefault="00000000">
      <w:pPr>
        <w:pStyle w:val="SingleTxt"/>
      </w:pPr>
      <w:r>
        <w:t>В 1999 году в стране в среднем 9 процентов сельскохозяйственных пре</w:t>
      </w:r>
      <w:r>
        <w:t>д</w:t>
      </w:r>
      <w:r>
        <w:t>приятий управлялись женщинами. В то же время их доля в новых федеральных землях составляла примерно 20 процентов, причем доля сельскохозяйственных предприятий, ведущих хозяйство на площади 50 гектаров и более, составляло примерно 14 процентов. В 1999 году в Германии была предоставлена работа примерно 353 000 женщинам, или 37 процентам всех членов семей, работа</w:t>
      </w:r>
      <w:r>
        <w:t>ю</w:t>
      </w:r>
      <w:r>
        <w:t>щих на сельскохозяйственных предприятиях с юридическим оформлением в качестве одного предприятия. Эти женщины выполняют 28 процентов работ. Таким образом очевидно, что без участия женщин не могло бы существовать практически ни одно сельскохозяйственное предприятие. Альтернативные и</w:t>
      </w:r>
      <w:r>
        <w:t>с</w:t>
      </w:r>
      <w:r>
        <w:t>точники доходов, такие как непосредственный сбыт сельскохозяйственной пр</w:t>
      </w:r>
      <w:r>
        <w:t>о</w:t>
      </w:r>
      <w:r>
        <w:t>дукции или проведение в выходные дни «дней фермера» – это вопросы, кот</w:t>
      </w:r>
      <w:r>
        <w:t>о</w:t>
      </w:r>
      <w:r>
        <w:t>рые почти полн</w:t>
      </w:r>
      <w:r>
        <w:t>о</w:t>
      </w:r>
      <w:r>
        <w:t>стью входят в сферу компетенции женщин.</w:t>
      </w:r>
    </w:p>
    <w:p w:rsidR="00000000" w:rsidRDefault="00000000">
      <w:pPr>
        <w:pStyle w:val="SingleTxt"/>
      </w:pPr>
      <w:r>
        <w:t>Структурные изменения в первую очередь затрагивают занимающихся сельскохозяйственным трудом женщин. Продолжалось уменьшение структу</w:t>
      </w:r>
      <w:r>
        <w:t>р</w:t>
      </w:r>
      <w:r>
        <w:t>ных различий между прежней федеральной территорией и новыми федерал</w:t>
      </w:r>
      <w:r>
        <w:t>ь</w:t>
      </w:r>
      <w:r>
        <w:t>ными землями, которые первоначально были значительными. Если на прежней федеральной территории занятие сельскохозяйственным трудом было почти исключительно семейным делом, то в новых федеральных землях помимо я</w:t>
      </w:r>
      <w:r>
        <w:t>в</w:t>
      </w:r>
      <w:r>
        <w:t>ляющихся членами семьи работников к труду в течение полного рабочего дня привлекаются и наемные работники. Произошедшие здесь структурные пер</w:t>
      </w:r>
      <w:r>
        <w:t>е</w:t>
      </w:r>
      <w:r>
        <w:t>мены привели к значительному сокращению числа рабочих мест, особенно для женщин. В 1999 году примерно 54 процента безработных в сфере сельского и лесного хозяйства в новых федеральных землях составляли женщины.</w:t>
      </w:r>
    </w:p>
    <w:p w:rsidR="00000000" w:rsidRDefault="00000000">
      <w:pPr>
        <w:pStyle w:val="SingleTxt"/>
      </w:pPr>
      <w:r>
        <w:t>Для противодействия этой тенденции разрабатывались альтернативные национальные проекты сбыта. В этой связи федеральное правительство вместе с землей Рейнлайнд-Пфальц осуществили в период с 1996 по 1999 годы эксп</w:t>
      </w:r>
      <w:r>
        <w:t>е</w:t>
      </w:r>
      <w:r>
        <w:t>риментальный проект Германской ассоциации сельских женщин (</w:t>
      </w:r>
      <w:r>
        <w:rPr>
          <w:lang w:val="en-US"/>
        </w:rPr>
        <w:t>Deutscher</w:t>
      </w:r>
      <w:r>
        <w:t xml:space="preserve"> </w:t>
      </w:r>
      <w:r>
        <w:rPr>
          <w:lang w:val="en-US"/>
        </w:rPr>
        <w:t>Landfrauenverband</w:t>
      </w:r>
      <w:r>
        <w:t>). Был осуществлен проект «Совместного национального сбыта сельскохозяйственной продукции, произведенной женщинами» (Проект Айфель-Хунсрюк), цель которого заключалась в разработке и опробовании концепции сбыта сельскохозяйственной продукции в городах (принадлежащие женщинам м</w:t>
      </w:r>
      <w:r>
        <w:t>а</w:t>
      </w:r>
      <w:r>
        <w:t>газины сельскохозяйственной продукции).</w:t>
      </w:r>
    </w:p>
    <w:p w:rsidR="00000000" w:rsidRDefault="00000000">
      <w:pPr>
        <w:pStyle w:val="SingleTxt"/>
      </w:pPr>
      <w:r>
        <w:t>Для открытия пунктов по оказанию услуг пожилым гражданам в сельских районах в качестве одной из мер по повышению их дохода в период с 1999 по 2001 годы федеральным министерством по вопросам защиты потребителей, продовольствия и сельского хозяйства было оказано содействие в осуществл</w:t>
      </w:r>
      <w:r>
        <w:t>е</w:t>
      </w:r>
      <w:r>
        <w:t>нии экспериментального проекта под названием «Услуги для пожилых граждан в сельских районах».</w:t>
      </w:r>
    </w:p>
    <w:p w:rsidR="00000000" w:rsidRDefault="00000000">
      <w:pPr>
        <w:pStyle w:val="SingleTxt"/>
      </w:pPr>
      <w:r>
        <w:t>С середины 90-х годов в сельских районах новых федеральных земель становилось все более и более ясным, что их будущее развитие в социально-экономической сфере будет находиться в большой зависимости от степени м</w:t>
      </w:r>
      <w:r>
        <w:t>о</w:t>
      </w:r>
      <w:r>
        <w:t>билизации проживающими там людьми своего собственного потенциала. Для борьбы с проблемами, с которыми сталкивались женщины на рынке труда, и особенно с вытекающими из них социальными последствиями, в качестве о</w:t>
      </w:r>
      <w:r>
        <w:t>д</w:t>
      </w:r>
      <w:r>
        <w:t>ного из важных элементов работы организаций проживающих в сельских ра</w:t>
      </w:r>
      <w:r>
        <w:t>й</w:t>
      </w:r>
      <w:r>
        <w:t>онах женщин было инициировано осуществление проектов обеспечения зан</w:t>
      </w:r>
      <w:r>
        <w:t>я</w:t>
      </w:r>
      <w:r>
        <w:t>тости.</w:t>
      </w:r>
    </w:p>
    <w:p w:rsidR="00000000" w:rsidRDefault="00000000">
      <w:pPr>
        <w:pStyle w:val="SingleTxt"/>
      </w:pPr>
      <w:r>
        <w:t>После осуществления в период с 1993 по 1996 годы федеральным прав</w:t>
      </w:r>
      <w:r>
        <w:t>и</w:t>
      </w:r>
      <w:r>
        <w:t>тельством в Саксонии-Анхальт экспериментального проекта «Сельские же</w:t>
      </w:r>
      <w:r>
        <w:t>н</w:t>
      </w:r>
      <w:r>
        <w:t>щины помогают себе сами», когда была оказана существенная поддержка сел</w:t>
      </w:r>
      <w:r>
        <w:t>ь</w:t>
      </w:r>
      <w:r>
        <w:t>ским женщинам в создании собственных сельскохозяйственных предприятий, с 1998 года федеральное министерство по делам семьи и престарелых, женщин и молодежи осуществило в новых федеральных землях экспериментальный пр</w:t>
      </w:r>
      <w:r>
        <w:t>о</w:t>
      </w:r>
      <w:r>
        <w:t xml:space="preserve">ект «Сельские женщины определяют содержание структурных изменений в сельских регионах – </w:t>
      </w:r>
      <w:r>
        <w:rPr>
          <w:lang w:val="en-US"/>
        </w:rPr>
        <w:t>SELF</w:t>
      </w:r>
      <w:r>
        <w:t>», работы по которому были успешно завершены в 2001 году. В тесном сотрудничестве с ассоциациями сельских женщин Асс</w:t>
      </w:r>
      <w:r>
        <w:t>о</w:t>
      </w:r>
      <w:r>
        <w:t>циация сельских женщин Германии, являясь организацией, отвечающей за эк</w:t>
      </w:r>
      <w:r>
        <w:t>с</w:t>
      </w:r>
      <w:r>
        <w:t>периментальный проект, оказала содействие женщинам в сельских районах, более серьезно пострадавшим от безработицы по сравнению с мужчинами, в рамках проектов, ориентированных на получение дохода, а также в начале св</w:t>
      </w:r>
      <w:r>
        <w:t>о</w:t>
      </w:r>
      <w:r>
        <w:t>его собственного бизнеса.</w:t>
      </w:r>
    </w:p>
    <w:p w:rsidR="00000000" w:rsidRDefault="00000000">
      <w:pPr>
        <w:pStyle w:val="SingleTxt"/>
      </w:pPr>
      <w:r>
        <w:t>Благодаря этому проекту был внесен вклад в создание рабочих мест для женщин с использованием существующего потенциала и инициатив в сельских районах, был создан центр для формирования идей женщин в отношении со</w:t>
      </w:r>
      <w:r>
        <w:t>з</w:t>
      </w:r>
      <w:r>
        <w:t>дания предприятий в сельских районах и разработаны новые идеи для создания женщинами новых предприятий и обеспечения их рентабельности. В целом, благодаря экспериментальному проекту, началась работа 26 предприятий, на которых первоначально было создано 40 рабочих мест во всех сферах, таких как реме</w:t>
      </w:r>
      <w:r>
        <w:t>с</w:t>
      </w:r>
      <w:r>
        <w:t>ла, услуги, оптовая и розничная торговля и туризм.</w:t>
      </w:r>
    </w:p>
    <w:p w:rsidR="00000000" w:rsidRDefault="00000000">
      <w:pPr>
        <w:pStyle w:val="H23"/>
      </w:pPr>
      <w:bookmarkStart w:id="196" w:name="_Toc44113468"/>
      <w:bookmarkStart w:id="197" w:name="_Toc44113755"/>
      <w:bookmarkStart w:id="198" w:name="_Toc44114262"/>
      <w:bookmarkStart w:id="199" w:name="_Toc44115521"/>
      <w:bookmarkStart w:id="200" w:name="_Toc44115939"/>
      <w:r>
        <w:t>4.2</w:t>
      </w:r>
      <w:r>
        <w:tab/>
        <w:t>Содействие расширению возможностей в области занятости женщин, работающих в сельском хозяйстве</w:t>
      </w:r>
      <w:bookmarkEnd w:id="196"/>
      <w:bookmarkEnd w:id="197"/>
      <w:bookmarkEnd w:id="198"/>
      <w:bookmarkEnd w:id="199"/>
      <w:bookmarkEnd w:id="200"/>
    </w:p>
    <w:p w:rsidR="00000000" w:rsidRDefault="00000000">
      <w:pPr>
        <w:pStyle w:val="SingleTxt"/>
      </w:pPr>
      <w:r>
        <w:t>Условия рамок новой политики в области сельского хозяйства, структу</w:t>
      </w:r>
      <w:r>
        <w:t>р</w:t>
      </w:r>
      <w:r>
        <w:t>ные, технические, социально-экономические изменения в сельском хозяйстве и в сельских районах ухудшают, с одной стороны, и без того напряженную с</w:t>
      </w:r>
      <w:r>
        <w:t>и</w:t>
      </w:r>
      <w:r>
        <w:t>туацию в отношении труда и доходов, в частности, применительно к работа</w:t>
      </w:r>
      <w:r>
        <w:t>ю</w:t>
      </w:r>
      <w:r>
        <w:t>щим в сельском хозяйстве женщинам. С другой стороны, однако, открываются также возможности для работы в новых сферах и получения доходов иным способом за счет переориентации. Цель заключается в стимулировании зан</w:t>
      </w:r>
      <w:r>
        <w:t>и</w:t>
      </w:r>
      <w:r>
        <w:t>мающихся сельскохозяйственным трудом и проживающих в сельских районах женщин к разработке и реализации новый идей и концепций для обеспечения или открытия новых возможностей в отношении получения доходов или зан</w:t>
      </w:r>
      <w:r>
        <w:t>я</w:t>
      </w:r>
      <w:r>
        <w:t>тости.</w:t>
      </w:r>
    </w:p>
    <w:p w:rsidR="00000000" w:rsidRDefault="00000000">
      <w:pPr>
        <w:pStyle w:val="SingleTxt"/>
      </w:pPr>
      <w:r>
        <w:t>Задаются вопросы относительно того, полезно ли применять и использ</w:t>
      </w:r>
      <w:r>
        <w:t>о</w:t>
      </w:r>
      <w:r>
        <w:t>вать здесь информационные технологии. По-прежнему существует значител</w:t>
      </w:r>
      <w:r>
        <w:t>ь</w:t>
      </w:r>
      <w:r>
        <w:t>ный разрыв между городскими и сельскими районами в отношении квалифик</w:t>
      </w:r>
      <w:r>
        <w:t>а</w:t>
      </w:r>
      <w:r>
        <w:t xml:space="preserve">ции и труда. Это, в частности, относится к проживающим в сельских районах женщинам. Для снятия этой проблемы структурного характера </w:t>
      </w:r>
      <w:r>
        <w:rPr>
          <w:caps/>
        </w:rPr>
        <w:t>а</w:t>
      </w:r>
      <w:r>
        <w:t>ссоциация сельских женщин Германии воспользовалась финансированием со стороны ф</w:t>
      </w:r>
      <w:r>
        <w:t>е</w:t>
      </w:r>
      <w:r>
        <w:t>дерального министерства по делам семьи и престарелых, женщин и молодежи в осуществлении проекта в области ИТ, непосредственно ориентированного на практическую деятельность. Этот проект дополняет программу «Женщины и труд», без которой невозможно в полной мере охватить проживающих в сел</w:t>
      </w:r>
      <w:r>
        <w:t>ь</w:t>
      </w:r>
      <w:r>
        <w:t>ских районах женщин. По этому проекту предусматривается, что в каждой из ассоциаций сельских жителей (всего в Германии существует 22 ассоциации сельских жителей) для получения профессии специалиста в области ИТ обуч</w:t>
      </w:r>
      <w:r>
        <w:t>е</w:t>
      </w:r>
      <w:r>
        <w:t>ние проходят в среднем две женщины, с тем чтобы использовать эти знания для дальнейшего обучения в организациях сельских женщин на уровне земель. Подготовленные специалисты отвечают также в своих землях за проведение подготовки сельских женщин и начинающих свой бизнес лиц по созданию веб-сайтов. С одной стороны это означает, что специалисты сами становятся орг</w:t>
      </w:r>
      <w:r>
        <w:t>а</w:t>
      </w:r>
      <w:r>
        <w:t>низаторами бизнеса, а с другой – это означает открытие новых каналов сбыта для региональных предпринимателей, начинающих свой бизнес.</w:t>
      </w:r>
    </w:p>
    <w:p w:rsidR="00000000" w:rsidRDefault="00000000">
      <w:pPr>
        <w:pStyle w:val="H1"/>
      </w:pPr>
      <w:bookmarkStart w:id="201" w:name="_Toc44113469"/>
      <w:bookmarkStart w:id="202" w:name="_Toc44113756"/>
      <w:bookmarkStart w:id="203" w:name="_Toc44114263"/>
      <w:bookmarkStart w:id="204" w:name="_Toc44115522"/>
      <w:bookmarkStart w:id="205" w:name="_Toc44115940"/>
      <w:r>
        <w:t xml:space="preserve">5. </w:t>
      </w:r>
      <w:r>
        <w:tab/>
        <w:t>Женщины в общественной жизни</w:t>
      </w:r>
      <w:bookmarkEnd w:id="201"/>
      <w:bookmarkEnd w:id="202"/>
      <w:bookmarkEnd w:id="203"/>
      <w:bookmarkEnd w:id="204"/>
      <w:bookmarkEnd w:id="205"/>
    </w:p>
    <w:p w:rsidR="00000000" w:rsidRDefault="00000000">
      <w:pPr>
        <w:pStyle w:val="H23"/>
      </w:pPr>
      <w:bookmarkStart w:id="206" w:name="_Toc44113470"/>
      <w:bookmarkStart w:id="207" w:name="_Toc44113757"/>
      <w:bookmarkStart w:id="208" w:name="_Toc44114264"/>
      <w:bookmarkStart w:id="209" w:name="_Toc44115523"/>
      <w:bookmarkStart w:id="210" w:name="_Toc44115941"/>
      <w:r>
        <w:t xml:space="preserve">5.1. </w:t>
      </w:r>
      <w:r>
        <w:tab/>
        <w:t>Общие замечания</w:t>
      </w:r>
      <w:bookmarkEnd w:id="206"/>
      <w:bookmarkEnd w:id="207"/>
      <w:bookmarkEnd w:id="208"/>
      <w:bookmarkEnd w:id="209"/>
      <w:bookmarkEnd w:id="210"/>
    </w:p>
    <w:p w:rsidR="00000000" w:rsidRDefault="00000000">
      <w:pPr>
        <w:pStyle w:val="SingleTxt"/>
      </w:pPr>
      <w:r>
        <w:t>В ходе проводившихся в сентябре 2002 года выборов в федеральный па</w:t>
      </w:r>
      <w:r>
        <w:t>р</w:t>
      </w:r>
      <w:r>
        <w:t>ламент Германии 15-го созыва женщины составляли большинство лиц, име</w:t>
      </w:r>
      <w:r>
        <w:t>ю</w:t>
      </w:r>
      <w:r>
        <w:t>щих право голоса – избирателей из их числа насчитывалось примерно 31,9 млн. человек, тогда как избирателей-мужчин насчитывалось примерно 29,3 млн. человек. В течение охватываемого докладом периода удалось увел</w:t>
      </w:r>
      <w:r>
        <w:t>и</w:t>
      </w:r>
      <w:r>
        <w:t>чить долю женщин в политических органах всех уровней. Пока не удалось до</w:t>
      </w:r>
      <w:r>
        <w:t>с</w:t>
      </w:r>
      <w:r>
        <w:t>тичь сбалансированного участия женщин и мужчин в политических органах. Главные причины этого кроются в традиционном распределении ролей между женщинами и мужчинами и традиционных условий жизни и работы. Исполняя семейные обязанности, женщины сталкиваются с бóльшими трудностями по сравнению с мужчинами при занятии политической деятельностью. Для того, чтобы работа в семье не становилась препятствием для политической деятел</w:t>
      </w:r>
      <w:r>
        <w:t>ь</w:t>
      </w:r>
      <w:r>
        <w:t>ности, необходимо адаптировать формы политических организаций и мер</w:t>
      </w:r>
      <w:r>
        <w:t>о</w:t>
      </w:r>
      <w:r>
        <w:t>приятий к условиям жизни и труда женщин. Федеральное правительство пре</w:t>
      </w:r>
      <w:r>
        <w:t>д</w:t>
      </w:r>
      <w:r>
        <w:t>принимает попытки осуществления ряда мер по привлечению, в частности, м</w:t>
      </w:r>
      <w:r>
        <w:t>о</w:t>
      </w:r>
      <w:r>
        <w:t>лодых женщин к политической деятельности. Это включает, в частности, ос</w:t>
      </w:r>
      <w:r>
        <w:t>у</w:t>
      </w:r>
      <w:r>
        <w:t>ществление проектов наставничества для женщин, в рамках которых молодые женщины получают возмо</w:t>
      </w:r>
      <w:r>
        <w:t>ж</w:t>
      </w:r>
      <w:r>
        <w:t>ность время от времени сопровождать женщин-политиков в ходе их п</w:t>
      </w:r>
      <w:r>
        <w:t>о</w:t>
      </w:r>
      <w:r>
        <w:t>вседневной работы.</w:t>
      </w:r>
    </w:p>
    <w:p w:rsidR="00000000" w:rsidRDefault="00000000">
      <w:pPr>
        <w:pStyle w:val="H23"/>
      </w:pPr>
      <w:bookmarkStart w:id="211" w:name="_Toc44113471"/>
      <w:bookmarkStart w:id="212" w:name="_Toc44113758"/>
      <w:bookmarkStart w:id="213" w:name="_Toc44114265"/>
      <w:bookmarkStart w:id="214" w:name="_Toc44115524"/>
      <w:bookmarkStart w:id="215" w:name="_Toc44115942"/>
      <w:r>
        <w:t>5.2</w:t>
      </w:r>
      <w:r>
        <w:tab/>
        <w:t>Участие на федеральном уровне</w:t>
      </w:r>
      <w:bookmarkEnd w:id="211"/>
      <w:bookmarkEnd w:id="212"/>
      <w:bookmarkEnd w:id="213"/>
      <w:bookmarkEnd w:id="214"/>
      <w:bookmarkEnd w:id="215"/>
    </w:p>
    <w:p w:rsidR="00000000" w:rsidRDefault="00000000">
      <w:pPr>
        <w:pStyle w:val="SingleTxt"/>
      </w:pPr>
      <w:r>
        <w:t>В последние годы доля женщин в парламентах продолжала неуклонно увеличиваться. Так, например, в 2002 году в федеральный парламент Германии была избрана наибольшая доля женщин со времени создания Федеративной республики. Говоря в целом, после выборов 1998 года в федеральный парл</w:t>
      </w:r>
      <w:r>
        <w:t>а</w:t>
      </w:r>
      <w:r>
        <w:t xml:space="preserve">мент 14-го созыва 30,9 процента его членов составляли женщины: из 669 членов парламента женщины составляли 207. Эту цифру можно сравнить с цифрой в 26,3 процента после выборов в федеральный парламент в 1994 году. Доля женщин-членов парламента меняется, однако, в зависимости от членства в партии. Так, например, представляющие СДПГ женщины составляют 35,23 процента, партию «Союз-90 – Зеленые» – 57,45 процента, ХДС/ХСС – 18,37 процента, СвДП – 20,93 процента и ПДС – 58,33 процента. Второй раз в истории Федеративной </w:t>
      </w:r>
      <w:r>
        <w:rPr>
          <w:caps/>
        </w:rPr>
        <w:t>р</w:t>
      </w:r>
      <w:r>
        <w:t>еспублике Германии председателем федерального пр</w:t>
      </w:r>
      <w:r>
        <w:t>а</w:t>
      </w:r>
      <w:r>
        <w:t>вительства была избрана женщина (после Анны-Марии Ренгер, занимавшей этот пост с 1972 по 1976 годы), которая занимала вторую по значимости дол</w:t>
      </w:r>
      <w:r>
        <w:t>ж</w:t>
      </w:r>
      <w:r>
        <w:t>ность в стране в период с 1988 по 1998 годы, – проф. д-р Рита Зюсмут. Трое из пяти заместителей председателей федерального парламента Германии 14-го с</w:t>
      </w:r>
      <w:r>
        <w:t>о</w:t>
      </w:r>
      <w:r>
        <w:t>зыва – женщины. Впервые председателем высшего судебного органа Герм</w:t>
      </w:r>
      <w:r>
        <w:t>а</w:t>
      </w:r>
      <w:r>
        <w:t>нии – Федерального конституционного суда – с 1994 года является женщина, проф. д-р Ютта Линбах, занима</w:t>
      </w:r>
      <w:r>
        <w:t>в</w:t>
      </w:r>
      <w:r>
        <w:t>шая эту должность до весны 2002 года.</w:t>
      </w:r>
    </w:p>
    <w:p w:rsidR="00000000" w:rsidRDefault="00000000">
      <w:pPr>
        <w:pStyle w:val="SingleTxt"/>
      </w:pPr>
      <w:r>
        <w:t>В 2001 году в кабинет министров федерального правительства входило 17 женщин: 6 министров (федеральное министерство юстиции, Федеральное министерство по вопросам защиты потребителей, продовольствия и сельского хозяйства, федеральное министерство здравоохранения, федеральное мин</w:t>
      </w:r>
      <w:r>
        <w:t>и</w:t>
      </w:r>
      <w:r>
        <w:t>стерство по делам семьи и престарелых, женщин и молодежи, федеральное м</w:t>
      </w:r>
      <w:r>
        <w:t>и</w:t>
      </w:r>
      <w:r>
        <w:t>нистерство образования и научных исследований, федеральное министерство по вопросам экономического сотрудничества и развития) и 11 парламентских государственных секретарей из общего числа 16-ти министерств. В качестве государственных секретарей женщины также отвечают за направления де</w:t>
      </w:r>
      <w:r>
        <w:t>я</w:t>
      </w:r>
      <w:r>
        <w:t>тельности, которые ранее являлись исключительной прерогативой мужчин (н</w:t>
      </w:r>
      <w:r>
        <w:t>а</w:t>
      </w:r>
      <w:r>
        <w:t>пример, Федеральные министерства внутренних дел, фина</w:t>
      </w:r>
      <w:r>
        <w:t>н</w:t>
      </w:r>
      <w:r>
        <w:t xml:space="preserve">сов и обороны). </w:t>
      </w:r>
    </w:p>
    <w:p w:rsidR="00000000" w:rsidRDefault="00000000">
      <w:pPr>
        <w:pStyle w:val="SingleTxt"/>
      </w:pPr>
      <w:r>
        <w:t>В период с 1995 по 2000 годы уполномоченным по вопросам обороны в федеральном парламе</w:t>
      </w:r>
      <w:r>
        <w:t>н</w:t>
      </w:r>
      <w:r>
        <w:t>те Германии впервые являлась женщина.</w:t>
      </w:r>
    </w:p>
    <w:p w:rsidR="00000000" w:rsidRDefault="00000000">
      <w:pPr>
        <w:pStyle w:val="H23"/>
      </w:pPr>
      <w:bookmarkStart w:id="216" w:name="_Toc44113472"/>
      <w:bookmarkStart w:id="217" w:name="_Toc44113759"/>
      <w:bookmarkStart w:id="218" w:name="_Toc44114266"/>
      <w:bookmarkStart w:id="219" w:name="_Toc44115525"/>
      <w:bookmarkStart w:id="220" w:name="_Toc44115943"/>
      <w:r>
        <w:t>5.3 </w:t>
      </w:r>
      <w:r>
        <w:tab/>
        <w:t>Участие на уровне земель</w:t>
      </w:r>
      <w:bookmarkEnd w:id="216"/>
      <w:bookmarkEnd w:id="217"/>
      <w:bookmarkEnd w:id="218"/>
      <w:bookmarkEnd w:id="219"/>
      <w:bookmarkEnd w:id="220"/>
    </w:p>
    <w:p w:rsidR="00000000" w:rsidRDefault="00000000">
      <w:pPr>
        <w:pStyle w:val="SingleTxt"/>
      </w:pPr>
      <w:r>
        <w:t>Доля женщин в парламентах земель колеблется от 22,7 процента в Бав</w:t>
      </w:r>
      <w:r>
        <w:t>а</w:t>
      </w:r>
      <w:r>
        <w:t xml:space="preserve">рии до 41 процента в Бремене. </w:t>
      </w:r>
    </w:p>
    <w:p w:rsidR="00000000" w:rsidRDefault="00000000">
      <w:pPr>
        <w:pStyle w:val="SingleTxt"/>
      </w:pPr>
      <w:r>
        <w:t>Среди членов правительств земель министров-женщин насчитывается примерно 40 (цифра колеблется от 8,3 процента в Саксонии до 55,6 процента в Шлезвиг-Гольштейне). С мая 1993 года правительство одной из земель впервые возглавляет женщина (Шлезвиг-Гольштейн).</w:t>
      </w:r>
    </w:p>
    <w:p w:rsidR="00000000" w:rsidRDefault="00000000">
      <w:pPr>
        <w:pStyle w:val="H23"/>
      </w:pPr>
      <w:bookmarkStart w:id="221" w:name="_Toc44113473"/>
      <w:bookmarkStart w:id="222" w:name="_Toc44113760"/>
      <w:bookmarkStart w:id="223" w:name="_Toc44114267"/>
      <w:bookmarkStart w:id="224" w:name="_Toc44115526"/>
      <w:bookmarkStart w:id="225" w:name="_Toc44115944"/>
      <w:r>
        <w:t>5.4 </w:t>
      </w:r>
      <w:r>
        <w:tab/>
        <w:t>Участие на муниципальном уровне</w:t>
      </w:r>
      <w:bookmarkEnd w:id="221"/>
      <w:bookmarkEnd w:id="222"/>
      <w:bookmarkEnd w:id="223"/>
      <w:bookmarkEnd w:id="224"/>
      <w:bookmarkEnd w:id="225"/>
    </w:p>
    <w:p w:rsidR="00000000" w:rsidRDefault="00000000">
      <w:pPr>
        <w:pStyle w:val="SingleTxt"/>
      </w:pPr>
      <w:r>
        <w:t>В последние годы продолжала расти доля женщин в выборных органах городских и местных властей. В местных органах власти населенных пунктов с численностью населения от 10 000 до 20 000 жителей доля женщин среди чл</w:t>
      </w:r>
      <w:r>
        <w:t>е</w:t>
      </w:r>
      <w:r>
        <w:t>нов городских и муниципальных советов уже достигла в среднем 21,04 процента. Можно также отметить тенденцию, что с увеличением мун</w:t>
      </w:r>
      <w:r>
        <w:t>и</w:t>
      </w:r>
      <w:r>
        <w:t>ципальных округов увеличивается доля женщин в городских или муниципал</w:t>
      </w:r>
      <w:r>
        <w:t>ь</w:t>
      </w:r>
      <w:r>
        <w:t>ных советах. Так, например, доля женщин в муниципальных округах с числом жителей 500 000 человек и более в городских или муниципальных советах с</w:t>
      </w:r>
      <w:r>
        <w:t>о</w:t>
      </w:r>
      <w:r>
        <w:t>ставляет в среднем 36,26 процента. В нескольких крупных городах женщины возглавляют администрацию.</w:t>
      </w:r>
    </w:p>
    <w:p w:rsidR="00000000" w:rsidRDefault="00000000">
      <w:pPr>
        <w:pStyle w:val="H23"/>
      </w:pPr>
      <w:bookmarkStart w:id="226" w:name="_Toc44113474"/>
      <w:bookmarkStart w:id="227" w:name="_Toc44113761"/>
      <w:bookmarkStart w:id="228" w:name="_Toc44114268"/>
      <w:bookmarkStart w:id="229" w:name="_Toc44115527"/>
      <w:bookmarkStart w:id="230" w:name="_Toc44115945"/>
      <w:r>
        <w:t>5.5 </w:t>
      </w:r>
      <w:r>
        <w:tab/>
        <w:t>Участие в профсоюзах</w:t>
      </w:r>
      <w:bookmarkEnd w:id="226"/>
      <w:bookmarkEnd w:id="227"/>
      <w:bookmarkEnd w:id="228"/>
      <w:bookmarkEnd w:id="229"/>
      <w:bookmarkEnd w:id="230"/>
    </w:p>
    <w:p w:rsidR="00000000" w:rsidRDefault="00000000">
      <w:pPr>
        <w:pStyle w:val="SingleTxt"/>
      </w:pPr>
      <w:r>
        <w:t>В профсоюзах, объединенных в Федерацию профсоюзов Германии (</w:t>
      </w:r>
      <w:r>
        <w:rPr>
          <w:lang w:val="en-US"/>
        </w:rPr>
        <w:t>DGB</w:t>
      </w:r>
      <w:r>
        <w:t xml:space="preserve">), в 2000 году из общего числа 7 772 795 членов 2 369 560 составляли женщины. Число женщин-членов профсоюзов, которые входят в </w:t>
      </w:r>
      <w:r>
        <w:rPr>
          <w:lang w:val="en-US"/>
        </w:rPr>
        <w:t>DGB</w:t>
      </w:r>
      <w:r>
        <w:t xml:space="preserve">, снизилось с 30,9 процента в 1997 году до почти 30,4 процента в 1999 году. В профсоюзе </w:t>
      </w:r>
      <w:r>
        <w:rPr>
          <w:lang w:val="en-US"/>
        </w:rPr>
        <w:t>ver</w:t>
      </w:r>
      <w:r>
        <w:t>.</w:t>
      </w:r>
      <w:r>
        <w:rPr>
          <w:lang w:val="en-US"/>
        </w:rPr>
        <w:t>di</w:t>
      </w:r>
      <w:r>
        <w:t>, который возник в 2001 году в результате слияния “</w:t>
      </w:r>
      <w:r>
        <w:rPr>
          <w:lang w:val="en-US"/>
        </w:rPr>
        <w:t>DAG</w:t>
      </w:r>
      <w:r>
        <w:t>”, “</w:t>
      </w:r>
      <w:r>
        <w:rPr>
          <w:lang w:val="en-US"/>
        </w:rPr>
        <w:t>DPG</w:t>
      </w:r>
      <w:r>
        <w:t>”, “</w:t>
      </w:r>
      <w:r>
        <w:rPr>
          <w:lang w:val="en-US"/>
        </w:rPr>
        <w:t>HBV</w:t>
      </w:r>
      <w:r>
        <w:t xml:space="preserve">”, </w:t>
      </w:r>
      <w:r>
        <w:rPr>
          <w:lang w:val="en-US"/>
        </w:rPr>
        <w:t>IG</w:t>
      </w:r>
      <w:r>
        <w:t xml:space="preserve"> </w:t>
      </w:r>
      <w:r>
        <w:rPr>
          <w:lang w:val="en-US"/>
        </w:rPr>
        <w:t>Medien</w:t>
      </w:r>
      <w:r>
        <w:t>” и “</w:t>
      </w:r>
      <w:r>
        <w:rPr>
          <w:caps/>
        </w:rPr>
        <w:t>ö</w:t>
      </w:r>
      <w:r>
        <w:rPr>
          <w:lang w:val="en-US"/>
        </w:rPr>
        <w:t>TV</w:t>
      </w:r>
      <w:r>
        <w:t>” насчитывалось на начало 2002 года в целом 2 991 650 членов, почти половину из которых составляли женщины – 1 422 327 членов. В некоторых секторах “</w:t>
      </w:r>
      <w:r>
        <w:rPr>
          <w:lang w:val="en-US"/>
        </w:rPr>
        <w:t>ver</w:t>
      </w:r>
      <w:r>
        <w:t>.</w:t>
      </w:r>
      <w:r>
        <w:rPr>
          <w:lang w:val="en-US"/>
        </w:rPr>
        <w:t>di</w:t>
      </w:r>
      <w:r>
        <w:t>” процентная доля женщин в</w:t>
      </w:r>
      <w:r>
        <w:t>ы</w:t>
      </w:r>
      <w:r>
        <w:t>сока из-за их специфики. Так, например, в таких секторах как торговля, банки и стр</w:t>
      </w:r>
      <w:r>
        <w:t>а</w:t>
      </w:r>
      <w:r>
        <w:t>хование женщин насчитывается 286 825 человек, а мужчин 145 798.</w:t>
      </w:r>
    </w:p>
    <w:p w:rsidR="00000000" w:rsidRDefault="00000000">
      <w:pPr>
        <w:pStyle w:val="SingleTxt"/>
      </w:pPr>
      <w:r>
        <w:t>В 2000 году председателем двух торговых профсоюзов были женщины (“</w:t>
      </w:r>
      <w:r>
        <w:rPr>
          <w:lang w:val="en-US"/>
        </w:rPr>
        <w:t>GEW</w:t>
      </w:r>
      <w:r>
        <w:t>” и “</w:t>
      </w:r>
      <w:r>
        <w:rPr>
          <w:lang w:val="en-US"/>
        </w:rPr>
        <w:t>HBV</w:t>
      </w:r>
      <w:r>
        <w:t>”). После учреждения в 2001 году отраслевого профсоюза предприятий обслуживания “</w:t>
      </w:r>
      <w:r>
        <w:rPr>
          <w:lang w:val="en-US"/>
        </w:rPr>
        <w:t>ver</w:t>
      </w:r>
      <w:r>
        <w:t>.</w:t>
      </w:r>
      <w:r>
        <w:rPr>
          <w:lang w:val="en-US"/>
        </w:rPr>
        <w:t>di</w:t>
      </w:r>
      <w:r>
        <w:t>” бывший председатель профсоюза “</w:t>
      </w:r>
      <w:r>
        <w:rPr>
          <w:lang w:val="en-US"/>
        </w:rPr>
        <w:t>HBV</w:t>
      </w:r>
      <w:r>
        <w:t>” стала заместителем председателя профсоюза “</w:t>
      </w:r>
      <w:r>
        <w:rPr>
          <w:lang w:val="en-US"/>
        </w:rPr>
        <w:t>ver</w:t>
      </w:r>
      <w:r>
        <w:t>.</w:t>
      </w:r>
      <w:r>
        <w:rPr>
          <w:lang w:val="en-US"/>
        </w:rPr>
        <w:t>di</w:t>
      </w:r>
      <w:r>
        <w:t>”.</w:t>
      </w:r>
    </w:p>
    <w:p w:rsidR="00000000" w:rsidRDefault="00000000">
      <w:pPr>
        <w:pStyle w:val="SingleTxt"/>
      </w:pPr>
      <w:r>
        <w:t xml:space="preserve">Двое из пяти членов федерального исполнительного комитета </w:t>
      </w:r>
      <w:r>
        <w:rPr>
          <w:caps/>
        </w:rPr>
        <w:t>ф</w:t>
      </w:r>
      <w:r>
        <w:t>едерации профсоюзов торговли Германии являются женщинами, что составляет 40 процентов. Нет женщин среди председателей Федерации профсоюзов то</w:t>
      </w:r>
      <w:r>
        <w:t>р</w:t>
      </w:r>
      <w:r>
        <w:t>говли земель, но женщины составляют 40 процентов заместителей. Доля же</w:t>
      </w:r>
      <w:r>
        <w:t>н</w:t>
      </w:r>
      <w:r>
        <w:t>щин в районных исполнительных комитетах (которые в будущем будут наз</w:t>
      </w:r>
      <w:r>
        <w:t>ы</w:t>
      </w:r>
      <w:r>
        <w:t>ваться региональными исполнительными комитетами) составляет 15,4 процента.</w:t>
      </w:r>
    </w:p>
    <w:p w:rsidR="00000000" w:rsidRDefault="00000000">
      <w:pPr>
        <w:pStyle w:val="SingleTxt"/>
      </w:pPr>
      <w:r>
        <w:t>Следует подчеркнуть, что в профсоюзе предприятий обслуживания “</w:t>
      </w:r>
      <w:r>
        <w:rPr>
          <w:lang w:val="en-US"/>
        </w:rPr>
        <w:t>ver</w:t>
      </w:r>
      <w:r>
        <w:t>.</w:t>
      </w:r>
      <w:r>
        <w:rPr>
          <w:lang w:val="en-US"/>
        </w:rPr>
        <w:t>di</w:t>
      </w:r>
      <w:r>
        <w:t>” женщины имеют свои собственные структуры и возможности для р</w:t>
      </w:r>
      <w:r>
        <w:t>а</w:t>
      </w:r>
      <w:r>
        <w:t>боты. Одной из главнейших задач является обеспечение демократии с точки зрения гендерного фактора; концепция равенства женщин и мужчин в пр</w:t>
      </w:r>
      <w:r>
        <w:t>о</w:t>
      </w:r>
      <w:r>
        <w:t>мышленности и обществе подлежит реализации за счет принятия всех реш</w:t>
      </w:r>
      <w:r>
        <w:t>е</w:t>
      </w:r>
      <w:r>
        <w:t>ний, в том числе при производстве назначений в профсоюзные органы. Нео</w:t>
      </w:r>
      <w:r>
        <w:t>б</w:t>
      </w:r>
      <w:r>
        <w:t>ходимо учитывать интересы женщин при выборах в соответствии с их долей среди членов.</w:t>
      </w:r>
    </w:p>
    <w:p w:rsidR="00000000" w:rsidRDefault="00000000">
      <w:pPr>
        <w:pStyle w:val="H1"/>
      </w:pPr>
      <w:bookmarkStart w:id="231" w:name="_Toc44113475"/>
      <w:bookmarkStart w:id="232" w:name="_Toc44113762"/>
      <w:bookmarkStart w:id="233" w:name="_Toc44114269"/>
      <w:bookmarkStart w:id="234" w:name="_Toc44115528"/>
      <w:bookmarkStart w:id="235" w:name="_Toc44115946"/>
      <w:r>
        <w:t>6.</w:t>
      </w:r>
      <w:r>
        <w:tab/>
        <w:t>Учреждения и органы по обеспечению равноправия мужчин и женщин</w:t>
      </w:r>
      <w:bookmarkEnd w:id="231"/>
      <w:bookmarkEnd w:id="232"/>
      <w:bookmarkEnd w:id="233"/>
      <w:bookmarkEnd w:id="234"/>
      <w:bookmarkEnd w:id="235"/>
    </w:p>
    <w:p w:rsidR="00000000" w:rsidRDefault="00000000">
      <w:pPr>
        <w:pStyle w:val="H23"/>
      </w:pPr>
      <w:bookmarkStart w:id="236" w:name="_Toc44113476"/>
      <w:bookmarkStart w:id="237" w:name="_Toc44113763"/>
      <w:bookmarkStart w:id="238" w:name="_Toc44114270"/>
      <w:bookmarkStart w:id="239" w:name="_Toc44115529"/>
      <w:bookmarkStart w:id="240" w:name="_Toc44115947"/>
      <w:r>
        <w:t>6.1</w:t>
      </w:r>
      <w:r>
        <w:tab/>
        <w:t>Уполномоченные по вопросам равенства и делам женщин в органах власти и общественных учреждениях</w:t>
      </w:r>
      <w:bookmarkEnd w:id="236"/>
      <w:bookmarkEnd w:id="237"/>
      <w:bookmarkEnd w:id="238"/>
      <w:bookmarkEnd w:id="239"/>
      <w:bookmarkEnd w:id="240"/>
    </w:p>
    <w:p w:rsidR="00000000" w:rsidRDefault="00000000">
      <w:pPr>
        <w:pStyle w:val="SingleTxt"/>
      </w:pPr>
      <w:r>
        <w:t>В настоящее время в многочисленных федеральных и земельных органах и общественных учреждениях созданы отделы, которые либо частично, либо исключительно занимаются вопросами, касающимися обеспечения равнопр</w:t>
      </w:r>
      <w:r>
        <w:t>а</w:t>
      </w:r>
      <w:r>
        <w:t>вия женщин в сфере деятельности, относящейся к компетенции этих учрежд</w:t>
      </w:r>
      <w:r>
        <w:t>е</w:t>
      </w:r>
      <w:r>
        <w:t>ний.</w:t>
      </w:r>
    </w:p>
    <w:p w:rsidR="00000000" w:rsidRDefault="00000000">
      <w:pPr>
        <w:pStyle w:val="H23"/>
      </w:pPr>
      <w:bookmarkStart w:id="241" w:name="_Toc44113477"/>
      <w:bookmarkStart w:id="242" w:name="_Toc44113764"/>
      <w:bookmarkStart w:id="243" w:name="_Toc44114271"/>
      <w:bookmarkStart w:id="244" w:name="_Toc44115530"/>
      <w:bookmarkStart w:id="245" w:name="_Toc44115948"/>
      <w:r>
        <w:t>6.2 </w:t>
      </w:r>
      <w:r>
        <w:tab/>
        <w:t>Уполномоченные Федерации по обеспечению равноправия</w:t>
      </w:r>
      <w:bookmarkEnd w:id="241"/>
      <w:bookmarkEnd w:id="242"/>
      <w:bookmarkEnd w:id="243"/>
      <w:bookmarkEnd w:id="244"/>
      <w:bookmarkEnd w:id="245"/>
    </w:p>
    <w:p w:rsidR="00000000" w:rsidRDefault="00000000">
      <w:pPr>
        <w:pStyle w:val="SingleTxt"/>
      </w:pPr>
      <w:r>
        <w:t xml:space="preserve">С принятием нового </w:t>
      </w:r>
      <w:r>
        <w:rPr>
          <w:caps/>
        </w:rPr>
        <w:t>ф</w:t>
      </w:r>
      <w:r>
        <w:t>едерального закона о равных возможностях (</w:t>
      </w:r>
      <w:r>
        <w:rPr>
          <w:lang w:val="en-US"/>
        </w:rPr>
        <w:t>Bu</w:t>
      </w:r>
      <w:r>
        <w:rPr>
          <w:lang w:val="en-US"/>
        </w:rPr>
        <w:t>n</w:t>
      </w:r>
      <w:r>
        <w:rPr>
          <w:lang w:val="en-US"/>
        </w:rPr>
        <w:t>desgleichstellungsgesetz</w:t>
      </w:r>
      <w:r>
        <w:t>) правам и обязанностям уполномоченных Федерации по обеспечению равенства была придана конкретная форма, они были активиз</w:t>
      </w:r>
      <w:r>
        <w:t>и</w:t>
      </w:r>
      <w:r>
        <w:t>рованы, а сфера задач уполномоченных была расширена. Наряду с этим были приняты четкие положения относительно обязательного освобождения от и</w:t>
      </w:r>
      <w:r>
        <w:t>с</w:t>
      </w:r>
      <w:r>
        <w:t xml:space="preserve">полнения других официальных функций. </w:t>
      </w:r>
    </w:p>
    <w:p w:rsidR="00000000" w:rsidRDefault="00000000">
      <w:pPr>
        <w:pStyle w:val="SingleTxt"/>
      </w:pPr>
      <w:r>
        <w:t>Что касается их права на представление возражений, то уполномоченным по обеспечению равенства были приданы эффективные официальные функции правовой защиты в отношении постановлений и мер их учреждений, которые они считают противоречащими равенству. Благодаря четкому нормативному открытию процедуры обжалования в административных судах в случае рад</w:t>
      </w:r>
      <w:r>
        <w:t>и</w:t>
      </w:r>
      <w:r>
        <w:t>кальных различий в мнениях относительно прав уполномоченных по обеспеч</w:t>
      </w:r>
      <w:r>
        <w:t>е</w:t>
      </w:r>
      <w:r>
        <w:t xml:space="preserve">нию равенства и прав по плану обеспечения равенства уполномоченные </w:t>
      </w:r>
      <w:r>
        <w:rPr>
          <w:caps/>
        </w:rPr>
        <w:t>ф</w:t>
      </w:r>
      <w:r>
        <w:t>ед</w:t>
      </w:r>
      <w:r>
        <w:t>е</w:t>
      </w:r>
      <w:r>
        <w:t>рации по обеспечению равенства будут в будущем иметь возможность доб</w:t>
      </w:r>
      <w:r>
        <w:t>и</w:t>
      </w:r>
      <w:r>
        <w:t>ваться разъяснения основополагающих вопросов, касающихся равенства, в с</w:t>
      </w:r>
      <w:r>
        <w:t>у</w:t>
      </w:r>
      <w:r>
        <w:t>дах, и их заявления не будут отвергаться судами как неприемлемые из-за отсу</w:t>
      </w:r>
      <w:r>
        <w:t>т</w:t>
      </w:r>
      <w:r>
        <w:t>ствия юридической основы, как это могло иметь место ранее. Будучи специ</w:t>
      </w:r>
      <w:r>
        <w:t>а</w:t>
      </w:r>
      <w:r>
        <w:t>листами по вопросам, касающимся равенства, уполномоченные по обеспеч</w:t>
      </w:r>
      <w:r>
        <w:t>е</w:t>
      </w:r>
      <w:r>
        <w:t>нию равенства участвуют в процедурах назначения в органы в своих сферах деятельности в отсутствие конкретных разделов в отношении обеспечения р</w:t>
      </w:r>
      <w:r>
        <w:t>а</w:t>
      </w:r>
      <w:r>
        <w:t>венства. Они вносят также вклад в реализацию мер, направленных на защиту от сексуального домогательства на раб</w:t>
      </w:r>
      <w:r>
        <w:t>о</w:t>
      </w:r>
      <w:r>
        <w:t>чем месте.</w:t>
      </w:r>
    </w:p>
    <w:p w:rsidR="00000000" w:rsidRDefault="00000000">
      <w:pPr>
        <w:pStyle w:val="H23"/>
      </w:pPr>
      <w:bookmarkStart w:id="246" w:name="_Toc44113478"/>
      <w:bookmarkStart w:id="247" w:name="_Toc44113765"/>
      <w:bookmarkStart w:id="248" w:name="_Toc44114272"/>
      <w:bookmarkStart w:id="249" w:name="_Toc44115531"/>
      <w:bookmarkStart w:id="250" w:name="_Toc44115949"/>
      <w:r>
        <w:t>6.3 </w:t>
      </w:r>
      <w:r>
        <w:tab/>
        <w:t>Межминистерская рабочая группа</w:t>
      </w:r>
      <w:bookmarkEnd w:id="246"/>
      <w:bookmarkEnd w:id="247"/>
      <w:bookmarkEnd w:id="248"/>
      <w:bookmarkEnd w:id="249"/>
      <w:bookmarkEnd w:id="250"/>
    </w:p>
    <w:p w:rsidR="00000000" w:rsidRDefault="00000000">
      <w:pPr>
        <w:pStyle w:val="SingleTxt"/>
      </w:pPr>
      <w:r>
        <w:t>Уполномоченный по обеспечению равенства федерального министерства по делам семьи и престарелых, женщин и молодежи является председателем Межминистерской рабочей группы (МРГ). В МРГ уполномоченные по обесп</w:t>
      </w:r>
      <w:r>
        <w:t>е</w:t>
      </w:r>
      <w:r>
        <w:t>чению равенства обмениваются своим опытом, проводят обзор касающихся р</w:t>
      </w:r>
      <w:r>
        <w:t>а</w:t>
      </w:r>
      <w:r>
        <w:t>венства вопросов, которые рассмотрели вышестоящие органы, разрабатывают идеи по улучшению условий труда сотрудников-женщин в своих департаментах и совместно занимаются повышением квалификации в сфере своей деятельн</w:t>
      </w:r>
      <w:r>
        <w:t>о</w:t>
      </w:r>
      <w:r>
        <w:t>сти. Сюда входят вопросы сокращения числа неблагоприятных явлений, пов</w:t>
      </w:r>
      <w:r>
        <w:t>ы</w:t>
      </w:r>
      <w:r>
        <w:t>шения квалификации сотрудников и достижения сбалансированности в семе</w:t>
      </w:r>
      <w:r>
        <w:t>й</w:t>
      </w:r>
      <w:r>
        <w:t>ных и трудовых отношениях, а также большое число других тем.</w:t>
      </w:r>
    </w:p>
    <w:p w:rsidR="00000000" w:rsidRDefault="00000000">
      <w:pPr>
        <w:pStyle w:val="H23"/>
      </w:pPr>
      <w:bookmarkStart w:id="251" w:name="_Toc44113479"/>
      <w:bookmarkStart w:id="252" w:name="_Toc44113766"/>
      <w:bookmarkStart w:id="253" w:name="_Toc44114273"/>
      <w:bookmarkStart w:id="254" w:name="_Toc44115532"/>
      <w:bookmarkStart w:id="255" w:name="_Toc44115950"/>
      <w:r>
        <w:t>6.4 </w:t>
      </w:r>
      <w:r>
        <w:tab/>
        <w:t>Учреждения по обеспечению равенства на уровне земель</w:t>
      </w:r>
      <w:bookmarkEnd w:id="251"/>
      <w:bookmarkEnd w:id="252"/>
      <w:bookmarkEnd w:id="253"/>
      <w:bookmarkEnd w:id="254"/>
      <w:bookmarkEnd w:id="255"/>
    </w:p>
    <w:p w:rsidR="00000000" w:rsidRDefault="00000000">
      <w:pPr>
        <w:pStyle w:val="SingleTxt"/>
      </w:pPr>
      <w:r>
        <w:t>Развитие событий в отношении учреждений на уровне земель аналогично развитию событий на федеральном уровне.</w:t>
      </w:r>
    </w:p>
    <w:p w:rsidR="00000000" w:rsidRDefault="00000000">
      <w:pPr>
        <w:pStyle w:val="SingleTxt"/>
      </w:pPr>
      <w:r>
        <w:t>Все правительства земель создали учреждения, которые занимаются в</w:t>
      </w:r>
      <w:r>
        <w:t>о</w:t>
      </w:r>
      <w:r>
        <w:t>просами обеспечения равных возможностей. Однако, эти учреждения имеют разный статус в земельных администрациях. В последние годы 13 земель со</w:t>
      </w:r>
      <w:r>
        <w:t>з</w:t>
      </w:r>
      <w:r>
        <w:t>дали министерства по делам женщин, в частности, Бавария, Берлин, Бранде</w:t>
      </w:r>
      <w:r>
        <w:t>н</w:t>
      </w:r>
      <w:r>
        <w:t xml:space="preserve">бург, Бремен, Гамбург, Гессен, Нижняя Саксония, Северный Рейн-Вестфалия, Рейнланд-Пфальц, Саар, Саксония, Саксония-Анхальт и Шлезвиг-Гольштейн. В Баден-Вюртемберге имеется государственный секретарь по делам женщин в министерстве по социальным вопросам, в Тюрингии имеется уполномоченный правительства земли Тюрингия по обеспечению равенства женщин и мужчин, а в Мекленбурге-Западная Померания имеется уполномоченный правительства земли по делам женщин и обеспечению равенства. </w:t>
      </w:r>
    </w:p>
    <w:p w:rsidR="00000000" w:rsidRDefault="00000000">
      <w:pPr>
        <w:pStyle w:val="SingleTxt"/>
      </w:pPr>
      <w:r>
        <w:t>Задачи и полномочия земельных учреждений по обеспечению равенства выглядят следующим образом:</w:t>
      </w:r>
    </w:p>
    <w:p w:rsidR="00000000" w:rsidRDefault="00000000">
      <w:pPr>
        <w:pStyle w:val="dot"/>
      </w:pPr>
      <w:r>
        <w:tab/>
      </w:r>
      <w:r>
        <w:tab/>
        <w:t>•</w:t>
      </w:r>
      <w:r>
        <w:tab/>
        <w:t>рекомендации и предложения по проектам, а также рассмотрение уста</w:t>
      </w:r>
      <w:r>
        <w:t>в</w:t>
      </w:r>
      <w:r>
        <w:t>ных положений, постановлений и мер правительства соответствующей земли;</w:t>
      </w:r>
    </w:p>
    <w:p w:rsidR="00000000" w:rsidRDefault="00000000">
      <w:pPr>
        <w:pStyle w:val="dot"/>
      </w:pPr>
      <w:r>
        <w:tab/>
      </w:r>
      <w:r>
        <w:tab/>
        <w:t>•</w:t>
      </w:r>
      <w:r>
        <w:tab/>
        <w:t>сотрудничество с женскими организациями, а также с другими организ</w:t>
      </w:r>
      <w:r>
        <w:t>а</w:t>
      </w:r>
      <w:r>
        <w:t>циями и ассоциаци</w:t>
      </w:r>
      <w:r>
        <w:t>я</w:t>
      </w:r>
      <w:r>
        <w:t>ми, занимающимися делами женщин;</w:t>
      </w:r>
    </w:p>
    <w:p w:rsidR="00000000" w:rsidRDefault="00000000">
      <w:pPr>
        <w:pStyle w:val="dot"/>
      </w:pPr>
      <w:r>
        <w:tab/>
      </w:r>
      <w:r>
        <w:tab/>
        <w:t>•</w:t>
      </w:r>
      <w:r>
        <w:tab/>
        <w:t xml:space="preserve">сотрудничество с соответствующими учреждениями </w:t>
      </w:r>
      <w:r>
        <w:rPr>
          <w:caps/>
        </w:rPr>
        <w:t>ф</w:t>
      </w:r>
      <w:r>
        <w:t>едерации и других земель, а также со всеми органами власти, которые могут осуществлять меры, касающиеся равенства женщин и мужчин.</w:t>
      </w:r>
    </w:p>
    <w:p w:rsidR="00000000" w:rsidRDefault="00000000">
      <w:pPr>
        <w:pStyle w:val="SingleTxt"/>
      </w:pPr>
      <w:r>
        <w:t>Деятельность земельных учреждений по обеспечению равенства охват</w:t>
      </w:r>
      <w:r>
        <w:t>ы</w:t>
      </w:r>
      <w:r>
        <w:t>вает все сферы политики. Они разрабатывают специальные меры в сферах школьного образования, просвещения, профессиональной подготовки, труд</w:t>
      </w:r>
      <w:r>
        <w:t>о</w:t>
      </w:r>
      <w:r>
        <w:t>вой жизни, повышения профессиональной квалификации женщин, достижения сбалансированности между семейными и трудовыми отношениями, а также н</w:t>
      </w:r>
      <w:r>
        <w:t>а</w:t>
      </w:r>
      <w:r>
        <w:t>силия в отношении женщин.</w:t>
      </w:r>
    </w:p>
    <w:p w:rsidR="00000000" w:rsidRDefault="00000000">
      <w:pPr>
        <w:pStyle w:val="SingleTxt"/>
      </w:pPr>
      <w:r>
        <w:rPr>
          <w:caps/>
        </w:rPr>
        <w:t>в</w:t>
      </w:r>
      <w:r>
        <w:t xml:space="preserve"> 1991 г в Потсдаме была учреждена </w:t>
      </w:r>
      <w:r>
        <w:rPr>
          <w:caps/>
        </w:rPr>
        <w:t>к</w:t>
      </w:r>
      <w:r>
        <w:t>онференция министров и сенат</w:t>
      </w:r>
      <w:r>
        <w:t>о</w:t>
      </w:r>
      <w:r>
        <w:t>ров земель по обеспечению равных возможностей и по делам женщин (</w:t>
      </w:r>
      <w:r>
        <w:rPr>
          <w:lang w:val="en-US"/>
        </w:rPr>
        <w:t>GFMK</w:t>
      </w:r>
      <w:r>
        <w:t>). Она проводится ежегодно, и каждый раз назначается новый председатель. Ф</w:t>
      </w:r>
      <w:r>
        <w:t>е</w:t>
      </w:r>
      <w:r>
        <w:t>деральное правительство имеет на ней статус постоянного участника. Конф</w:t>
      </w:r>
      <w:r>
        <w:t>е</w:t>
      </w:r>
      <w:r>
        <w:t>ренция представляет собой форум для взаимного обмена информацией и коо</w:t>
      </w:r>
      <w:r>
        <w:t>р</w:t>
      </w:r>
      <w:r>
        <w:t>динации, обсуждения предлагаемых законодательных положений на федерал</w:t>
      </w:r>
      <w:r>
        <w:t>ь</w:t>
      </w:r>
      <w:r>
        <w:t>ном и земельном уровнях, разработки совместных заявлений и резолюций и с</w:t>
      </w:r>
      <w:r>
        <w:t>о</w:t>
      </w:r>
      <w:r>
        <w:t>гласования деятельности на межр</w:t>
      </w:r>
      <w:r>
        <w:t>е</w:t>
      </w:r>
      <w:r>
        <w:t xml:space="preserve">гиональном уровне. </w:t>
      </w:r>
    </w:p>
    <w:p w:rsidR="00000000" w:rsidRDefault="00000000">
      <w:pPr>
        <w:pStyle w:val="SingleTxt"/>
      </w:pPr>
      <w:r>
        <w:rPr>
          <w:lang w:val="en-US"/>
        </w:rPr>
        <w:t>GFMK</w:t>
      </w:r>
      <w:r>
        <w:t xml:space="preserve"> является важным инструментом дополнения политики федерал</w:t>
      </w:r>
      <w:r>
        <w:t>ь</w:t>
      </w:r>
      <w:r>
        <w:t>ного правительства, в частности, в отношении таких политических областей, как рынок труда, законы о семье, пенсии по старости, содействие науке и бор</w:t>
      </w:r>
      <w:r>
        <w:t>ь</w:t>
      </w:r>
      <w:r>
        <w:t>ба с насилием в отношении женщин. Рабочие группы всех федеральных земель разрабатывают для федерального правительства предложения по обеспечению равенства, охватывающие все земли. Через федеральные земли они предста</w:t>
      </w:r>
      <w:r>
        <w:t>в</w:t>
      </w:r>
      <w:r>
        <w:t>ляются федеральному совету или другим специализированным конференциям федеральных земель как, например, конференции министров экономики или минис</w:t>
      </w:r>
      <w:r>
        <w:t>т</w:t>
      </w:r>
      <w:r>
        <w:t>ров юстиции.</w:t>
      </w:r>
    </w:p>
    <w:p w:rsidR="00000000" w:rsidRDefault="00000000">
      <w:pPr>
        <w:pStyle w:val="H23"/>
      </w:pPr>
      <w:bookmarkStart w:id="256" w:name="_Toc44113480"/>
      <w:bookmarkStart w:id="257" w:name="_Toc44113767"/>
      <w:bookmarkStart w:id="258" w:name="_Toc44114274"/>
      <w:bookmarkStart w:id="259" w:name="_Toc44115533"/>
      <w:bookmarkStart w:id="260" w:name="_Toc44115951"/>
      <w:r>
        <w:t>6.5 </w:t>
      </w:r>
      <w:r>
        <w:tab/>
        <w:t>Муниципальные советы по обеспечению равных возможностей</w:t>
      </w:r>
      <w:bookmarkEnd w:id="256"/>
      <w:bookmarkEnd w:id="257"/>
      <w:bookmarkEnd w:id="258"/>
      <w:bookmarkEnd w:id="259"/>
      <w:bookmarkEnd w:id="260"/>
    </w:p>
    <w:p w:rsidR="00000000" w:rsidRDefault="00000000">
      <w:pPr>
        <w:pStyle w:val="SingleTxt"/>
      </w:pPr>
      <w:r>
        <w:t>Спустя 20 лет после создания в 1982 году в Кельне первого муниципал</w:t>
      </w:r>
      <w:r>
        <w:t>ь</w:t>
      </w:r>
      <w:r>
        <w:t>ного совета по обеспечению равных возможностей, в настоящее время в Ге</w:t>
      </w:r>
      <w:r>
        <w:t>р</w:t>
      </w:r>
      <w:r>
        <w:t>мании действует приблизительно 1900 муниципальных советов по обеспеч</w:t>
      </w:r>
      <w:r>
        <w:t>е</w:t>
      </w:r>
      <w:r>
        <w:t>нию равных возможностей. Во многих муниципальных округах учреждена должность уполномоченного по обеспечению равных возможностей, что сд</w:t>
      </w:r>
      <w:r>
        <w:t>е</w:t>
      </w:r>
      <w:r>
        <w:t>лано и в сельских районах, включая все районы новой федеральной террит</w:t>
      </w:r>
      <w:r>
        <w:t>о</w:t>
      </w:r>
      <w:r>
        <w:t>рии. Назначение уполномоченных по обеспечению равенства приобрело в н</w:t>
      </w:r>
      <w:r>
        <w:t>а</w:t>
      </w:r>
      <w:r>
        <w:t>стоящее время упорядоченный характер, а их численность в последние годы возрастала быстрыми темпами. О широком признании деятельности уполном</w:t>
      </w:r>
      <w:r>
        <w:t>о</w:t>
      </w:r>
      <w:r>
        <w:t>ченных по обеспечению равных возможностей свидетельствует тот факт, что многие другие муниципальные округа также приняли решение создать подо</w:t>
      </w:r>
      <w:r>
        <w:t>б</w:t>
      </w:r>
      <w:r>
        <w:t>ный институт, даже если в законодательном порядке они и не обязаны делать этого.</w:t>
      </w:r>
    </w:p>
    <w:p w:rsidR="00000000" w:rsidRDefault="00000000">
      <w:pPr>
        <w:pStyle w:val="SingleTxt"/>
      </w:pPr>
      <w:r>
        <w:t>Правовые основы для создания муниципальных советов по обеспечению равных возможностей и управлений по делам женщин в различных федерал</w:t>
      </w:r>
      <w:r>
        <w:t>ь</w:t>
      </w:r>
      <w:r>
        <w:t>ных землях не одинаковы. В большинстве федеральных земель в настоящее время имеется правовая основа для создания муниципальных советов по обе</w:t>
      </w:r>
      <w:r>
        <w:t>с</w:t>
      </w:r>
      <w:r>
        <w:t>печению равных возможностей. Их создание закреплено в соответствующих нормативных положениях земель о равных возможностях, положениях о мес</w:t>
      </w:r>
      <w:r>
        <w:t>т</w:t>
      </w:r>
      <w:r>
        <w:t>ных органах власти или муниципальных положениях. Эффективность работы этих учреждений зависит от их компетентности и наличия квалифицированн</w:t>
      </w:r>
      <w:r>
        <w:t>о</w:t>
      </w:r>
      <w:r>
        <w:t>го персонала и средств. Важными предпосылками для повышения эффективн</w:t>
      </w:r>
      <w:r>
        <w:t>о</w:t>
      </w:r>
      <w:r>
        <w:t>сти работы, в частности, является право вторгаться в сферу деятельности в</w:t>
      </w:r>
      <w:r>
        <w:t>ы</w:t>
      </w:r>
      <w:r>
        <w:t>шестоящих департаментов или вышестоящих отделов, участие на ранних ст</w:t>
      </w:r>
      <w:r>
        <w:t>а</w:t>
      </w:r>
      <w:r>
        <w:t>диях принятия решений по кадровым вопросам и всех административных р</w:t>
      </w:r>
      <w:r>
        <w:t>е</w:t>
      </w:r>
      <w:r>
        <w:t>шений по вопросам обеспечения равных возможностей, а также право вести независимую информационно-пропагандистскую работу в координации со старшими звеньями администрации. Муниципальные советы по обеспечению равных возможностей обладают также возможностью оказывать конкретную помощь в отдельных случаях. Вместе с тем они могут обеспечить важные ст</w:t>
      </w:r>
      <w:r>
        <w:t>и</w:t>
      </w:r>
      <w:r>
        <w:t xml:space="preserve">мулы для осуществления структурных изменений в обществе и содействовать улучшению положения женщин в самих муниципальных органах власти. </w:t>
      </w:r>
    </w:p>
    <w:p w:rsidR="00000000" w:rsidRDefault="00000000">
      <w:pPr>
        <w:pStyle w:val="SingleTxt"/>
      </w:pPr>
      <w:r>
        <w:t>На федеральном и земельном уровнях муниципальные советы по обесп</w:t>
      </w:r>
      <w:r>
        <w:t>е</w:t>
      </w:r>
      <w:r>
        <w:t>чению равных возможностей создают совместные рабочие группы для усил</w:t>
      </w:r>
      <w:r>
        <w:t>е</w:t>
      </w:r>
      <w:r>
        <w:t>ния своего возможного политического влияния.</w:t>
      </w:r>
    </w:p>
    <w:p w:rsidR="00000000" w:rsidRDefault="00000000">
      <w:pPr>
        <w:pStyle w:val="H23"/>
      </w:pPr>
      <w:bookmarkStart w:id="261" w:name="_Toc44113481"/>
      <w:bookmarkStart w:id="262" w:name="_Toc44113768"/>
      <w:bookmarkStart w:id="263" w:name="_Toc44114275"/>
      <w:bookmarkStart w:id="264" w:name="_Toc44115534"/>
      <w:bookmarkStart w:id="265" w:name="_Toc44115952"/>
      <w:r>
        <w:t>6.6</w:t>
      </w:r>
      <w:r>
        <w:tab/>
        <w:t>Реестр федеральной рабочей группы учреждений по делам женщин и советов по обеспеч</w:t>
      </w:r>
      <w:r>
        <w:t>е</w:t>
      </w:r>
      <w:r>
        <w:t>нию равных возможностей</w:t>
      </w:r>
      <w:bookmarkEnd w:id="261"/>
      <w:bookmarkEnd w:id="262"/>
      <w:bookmarkEnd w:id="263"/>
      <w:bookmarkEnd w:id="264"/>
      <w:bookmarkEnd w:id="265"/>
    </w:p>
    <w:p w:rsidR="00000000" w:rsidRDefault="00000000">
      <w:pPr>
        <w:pStyle w:val="SingleTxt"/>
      </w:pPr>
      <w:r>
        <w:t>С января 2000 года федеральное министерство по делам семьи и прест</w:t>
      </w:r>
      <w:r>
        <w:t>а</w:t>
      </w:r>
      <w:r>
        <w:t>релых, женщин и молодежи содействовало созданию реестра федеральной р</w:t>
      </w:r>
      <w:r>
        <w:t>а</w:t>
      </w:r>
      <w:r>
        <w:t>бочей группы учреждений по делам женщин и советов по обеспечению равных возможностей в рамках рассчитанного на три года проекта. Расположенный в Берлине регистрационный отдел является национальным координирующим у</w:t>
      </w:r>
      <w:r>
        <w:t>ч</w:t>
      </w:r>
      <w:r>
        <w:t>реждением Сети управления муниципальных уполномоченных по делам же</w:t>
      </w:r>
      <w:r>
        <w:t>н</w:t>
      </w:r>
      <w:r>
        <w:t>щин и обеспечению равных возможностей и их национальных представителей из числа женщин.</w:t>
      </w:r>
    </w:p>
    <w:p w:rsidR="00000000" w:rsidRDefault="00000000">
      <w:pPr>
        <w:pStyle w:val="H23"/>
      </w:pPr>
      <w:bookmarkStart w:id="266" w:name="_Toc44113482"/>
      <w:bookmarkStart w:id="267" w:name="_Toc44113769"/>
      <w:bookmarkStart w:id="268" w:name="_Toc44114276"/>
      <w:bookmarkStart w:id="269" w:name="_Toc44115535"/>
      <w:bookmarkStart w:id="270" w:name="_Toc44115953"/>
      <w:r>
        <w:t>6.7</w:t>
      </w:r>
      <w:r>
        <w:tab/>
        <w:t>Уполномоченные по делам женщин и обеспечению равных возможностей в высших учебных заведениях</w:t>
      </w:r>
      <w:bookmarkEnd w:id="266"/>
      <w:bookmarkEnd w:id="267"/>
      <w:bookmarkEnd w:id="268"/>
      <w:bookmarkEnd w:id="269"/>
      <w:bookmarkEnd w:id="270"/>
    </w:p>
    <w:p w:rsidR="00000000" w:rsidRDefault="00000000">
      <w:pPr>
        <w:pStyle w:val="SingleTxt"/>
      </w:pPr>
      <w:r>
        <w:t>Федеральная конференция уполномоченных по делам женщин и обесп</w:t>
      </w:r>
      <w:r>
        <w:t>е</w:t>
      </w:r>
      <w:r>
        <w:t>чению равных прав в высших учебных заведениях Германии представляет с</w:t>
      </w:r>
      <w:r>
        <w:t>о</w:t>
      </w:r>
      <w:r>
        <w:t>бой объединение всех уполномоченных по делам женщин и обеспечению ра</w:t>
      </w:r>
      <w:r>
        <w:t>в</w:t>
      </w:r>
      <w:r>
        <w:t>ных прав из университетов, технических колледжей, гуманитарных колледжей, церковных высших учебных заведений и больниц при высших учебных завед</w:t>
      </w:r>
      <w:r>
        <w:t>е</w:t>
      </w:r>
      <w:r>
        <w:t>ниях.</w:t>
      </w:r>
    </w:p>
    <w:p w:rsidR="00000000" w:rsidRDefault="00000000">
      <w:pPr>
        <w:pStyle w:val="SingleTxt"/>
      </w:pPr>
      <w:r>
        <w:t>Эта конференция предназначена для достижения совместных целей ос</w:t>
      </w:r>
      <w:r>
        <w:t>о</w:t>
      </w:r>
      <w:r>
        <w:t>бенно в области улучшения положения женщин и в деле уменьшения числа н</w:t>
      </w:r>
      <w:r>
        <w:t>е</w:t>
      </w:r>
      <w:r>
        <w:t>благоприятных для женщин факторов в высших учебных заведениях. Фед</w:t>
      </w:r>
      <w:r>
        <w:t>е</w:t>
      </w:r>
      <w:r>
        <w:t>ральная конференция представляет интересы женщин в высших учебных зав</w:t>
      </w:r>
      <w:r>
        <w:t>е</w:t>
      </w:r>
      <w:r>
        <w:t xml:space="preserve">дениях на федеральном уровне и в </w:t>
      </w:r>
      <w:r>
        <w:rPr>
          <w:caps/>
        </w:rPr>
        <w:t>е</w:t>
      </w:r>
      <w:r>
        <w:t>вропейском союзе, где затрагиваются в</w:t>
      </w:r>
      <w:r>
        <w:t>о</w:t>
      </w:r>
      <w:r>
        <w:t>просы федеральной компетенции. В этой связи она сотрудничает с другими у</w:t>
      </w:r>
      <w:r>
        <w:t>ч</w:t>
      </w:r>
      <w:r>
        <w:t>реждениями, обществами и асс</w:t>
      </w:r>
      <w:r>
        <w:t>о</w:t>
      </w:r>
      <w:r>
        <w:t>циациями.</w:t>
      </w:r>
    </w:p>
    <w:p w:rsidR="00000000" w:rsidRDefault="00000000">
      <w:pPr>
        <w:pStyle w:val="H23"/>
      </w:pPr>
      <w:bookmarkStart w:id="271" w:name="_Toc44113483"/>
      <w:bookmarkStart w:id="272" w:name="_Toc44113770"/>
      <w:bookmarkStart w:id="273" w:name="_Toc44114277"/>
      <w:bookmarkStart w:id="274" w:name="_Toc44115536"/>
      <w:bookmarkStart w:id="275" w:name="_Toc44115954"/>
      <w:r>
        <w:t>6.8</w:t>
      </w:r>
      <w:r>
        <w:tab/>
        <w:t>Уполномоченный по обеспечению равных возможностей на рынке труда</w:t>
      </w:r>
      <w:bookmarkEnd w:id="271"/>
      <w:bookmarkEnd w:id="272"/>
      <w:bookmarkEnd w:id="273"/>
      <w:bookmarkEnd w:id="274"/>
      <w:bookmarkEnd w:id="275"/>
    </w:p>
    <w:p w:rsidR="00000000" w:rsidRDefault="00000000">
      <w:pPr>
        <w:pStyle w:val="SingleTxt"/>
      </w:pPr>
      <w:r>
        <w:t>После внесения поправки к закону о содействии занятости (</w:t>
      </w:r>
      <w:r>
        <w:rPr>
          <w:caps/>
        </w:rPr>
        <w:t>т</w:t>
      </w:r>
      <w:r>
        <w:t xml:space="preserve">ом </w:t>
      </w:r>
      <w:r>
        <w:rPr>
          <w:lang w:val="en-US"/>
        </w:rPr>
        <w:t>III</w:t>
      </w:r>
      <w:r>
        <w:t xml:space="preserve"> </w:t>
      </w:r>
      <w:r>
        <w:rPr>
          <w:caps/>
        </w:rPr>
        <w:t>с</w:t>
      </w:r>
      <w:r>
        <w:t>оц</w:t>
      </w:r>
      <w:r>
        <w:t>и</w:t>
      </w:r>
      <w:r>
        <w:t xml:space="preserve">ального кодекса) в результате принятия </w:t>
      </w:r>
      <w:r>
        <w:rPr>
          <w:caps/>
        </w:rPr>
        <w:t>з</w:t>
      </w:r>
      <w:r>
        <w:t>акона о труде AQTIV, который вст</w:t>
      </w:r>
      <w:r>
        <w:t>у</w:t>
      </w:r>
      <w:r>
        <w:t>пил в силу 1 января 2002 года (см. подпункт 3.4.7 раздела I), уполномоченные по защите интересов женщин в отделах по обеспечению занятости стали наз</w:t>
      </w:r>
      <w:r>
        <w:t>ы</w:t>
      </w:r>
      <w:r>
        <w:t>ваться по-иному. Теперь они называются уполномоченными по обеспечению равных возможностей на рынке труда и представляют отдел по вопросам зан</w:t>
      </w:r>
      <w:r>
        <w:t>я</w:t>
      </w:r>
      <w:r>
        <w:t>тости по важным вопросам, касающимся улучшения положения женщин и обеспечения равенства между женщинами и мужчинами на рынке труда, а та</w:t>
      </w:r>
      <w:r>
        <w:t>к</w:t>
      </w:r>
      <w:r>
        <w:t>же достижения сбалансированности в семейных и трудовых отношениях среди пре</w:t>
      </w:r>
      <w:r>
        <w:t>д</w:t>
      </w:r>
      <w:r>
        <w:t>ставителей обоих полов.</w:t>
      </w:r>
    </w:p>
    <w:p w:rsidR="00000000" w:rsidRDefault="00000000">
      <w:pPr>
        <w:pStyle w:val="SingleTxt"/>
      </w:pPr>
      <w:r>
        <w:t>Это включает, в частности, вопросы, касающиеся профессиональной по</w:t>
      </w:r>
      <w:r>
        <w:t>д</w:t>
      </w:r>
      <w:r>
        <w:t>готовки, начала профессионального обучения и улучшения положения женщин, возвращения на работу женщин и мужчин после перерыва в связи с семейными обстоятельствами, а также соглашений о гибком раб</w:t>
      </w:r>
      <w:r>
        <w:t>о</w:t>
      </w:r>
      <w:r>
        <w:t>чем графике.</w:t>
      </w:r>
    </w:p>
    <w:p w:rsidR="00000000" w:rsidRDefault="00000000">
      <w:pPr>
        <w:pStyle w:val="SingleTxt"/>
      </w:pPr>
      <w:r>
        <w:t>Уполномоченные по обеспечению равных возможностей на рынке труда существуют во всех отделах по обеспечению занятости, земельных отделах по обеспечению занятости и в головном учреждении Федеральной службы занят</w:t>
      </w:r>
      <w:r>
        <w:t>о</w:t>
      </w:r>
      <w:r>
        <w:t>сти. Они представляют рекомендации и оказывают поддержку своим подразд</w:t>
      </w:r>
      <w:r>
        <w:t>е</w:t>
      </w:r>
      <w:r>
        <w:t xml:space="preserve">лениям в деле специализированного выполнения задач с учетом интересов женщин и семей. Они содействуют разработке концепции деловой политики отделов по обеспечению занятости в вопросах равенства женщин и мужчин на рынке труда. </w:t>
      </w:r>
    </w:p>
    <w:p w:rsidR="00000000" w:rsidRDefault="00000000">
      <w:pPr>
        <w:pStyle w:val="H1"/>
      </w:pPr>
      <w:bookmarkStart w:id="276" w:name="_Toc44113484"/>
      <w:bookmarkStart w:id="277" w:name="_Toc44113771"/>
      <w:bookmarkStart w:id="278" w:name="_Toc44114278"/>
      <w:bookmarkStart w:id="279" w:name="_Toc44115537"/>
      <w:bookmarkStart w:id="280" w:name="_Toc44115955"/>
      <w:r>
        <w:t xml:space="preserve">7. </w:t>
      </w:r>
      <w:r>
        <w:tab/>
        <w:t>Средства для обеспечения равноправия</w:t>
      </w:r>
      <w:bookmarkEnd w:id="276"/>
      <w:bookmarkEnd w:id="277"/>
      <w:bookmarkEnd w:id="278"/>
      <w:bookmarkEnd w:id="279"/>
      <w:bookmarkEnd w:id="280"/>
    </w:p>
    <w:p w:rsidR="00000000" w:rsidRDefault="00000000">
      <w:pPr>
        <w:pStyle w:val="SingleTxt"/>
      </w:pPr>
      <w:r>
        <w:t>Жизнь женщин и мужчин существенным образом отличается в больши</w:t>
      </w:r>
      <w:r>
        <w:t>н</w:t>
      </w:r>
      <w:r>
        <w:t>стве сфер общественной и частной жизни даже после того, как благодаря цел</w:t>
      </w:r>
      <w:r>
        <w:t>о</w:t>
      </w:r>
      <w:r>
        <w:t>му ряду поправок правового характера были устранены специальные дискр</w:t>
      </w:r>
      <w:r>
        <w:t>и</w:t>
      </w:r>
      <w:r>
        <w:t>минационные положения и исключения, затрагивающие женщин. Затрагива</w:t>
      </w:r>
      <w:r>
        <w:t>ю</w:t>
      </w:r>
      <w:r>
        <w:t>щие население меры и политика, как правило, не являются нейтральными по гендерному признаку из-за сохранившихся различий, с которыми сталкиваются женщины и мужчины в реальности, и потому необходимо проводить их иссл</w:t>
      </w:r>
      <w:r>
        <w:t>е</w:t>
      </w:r>
      <w:r>
        <w:t>дование на предмет последствий для того, чтобы избежать неправильного пл</w:t>
      </w:r>
      <w:r>
        <w:t>а</w:t>
      </w:r>
      <w:r>
        <w:t>нирования, а также для учета интересов представителей обоих полов. Для уч</w:t>
      </w:r>
      <w:r>
        <w:t>е</w:t>
      </w:r>
      <w:r>
        <w:t>та положения представителей обоих полов была разработана стратегия акту</w:t>
      </w:r>
      <w:r>
        <w:t>а</w:t>
      </w:r>
      <w:r>
        <w:t>лизации гендерной проблематики, предусматривающая современный и учит</w:t>
      </w:r>
      <w:r>
        <w:t>ы</w:t>
      </w:r>
      <w:r>
        <w:t>вающий интересы полов подход.</w:t>
      </w:r>
    </w:p>
    <w:p w:rsidR="00000000" w:rsidRDefault="00000000">
      <w:pPr>
        <w:pStyle w:val="H23"/>
      </w:pPr>
      <w:bookmarkStart w:id="281" w:name="_Toc44113485"/>
      <w:bookmarkStart w:id="282" w:name="_Toc44113772"/>
      <w:bookmarkStart w:id="283" w:name="_Toc44114279"/>
      <w:bookmarkStart w:id="284" w:name="_Toc44115538"/>
      <w:bookmarkStart w:id="285" w:name="_Toc44115956"/>
      <w:r>
        <w:t>7.1 </w:t>
      </w:r>
      <w:r>
        <w:tab/>
        <w:t>Значение актуализации гендерной проблематики</w:t>
      </w:r>
      <w:bookmarkEnd w:id="281"/>
      <w:bookmarkEnd w:id="282"/>
      <w:bookmarkEnd w:id="283"/>
      <w:bookmarkEnd w:id="284"/>
      <w:bookmarkEnd w:id="285"/>
    </w:p>
    <w:p w:rsidR="00000000" w:rsidRDefault="00000000">
      <w:pPr>
        <w:pStyle w:val="SingleTxt"/>
      </w:pPr>
      <w:r>
        <w:t>Актуализация гендерной проблематики накладывает на все организации и всех частных лиц, участвующих в разработке политических и администрати</w:t>
      </w:r>
      <w:r>
        <w:t>в</w:t>
      </w:r>
      <w:r>
        <w:t>ных концепций и мер, обязательства учитывать различное положение и разли</w:t>
      </w:r>
      <w:r>
        <w:t>ч</w:t>
      </w:r>
      <w:r>
        <w:t>ные интересы женщин и мужчин с самого начала осуществления всех прое</w:t>
      </w:r>
      <w:r>
        <w:t>к</w:t>
      </w:r>
      <w:r>
        <w:t>тов. Это означает систематический процесс организационной перестройки со стороны представителей политических кругов и администрации, а также ко</w:t>
      </w:r>
      <w:r>
        <w:t>н</w:t>
      </w:r>
      <w:r>
        <w:t>троль за проведением политики администрации в отношении равенства, н</w:t>
      </w:r>
      <w:r>
        <w:t>а</w:t>
      </w:r>
      <w:r>
        <w:t xml:space="preserve">правленный на изучение как внутренних, так и внешних вопросов. </w:t>
      </w:r>
      <w:r>
        <w:rPr>
          <w:caps/>
        </w:rPr>
        <w:t>у</w:t>
      </w:r>
      <w:r>
        <w:t>чет инт</w:t>
      </w:r>
      <w:r>
        <w:t>е</w:t>
      </w:r>
      <w:r>
        <w:t>ресов женщин и мужчин в рамках административных органов, а также тех, на кого направлены разрабатываемые стандарты и меры, является одной из гла</w:t>
      </w:r>
      <w:r>
        <w:t>в</w:t>
      </w:r>
      <w:r>
        <w:t>нейших задач современной администрации, ориентированной на удовлетвор</w:t>
      </w:r>
      <w:r>
        <w:t>е</w:t>
      </w:r>
      <w:r>
        <w:t>ние нужд и потребностей населения, и соответствует ее важнейшим интересам по достижению большей удовлетворенности персонала и предоставлению б</w:t>
      </w:r>
      <w:r>
        <w:t>о</w:t>
      </w:r>
      <w:r>
        <w:t>лее точных ответов на вопросы граждан.</w:t>
      </w:r>
    </w:p>
    <w:p w:rsidR="00000000" w:rsidRDefault="00000000">
      <w:pPr>
        <w:pStyle w:val="SingleTxt"/>
      </w:pPr>
      <w:r>
        <w:t>Актуализация гендерной проблематики в этом плане не заменяет необх</w:t>
      </w:r>
      <w:r>
        <w:t>о</w:t>
      </w:r>
      <w:r>
        <w:t>димости целенаправленного улучшения положения женщин. Наоборот, следует четко понимать и осуществлять вопросы актуализации гендерной проблемат</w:t>
      </w:r>
      <w:r>
        <w:t>и</w:t>
      </w:r>
      <w:r>
        <w:t>ки лишь в качестве дополнения конкретных мер по улучшению положения женщин. Главное различие в проведении той и другой политики заключается в участвующих в ее реализации сторонах и в концептуальных подходах. Ранее проводившаяся политика по улучшению положения женщин или обеспечению равенства предполагала существование конкретной проблемы в отношении п</w:t>
      </w:r>
      <w:r>
        <w:t>о</w:t>
      </w:r>
      <w:r>
        <w:t>литики обеспечения равенства. Решение разрабатывалось для данной конкре</w:t>
      </w:r>
      <w:r>
        <w:t>т</w:t>
      </w:r>
      <w:r>
        <w:t>ной проблемы путем участия лиц и административных подразделений, отв</w:t>
      </w:r>
      <w:r>
        <w:t>е</w:t>
      </w:r>
      <w:r>
        <w:t>чающих за политику обеспечения равенства. И наоборот, актуализация генде</w:t>
      </w:r>
      <w:r>
        <w:t>р</w:t>
      </w:r>
      <w:r>
        <w:t>ной проблематики затрагивает все политические решения, в том числе те из них, которые на первый взгляд не имеют гендерного аспекта. Все эти меры рассматриваются с гендерной перспективы, что означает необходимость изуч</w:t>
      </w:r>
      <w:r>
        <w:t>е</w:t>
      </w:r>
      <w:r>
        <w:t>ния и установления возможных различных в стартовых условиях или воздейс</w:t>
      </w:r>
      <w:r>
        <w:t>т</w:t>
      </w:r>
      <w:r>
        <w:t>вия данной меры на представителей обоих полов. Осуществление политики а</w:t>
      </w:r>
      <w:r>
        <w:t>к</w:t>
      </w:r>
      <w:r>
        <w:t>туализации гендерной проблематики делает очевидным, что политика не явл</w:t>
      </w:r>
      <w:r>
        <w:t>я</w:t>
      </w:r>
      <w:r>
        <w:t>ется нейтральной с точки зрения гендерного фактора. Независимо от того, г</w:t>
      </w:r>
      <w:r>
        <w:t>о</w:t>
      </w:r>
      <w:r>
        <w:t>ворим ли мы о нормативных положениях, архитектуре и градостроительстве, связанных со здравоохранением вопросах, образовании, исследовательских проектах, соглашениях о рабочем графике на предприятиях, руководящих принципах по оценке работы на государственной службе или постановлении о защите от радиации (</w:t>
      </w:r>
      <w:r>
        <w:rPr>
          <w:lang w:val="en-US"/>
        </w:rPr>
        <w:t>Strahlenschutzverordnung</w:t>
      </w:r>
      <w:r>
        <w:t>) – повсюду существуют разли</w:t>
      </w:r>
      <w:r>
        <w:t>ч</w:t>
      </w:r>
      <w:r>
        <w:t>ные стартовые условия для женщин и мужчин, повсюду те или иные меры имеют различное воздействие на представителей полов, зачастую в ущерб женщинам или другим группам, жизнь которых отличается от классической типовой роли мужчины.</w:t>
      </w:r>
    </w:p>
    <w:p w:rsidR="00000000" w:rsidRDefault="00000000">
      <w:pPr>
        <w:pStyle w:val="SingleTxt"/>
      </w:pPr>
      <w:r>
        <w:t>Таким образом, конкретная политика по улучшению положения женщин и актуализация гендерной проблематики представляют собой две различные стратегии достижения одной и той же цели, а именно обеспечения равенства женщин и мужчин и непрерывного сокращения масштабов дискриминации по признаку пола. По мнению федерального правительства, обе стратегии необх</w:t>
      </w:r>
      <w:r>
        <w:t>о</w:t>
      </w:r>
      <w:r>
        <w:t>димы для достижения поставленной цели и носят взаимодополняющий хара</w:t>
      </w:r>
      <w:r>
        <w:t>к</w:t>
      </w:r>
      <w:r>
        <w:t>тер.</w:t>
      </w:r>
    </w:p>
    <w:p w:rsidR="00000000" w:rsidRDefault="00000000">
      <w:pPr>
        <w:pStyle w:val="H23"/>
      </w:pPr>
      <w:bookmarkStart w:id="286" w:name="_Toc44113486"/>
      <w:bookmarkStart w:id="287" w:name="_Toc44113773"/>
      <w:bookmarkStart w:id="288" w:name="_Toc44114280"/>
      <w:bookmarkStart w:id="289" w:name="_Toc44115539"/>
      <w:bookmarkStart w:id="290" w:name="_Toc44115957"/>
      <w:r>
        <w:t>7.2</w:t>
      </w:r>
      <w:r>
        <w:tab/>
        <w:t>Рамочные условия – политические и правовые требования</w:t>
      </w:r>
      <w:bookmarkEnd w:id="286"/>
      <w:bookmarkEnd w:id="287"/>
      <w:bookmarkEnd w:id="288"/>
      <w:bookmarkEnd w:id="289"/>
      <w:bookmarkEnd w:id="290"/>
    </w:p>
    <w:p w:rsidR="00000000" w:rsidRDefault="00000000">
      <w:pPr>
        <w:pStyle w:val="SingleTxt"/>
      </w:pPr>
      <w:r>
        <w:t>Решением своего кабинета от июня 1999 г. федеральное правительство признало равенство женщин и мужчин неизменным руководящим принципом и постановило принять межсекторальный подход к решению этой задачи с и</w:t>
      </w:r>
      <w:r>
        <w:t>с</w:t>
      </w:r>
      <w:r>
        <w:t>пользованием стратегии актуализации гендерной проблематики. Соответстве</w:t>
      </w:r>
      <w:r>
        <w:t>н</w:t>
      </w:r>
      <w:r>
        <w:t>но, согласно Совместным правилам процедуры (</w:t>
      </w:r>
      <w:r>
        <w:rPr>
          <w:lang w:val="en-US"/>
        </w:rPr>
        <w:t>Gemeinsame</w:t>
      </w:r>
      <w:r>
        <w:t xml:space="preserve"> </w:t>
      </w:r>
      <w:r>
        <w:rPr>
          <w:lang w:val="en-US"/>
        </w:rPr>
        <w:t>Geschaftsordnung</w:t>
      </w:r>
      <w:r>
        <w:t>) для федеральных министерств, на все ведомства распространяется обязател</w:t>
      </w:r>
      <w:r>
        <w:t>ь</w:t>
      </w:r>
      <w:r>
        <w:t>ство принимать любые политические, законодательные и административные меры федерального правительства с соблюдением принципов актуализации (раздел 2 </w:t>
      </w:r>
      <w:r>
        <w:rPr>
          <w:caps/>
        </w:rPr>
        <w:t>с</w:t>
      </w:r>
      <w:r>
        <w:t>овместных правил процедуры).</w:t>
      </w:r>
    </w:p>
    <w:p w:rsidR="00000000" w:rsidRDefault="00000000">
      <w:pPr>
        <w:pStyle w:val="SingleTxt"/>
      </w:pPr>
      <w:r>
        <w:t>В соответствии с разделом 2 Федерального закона о равных возможностях (</w:t>
      </w:r>
      <w:r>
        <w:rPr>
          <w:lang w:val="en-US"/>
        </w:rPr>
        <w:t>Bundesgleichstellungsgesetz</w:t>
      </w:r>
      <w:r>
        <w:t>-</w:t>
      </w:r>
      <w:r>
        <w:rPr>
          <w:lang w:val="en-US"/>
        </w:rPr>
        <w:t>BGleiG</w:t>
      </w:r>
      <w:r>
        <w:t>) все сотрудники федеральной администр</w:t>
      </w:r>
      <w:r>
        <w:t>а</w:t>
      </w:r>
      <w:r>
        <w:t>ции, в частности, руководящее ее звено, обязаны обеспечивать равенство же</w:t>
      </w:r>
      <w:r>
        <w:t>н</w:t>
      </w:r>
      <w:r>
        <w:t>щин и мужчин; эта задача представляет собой неизменный руководящий при</w:t>
      </w:r>
      <w:r>
        <w:t>н</w:t>
      </w:r>
      <w:r>
        <w:t>цип во всех сферах компетенции подразделений, а также в том, что касается сотрудничества между по</w:t>
      </w:r>
      <w:r>
        <w:t>д</w:t>
      </w:r>
      <w:r>
        <w:t>разделениями.</w:t>
      </w:r>
    </w:p>
    <w:p w:rsidR="00000000" w:rsidRDefault="00000000">
      <w:pPr>
        <w:pStyle w:val="SingleTxt"/>
      </w:pPr>
      <w:r>
        <w:t>Помимо Платформы действий четвертой Всемирной конференции по п</w:t>
      </w:r>
      <w:r>
        <w:t>о</w:t>
      </w:r>
      <w:r>
        <w:t>ложению женщин, состоявшейся в Пекине в 1995 г., в основе лежит и юрид</w:t>
      </w:r>
      <w:r>
        <w:t>и</w:t>
      </w:r>
      <w:r>
        <w:t xml:space="preserve">ческое обязательство стран-членов ЕС, зафиксированное в </w:t>
      </w:r>
      <w:r>
        <w:rPr>
          <w:caps/>
        </w:rPr>
        <w:t>а</w:t>
      </w:r>
      <w:r>
        <w:t>мстердамском д</w:t>
      </w:r>
      <w:r>
        <w:t>о</w:t>
      </w:r>
      <w:r>
        <w:t xml:space="preserve">говоре. После вступления 1 мая 1999 г. </w:t>
      </w:r>
      <w:r>
        <w:rPr>
          <w:caps/>
        </w:rPr>
        <w:t>а</w:t>
      </w:r>
      <w:r>
        <w:t>мстердамского договора в силу прин</w:t>
      </w:r>
      <w:r>
        <w:t>я</w:t>
      </w:r>
      <w:r>
        <w:t>тие мер к актуализации гендерной проблематики стало для государств-членов ЕС юридически обязательным; согласно статье 2 и пункту 2 статьи 3 Договора о ЕС все государства-члены обязаны проводить активную, комплексную пол</w:t>
      </w:r>
      <w:r>
        <w:t>и</w:t>
      </w:r>
      <w:r>
        <w:t>тику в отношении равенс</w:t>
      </w:r>
      <w:r>
        <w:t>т</w:t>
      </w:r>
      <w:r>
        <w:t>ва в значении актуализации гендерной проблематики.</w:t>
      </w:r>
    </w:p>
    <w:p w:rsidR="00000000" w:rsidRDefault="00000000">
      <w:pPr>
        <w:pStyle w:val="H23"/>
      </w:pPr>
      <w:bookmarkStart w:id="291" w:name="_Toc44113487"/>
      <w:bookmarkStart w:id="292" w:name="_Toc44113774"/>
      <w:bookmarkStart w:id="293" w:name="_Toc44114281"/>
      <w:bookmarkStart w:id="294" w:name="_Toc44115540"/>
      <w:bookmarkStart w:id="295" w:name="_Toc44115958"/>
      <w:r>
        <w:t>7.3</w:t>
      </w:r>
      <w:r>
        <w:tab/>
        <w:t>Практическая стратегия федерального правительства</w:t>
      </w:r>
      <w:bookmarkEnd w:id="291"/>
      <w:bookmarkEnd w:id="292"/>
      <w:bookmarkEnd w:id="293"/>
      <w:bookmarkEnd w:id="294"/>
      <w:bookmarkEnd w:id="295"/>
    </w:p>
    <w:p w:rsidR="00000000" w:rsidRDefault="00000000">
      <w:pPr>
        <w:pStyle w:val="SingleTxt"/>
      </w:pPr>
      <w:r>
        <w:t>В интересах реализации решения кабинета федерального правительства в мае 2000 г. под руководством Федерального министерства по делам семьи, п</w:t>
      </w:r>
      <w:r>
        <w:t>о</w:t>
      </w:r>
      <w:r>
        <w:t>жилых граждан, женщин и молодежи была учреждена межведомственная рук</w:t>
      </w:r>
      <w:r>
        <w:t>о</w:t>
      </w:r>
      <w:r>
        <w:t>водящая группа старших должностных лиц. Все ведомства взяли на себя обяз</w:t>
      </w:r>
      <w:r>
        <w:t>а</w:t>
      </w:r>
      <w:r>
        <w:t>тельство надлежащим образом повысить квалификацию своего персонала и з</w:t>
      </w:r>
      <w:r>
        <w:t>а</w:t>
      </w:r>
      <w:r>
        <w:t>планировать первый экспериментальный проект по реализации на практике подхода, предусматривающего актуализацию гендерной проблематики. На до</w:t>
      </w:r>
      <w:r>
        <w:t>л</w:t>
      </w:r>
      <w:r>
        <w:t>госрочную перспективу перед руководящей группой была поставлена цель ра</w:t>
      </w:r>
      <w:r>
        <w:t>з</w:t>
      </w:r>
      <w:r>
        <w:t>работать перечни критериев и контрольные списки для всех видов политич</w:t>
      </w:r>
      <w:r>
        <w:t>е</w:t>
      </w:r>
      <w:r>
        <w:t>ских и административных мер, принимаемых всеми департаментами федерал</w:t>
      </w:r>
      <w:r>
        <w:t>ь</w:t>
      </w:r>
      <w:r>
        <w:t>ного правительства. Конкретные проекты предусматривают разработку спр</w:t>
      </w:r>
      <w:r>
        <w:t>а</w:t>
      </w:r>
      <w:r>
        <w:t>вочного пособия по вопросам равенства, а также допускающих распростран</w:t>
      </w:r>
      <w:r>
        <w:t>е</w:t>
      </w:r>
      <w:r>
        <w:t>ние, структурных материалов относительно правил поведения (контрольные списки, вспомогательные рабочие пособия, буклеты и т.д.) для ежедневного учета соображений актуализации гендерной проблематики в том, что касается всех видов мер, принимаемых администрацией.</w:t>
      </w:r>
    </w:p>
    <w:p w:rsidR="00000000" w:rsidRDefault="00000000">
      <w:pPr>
        <w:pStyle w:val="SingleTxt"/>
      </w:pPr>
      <w:r>
        <w:t>В настоящее время в рамках 34 экспериментальных проектов, разрабат</w:t>
      </w:r>
      <w:r>
        <w:t>ы</w:t>
      </w:r>
      <w:r>
        <w:t>ваемых федеральным правительством, в интересах создания стандартной, уч</w:t>
      </w:r>
      <w:r>
        <w:t>и</w:t>
      </w:r>
      <w:r>
        <w:t>тывающей гендерные аспекты процедуры для всех рабочих процедур и сфер осуществляемого министерствами административного руководства разрабат</w:t>
      </w:r>
      <w:r>
        <w:t>ы</w:t>
      </w:r>
      <w:r>
        <w:t>ваются усваиваемые принципы поведения. Эти проекты охватывают полный спектр политических и административных решений, с привлечения к работе третьих сторон (например, с использованием просветительских руководящих принципов) посредством законодательного контроля до внутриведомственных решений (речь идет о, например, разработке административных процедур и п</w:t>
      </w:r>
      <w:r>
        <w:t>о</w:t>
      </w:r>
      <w:r>
        <w:t>вышении квалификации персонала).</w:t>
      </w:r>
    </w:p>
    <w:p w:rsidR="00000000" w:rsidRDefault="00000000">
      <w:pPr>
        <w:pStyle w:val="SingleTxt"/>
      </w:pPr>
      <w:r>
        <w:t xml:space="preserve">Например, </w:t>
      </w:r>
      <w:r>
        <w:rPr>
          <w:caps/>
        </w:rPr>
        <w:t>ф</w:t>
      </w:r>
      <w:r>
        <w:t>едеральное министерство по делам семьи, пожилых граждан, женщин и молодежи приступило к реализации пяти различных проектов, охв</w:t>
      </w:r>
      <w:r>
        <w:t>а</w:t>
      </w:r>
      <w:r>
        <w:t>тывающих различные области:</w:t>
      </w:r>
    </w:p>
    <w:p w:rsidR="00000000" w:rsidRDefault="00000000">
      <w:pPr>
        <w:pStyle w:val="dot"/>
      </w:pPr>
      <w:r>
        <w:tab/>
      </w:r>
      <w:r>
        <w:tab/>
        <w:t>•</w:t>
      </w:r>
      <w:r>
        <w:tab/>
        <w:t>В качестве внутриадминистративного проекта разрабатывается концепция повышения квалификации персонала департамента с уделением особого внимания вопросам актуализации гендерной проблемат</w:t>
      </w:r>
      <w:r>
        <w:t>и</w:t>
      </w:r>
      <w:r>
        <w:t>ки.</w:t>
      </w:r>
    </w:p>
    <w:p w:rsidR="00000000" w:rsidRDefault="00000000">
      <w:pPr>
        <w:pStyle w:val="dot"/>
      </w:pPr>
      <w:r>
        <w:tab/>
      </w:r>
      <w:r>
        <w:tab/>
        <w:t>•</w:t>
      </w:r>
      <w:r>
        <w:tab/>
        <w:t>При подготовке договоров, их заключении на конкурсной основе и выборе подрядчика, а также реализации научно-исследовательских проектов, в том, что касается как самого научно-исследовательского проекта, так и научно-исследовательских институтов всегда следует учитывать генде</w:t>
      </w:r>
      <w:r>
        <w:t>р</w:t>
      </w:r>
      <w:r>
        <w:t>ные аспекты.</w:t>
      </w:r>
    </w:p>
    <w:p w:rsidR="00000000" w:rsidRDefault="00000000">
      <w:pPr>
        <w:pStyle w:val="dot"/>
      </w:pPr>
      <w:r>
        <w:tab/>
      </w:r>
      <w:r>
        <w:tab/>
        <w:t>•</w:t>
      </w:r>
      <w:r>
        <w:tab/>
        <w:t>В рамках третьего ведомственного проекта с использованием Закона о с</w:t>
      </w:r>
      <w:r>
        <w:t>о</w:t>
      </w:r>
      <w:r>
        <w:t>действии организациям, оказывающим помощь пожилым гражданам (</w:t>
      </w:r>
      <w:r>
        <w:rPr>
          <w:lang w:val="en-US"/>
        </w:rPr>
        <w:t>A</w:t>
      </w:r>
      <w:r>
        <w:rPr>
          <w:lang w:val="en-US"/>
        </w:rPr>
        <w:t>l</w:t>
      </w:r>
      <w:r>
        <w:rPr>
          <w:lang w:val="en-US"/>
        </w:rPr>
        <w:t>tenhilfestrukturgesetz</w:t>
      </w:r>
      <w:r>
        <w:t>), при помощи вопросов, касающихся влияния этого закона на положение как женщин, так и мужчин, осуществляется перспе</w:t>
      </w:r>
      <w:r>
        <w:t>к</w:t>
      </w:r>
      <w:r>
        <w:t>тивный анализ последствий применения правовых норм.</w:t>
      </w:r>
    </w:p>
    <w:p w:rsidR="00000000" w:rsidRDefault="00000000">
      <w:pPr>
        <w:pStyle w:val="dot"/>
      </w:pPr>
      <w:r>
        <w:tab/>
      </w:r>
      <w:r>
        <w:tab/>
        <w:t>•</w:t>
      </w:r>
      <w:r>
        <w:tab/>
        <w:t>В целях по возможности скорейшего включения учитывающих гендерные аспекты вопросов в процесс политического и административного план</w:t>
      </w:r>
      <w:r>
        <w:t>и</w:t>
      </w:r>
      <w:r>
        <w:t>рования на уровне федерального правительства в сотрудничестве с апп</w:t>
      </w:r>
      <w:r>
        <w:t>а</w:t>
      </w:r>
      <w:r>
        <w:t>ратом федерального канцлера готовятся проекты контрольных списков для представления служебной документации кабинету в соответствии с подходом в области актуализации гендерной проблем</w:t>
      </w:r>
      <w:r>
        <w:t>а</w:t>
      </w:r>
      <w:r>
        <w:t>тики.</w:t>
      </w:r>
    </w:p>
    <w:p w:rsidR="00000000" w:rsidRDefault="00000000">
      <w:pPr>
        <w:pStyle w:val="dot"/>
      </w:pPr>
      <w:r>
        <w:tab/>
      </w:r>
      <w:r>
        <w:tab/>
        <w:t>•</w:t>
      </w:r>
      <w:r>
        <w:tab/>
        <w:t>Что касается политики в отношении молодежи, то организации, включе</w:t>
      </w:r>
      <w:r>
        <w:t>н</w:t>
      </w:r>
      <w:r>
        <w:t>ные в план работы в интересах детей и молодежи, в координации с Фед</w:t>
      </w:r>
      <w:r>
        <w:t>е</w:t>
      </w:r>
      <w:r>
        <w:t>ральным министерством по делам семьи, пожилых граждан, женщин и молодежи должны разработать практические инструменты для реализ</w:t>
      </w:r>
      <w:r>
        <w:t>а</w:t>
      </w:r>
      <w:r>
        <w:t>ции концепции актуализации гендерной проблематики в части, касающе</w:t>
      </w:r>
      <w:r>
        <w:t>й</w:t>
      </w:r>
      <w:r>
        <w:t>ся помощи детям и м</w:t>
      </w:r>
      <w:r>
        <w:t>о</w:t>
      </w:r>
      <w:r>
        <w:t>лодежи.</w:t>
      </w:r>
    </w:p>
    <w:p w:rsidR="00000000" w:rsidRDefault="00000000">
      <w:pPr>
        <w:pStyle w:val="SingleTxt"/>
      </w:pPr>
      <w:r>
        <w:t>В качестве дополнительных примеров экспериментальных проектов, ре</w:t>
      </w:r>
      <w:r>
        <w:t>а</w:t>
      </w:r>
      <w:r>
        <w:t>лизуемых другими ведомствами, можно привести нижеследу</w:t>
      </w:r>
      <w:r>
        <w:t>ю</w:t>
      </w:r>
      <w:r>
        <w:t>щие проекты:</w:t>
      </w:r>
    </w:p>
    <w:p w:rsidR="00000000" w:rsidRDefault="00000000">
      <w:pPr>
        <w:pStyle w:val="dot"/>
      </w:pPr>
      <w:r>
        <w:tab/>
      </w:r>
      <w:r>
        <w:tab/>
        <w:t>•</w:t>
      </w:r>
      <w:r>
        <w:tab/>
        <w:t>Помимо прочего, Министерство иностранных дел проанализирует с уч</w:t>
      </w:r>
      <w:r>
        <w:t>е</w:t>
      </w:r>
      <w:r>
        <w:t>том гендерных факторов начальные условия и воздействие мер в области гуманитарной помощи, а также включит гендерный аспект в число крит</w:t>
      </w:r>
      <w:r>
        <w:t>е</w:t>
      </w:r>
      <w:r>
        <w:t>риев оценки им работы своего правового департамента. Уже подготовлен проект руководящих принципов внедрения оценочного критерия, имену</w:t>
      </w:r>
      <w:r>
        <w:t>е</w:t>
      </w:r>
      <w:r>
        <w:t>мого “воздействием с точки зрения гендерных аспектов”. В программу подготовительных курсов для персонала по поддержанию гражданского мира был включен пункт, озаглавленный “Гендерная проблематика в кр</w:t>
      </w:r>
      <w:r>
        <w:t>и</w:t>
      </w:r>
      <w:r>
        <w:t>зисных ситуациях”. Кроме того, гендерная проблематика учитывается при расходовании средств из многостороннего фонда здравоохранения, а та</w:t>
      </w:r>
      <w:r>
        <w:t>к</w:t>
      </w:r>
      <w:r>
        <w:t>же “международной целевой группой по вопросам коммуникационных технологий”. Среди других экспериментальных проектов, реализуемых в Министерстве иностранных дел, следует отметить проект департамента глобальных проблем, связанный с учетом гендерных аспектов в ходе р</w:t>
      </w:r>
      <w:r>
        <w:t>а</w:t>
      </w:r>
      <w:r>
        <w:t>боты по оказанию гуманитарной помощи, анализом хода осуществления мер по актуализации гендерной проблематики в рамках ЕС, пересмотром внутренних руководящих принципов оценки с точки зрения аспектов а</w:t>
      </w:r>
      <w:r>
        <w:t>к</w:t>
      </w:r>
      <w:r>
        <w:t>туализации гендерной проблематики и включением вопросов актуализ</w:t>
      </w:r>
      <w:r>
        <w:t>а</w:t>
      </w:r>
      <w:r>
        <w:t>ции гендерной проблематики в программы базового обучения и повыш</w:t>
      </w:r>
      <w:r>
        <w:t>е</w:t>
      </w:r>
      <w:r>
        <w:t>ния квалификации (речь идет о подготовке соответствующего персонала). В ближайшем будущем, кроме того, будет разработан проект по оценке обусловленных гендерными факторами особенностей работы протокол</w:t>
      </w:r>
      <w:r>
        <w:t>ь</w:t>
      </w:r>
      <w:r>
        <w:t>ного департамента с учетом непосредственного участия в такой работе третьих сторон.</w:t>
      </w:r>
    </w:p>
    <w:p w:rsidR="00000000" w:rsidRDefault="00000000">
      <w:pPr>
        <w:pStyle w:val="dot"/>
      </w:pPr>
      <w:r>
        <w:tab/>
      </w:r>
      <w:r>
        <w:tab/>
        <w:t>•</w:t>
      </w:r>
      <w:r>
        <w:tab/>
        <w:t>В ходе реализации своей программы “Новые средства в сфере образов</w:t>
      </w:r>
      <w:r>
        <w:t>а</w:t>
      </w:r>
      <w:r>
        <w:t>ния” федеральное министерство образования и научных исследований займется внедрением на постоянной и широкой основе новых средств в процесс базового обучения и повышения квалификации, а в рамках соо</w:t>
      </w:r>
      <w:r>
        <w:t>т</w:t>
      </w:r>
      <w:r>
        <w:t>ветствующего экспериментального проекта ускорит разработку учебного программного обеспечения для школ, учебных заведений базовой профе</w:t>
      </w:r>
      <w:r>
        <w:t>с</w:t>
      </w:r>
      <w:r>
        <w:t>сионально-технической подготовки и повышения квалификации, а также высших учебных заведений с гендерной то</w:t>
      </w:r>
      <w:r>
        <w:t>ч</w:t>
      </w:r>
      <w:r>
        <w:t>ки зрения.</w:t>
      </w:r>
    </w:p>
    <w:p w:rsidR="00000000" w:rsidRDefault="00000000">
      <w:pPr>
        <w:pStyle w:val="dot"/>
      </w:pPr>
      <w:r>
        <w:tab/>
      </w:r>
      <w:r>
        <w:tab/>
        <w:t>•</w:t>
      </w:r>
      <w:r>
        <w:tab/>
        <w:t>Федеральное министерство финансов разработало экспериментальный проект под названием “Помощь семье и актуализация гендерной пробл</w:t>
      </w:r>
      <w:r>
        <w:t>е</w:t>
      </w:r>
      <w:r>
        <w:t>мат</w:t>
      </w:r>
      <w:r>
        <w:t>и</w:t>
      </w:r>
      <w:r>
        <w:t>ки”.</w:t>
      </w:r>
    </w:p>
    <w:p w:rsidR="00000000" w:rsidRDefault="00000000">
      <w:pPr>
        <w:pStyle w:val="dot"/>
      </w:pPr>
      <w:r>
        <w:tab/>
      </w:r>
      <w:r>
        <w:tab/>
        <w:t>•</w:t>
      </w:r>
      <w:r>
        <w:tab/>
        <w:t>Федеральное министерство здравоохранения в своей концепции мер пр</w:t>
      </w:r>
      <w:r>
        <w:t>о</w:t>
      </w:r>
      <w:r>
        <w:t>филактики в сфере медицинского обслуживания детей и молодежи во</w:t>
      </w:r>
      <w:r>
        <w:t>с</w:t>
      </w:r>
      <w:r>
        <w:t>пользуется подходом, ориентированным на актуализацию гендерной пр</w:t>
      </w:r>
      <w:r>
        <w:t>о</w:t>
      </w:r>
      <w:r>
        <w:t>блемат</w:t>
      </w:r>
      <w:r>
        <w:t>и</w:t>
      </w:r>
      <w:r>
        <w:t>ки.</w:t>
      </w:r>
    </w:p>
    <w:p w:rsidR="00000000" w:rsidRDefault="00000000">
      <w:pPr>
        <w:pStyle w:val="dot"/>
      </w:pPr>
      <w:r>
        <w:tab/>
      </w:r>
      <w:r>
        <w:tab/>
        <w:t>•</w:t>
      </w:r>
      <w:r>
        <w:tab/>
        <w:t>В рамках своего экспериментального проекта федеральное министерство по окружающей среде, сохранению природных ресурсов и ядерной без</w:t>
      </w:r>
      <w:r>
        <w:t>о</w:t>
      </w:r>
      <w:r>
        <w:t>пасности подготовило и осуществило оценку влияния на гендерную с</w:t>
      </w:r>
      <w:r>
        <w:t>и</w:t>
      </w:r>
      <w:r>
        <w:t>туацию для реформирования законодательства по вопросам радиационной защиты, в частности, постановления о радиационной защите. Впоследс</w:t>
      </w:r>
      <w:r>
        <w:t>т</w:t>
      </w:r>
      <w:r>
        <w:t>вии контрольный список, разработанный для данной процедуры оценки и ориентированный на конкретные нужды базового закона о радиационной защите, был признан типовым и в будущем будет распространяться на все меры в области экологической политики и, в частности, на законодател</w:t>
      </w:r>
      <w:r>
        <w:t>ь</w:t>
      </w:r>
      <w:r>
        <w:t>ные процедуры.</w:t>
      </w:r>
    </w:p>
    <w:p w:rsidR="00000000" w:rsidRDefault="00000000">
      <w:pPr>
        <w:pStyle w:val="dot"/>
      </w:pPr>
      <w:r>
        <w:tab/>
      </w:r>
      <w:r>
        <w:tab/>
        <w:t>•</w:t>
      </w:r>
      <w:r>
        <w:tab/>
        <w:t>Федеральное министерство транспорта, строительства и жилья попытае</w:t>
      </w:r>
      <w:r>
        <w:t>т</w:t>
      </w:r>
      <w:r>
        <w:t>ся применить предусматривающий актуализацию гендерной проблемат</w:t>
      </w:r>
      <w:r>
        <w:t>и</w:t>
      </w:r>
      <w:r>
        <w:t>ки подход в рамках совместной программы федерации и земель под н</w:t>
      </w:r>
      <w:r>
        <w:t>а</w:t>
      </w:r>
      <w:r>
        <w:t>званием “Социальный город”. В данном случае будут изучаться разли</w:t>
      </w:r>
      <w:r>
        <w:t>ч</w:t>
      </w:r>
      <w:r>
        <w:t>ные интересы и нужды женщин и мужчин в области градостро</w:t>
      </w:r>
      <w:r>
        <w:t>и</w:t>
      </w:r>
      <w:r>
        <w:t>тельства.</w:t>
      </w:r>
    </w:p>
    <w:p w:rsidR="00000000" w:rsidRDefault="00000000">
      <w:pPr>
        <w:pStyle w:val="SingleTxt"/>
      </w:pPr>
      <w:r>
        <w:t>Экспериментальные проекты уже принесли первые результаты и показали эффективность определенных инструментов, которые еще должны быть взяты на вооружение в этом законодательном периоде, как, например, брошюра об актуализации гендерной проблематики в рамках научно-исследовательских проектов, а также практическое пособие об актуализации гендерной проблем</w:t>
      </w:r>
      <w:r>
        <w:t>а</w:t>
      </w:r>
      <w:r>
        <w:t>тики в сфере законодательс</w:t>
      </w:r>
      <w:r>
        <w:t>т</w:t>
      </w:r>
      <w:r>
        <w:t>ва.</w:t>
      </w:r>
    </w:p>
    <w:p w:rsidR="00000000" w:rsidRDefault="00000000">
      <w:pPr>
        <w:pStyle w:val="SingleTxt"/>
      </w:pPr>
      <w:r>
        <w:t>Кроме того, были приняты согласованные меры по повышению осведо</w:t>
      </w:r>
      <w:r>
        <w:t>м</w:t>
      </w:r>
      <w:r>
        <w:t>ленности и квалификации в целях актуализации гендерной проблематики в ф</w:t>
      </w:r>
      <w:r>
        <w:t>е</w:t>
      </w:r>
      <w:r>
        <w:t>деральных административных органах. По мере накопления практического опыта на дополнительных курсах повышения квалификации должны начать широко использоваться первые результаты проделанной работы, контрольные списки и брошюры с тем, чтобы расширить возможности персонала операти</w:t>
      </w:r>
      <w:r>
        <w:t>в</w:t>
      </w:r>
      <w:r>
        <w:t>ного звена в том, что касается эффективной работы и оказания практической помощи.</w:t>
      </w:r>
    </w:p>
    <w:p w:rsidR="00000000" w:rsidRDefault="00000000">
      <w:pPr>
        <w:pStyle w:val="SingleTxt"/>
      </w:pPr>
      <w:r>
        <w:t>В качестве первой меры по налаживанию связей с общественностью в а</w:t>
      </w:r>
      <w:r>
        <w:t>п</w:t>
      </w:r>
      <w:r>
        <w:t xml:space="preserve">реле 2002 г. под руководством </w:t>
      </w:r>
      <w:r>
        <w:rPr>
          <w:caps/>
        </w:rPr>
        <w:t>ф</w:t>
      </w:r>
      <w:r>
        <w:t>едерального министерства по делам семьи, п</w:t>
      </w:r>
      <w:r>
        <w:t>о</w:t>
      </w:r>
      <w:r>
        <w:t>жилых граждан, женщин и детей и в сотрудничестве с другими заинтересова</w:t>
      </w:r>
      <w:r>
        <w:t>н</w:t>
      </w:r>
      <w:r>
        <w:t>ными ведомствами был разработан и размещен в сети Интернет сайт федерал</w:t>
      </w:r>
      <w:r>
        <w:t>ь</w:t>
      </w:r>
      <w:r>
        <w:t xml:space="preserve">ного правительства (по адресу </w:t>
      </w:r>
      <w:r>
        <w:rPr>
          <w:lang w:val="en-US"/>
        </w:rPr>
        <w:t>www</w:t>
      </w:r>
      <w:r>
        <w:t>.</w:t>
      </w:r>
      <w:r>
        <w:rPr>
          <w:lang w:val="en-US"/>
        </w:rPr>
        <w:t>gender</w:t>
      </w:r>
      <w:r>
        <w:t>-</w:t>
      </w:r>
      <w:r>
        <w:rPr>
          <w:lang w:val="en-US"/>
        </w:rPr>
        <w:t>mainstreaming</w:t>
      </w:r>
      <w:r>
        <w:t>.</w:t>
      </w:r>
      <w:r>
        <w:rPr>
          <w:lang w:val="en-US"/>
        </w:rPr>
        <w:t>net</w:t>
      </w:r>
      <w:r>
        <w:t>). На этом сайте в доступной и непринужденной манере даются общие сведения о стратегии а</w:t>
      </w:r>
      <w:r>
        <w:t>к</w:t>
      </w:r>
      <w:r>
        <w:t>туализации гендерной проблематики и соответствующие пояснения. На прим</w:t>
      </w:r>
      <w:r>
        <w:t>е</w:t>
      </w:r>
      <w:r>
        <w:t>рах показывается практическая стратегии федерального правительства и пре</w:t>
      </w:r>
      <w:r>
        <w:t>д</w:t>
      </w:r>
      <w:r>
        <w:t>принятые им реальные шаги; используя ссылки на другие веб-сайты, разли</w:t>
      </w:r>
      <w:r>
        <w:t>ч</w:t>
      </w:r>
      <w:r>
        <w:t>ные ведомства могут представлять свои экспериментальные проекты и другие мероприятия так, чтобы общественность обратила на них свое внимание. Кр</w:t>
      </w:r>
      <w:r>
        <w:t>о</w:t>
      </w:r>
      <w:r>
        <w:t>ме того, 1 июля 2002 г. была опубликована с</w:t>
      </w:r>
      <w:r>
        <w:t>о</w:t>
      </w:r>
      <w:r>
        <w:t>путствующая брошюра.</w:t>
      </w:r>
    </w:p>
    <w:p w:rsidR="00000000" w:rsidRDefault="00000000">
      <w:pPr>
        <w:pStyle w:val="H1"/>
      </w:pPr>
      <w:bookmarkStart w:id="296" w:name="_Toc44113488"/>
      <w:bookmarkStart w:id="297" w:name="_Toc44113775"/>
      <w:bookmarkStart w:id="298" w:name="_Toc44114282"/>
      <w:bookmarkStart w:id="299" w:name="_Toc44115541"/>
      <w:bookmarkStart w:id="300" w:name="_Toc44115959"/>
      <w:r>
        <w:t xml:space="preserve">8. </w:t>
      </w:r>
      <w:r>
        <w:tab/>
        <w:t>Женщины, оказавшиеся в сложном положении</w:t>
      </w:r>
      <w:bookmarkEnd w:id="296"/>
      <w:bookmarkEnd w:id="297"/>
      <w:bookmarkEnd w:id="298"/>
      <w:bookmarkEnd w:id="299"/>
      <w:bookmarkEnd w:id="300"/>
    </w:p>
    <w:p w:rsidR="00000000" w:rsidRDefault="00000000">
      <w:pPr>
        <w:pStyle w:val="H23"/>
      </w:pPr>
      <w:bookmarkStart w:id="301" w:name="_Toc44113489"/>
      <w:bookmarkStart w:id="302" w:name="_Toc44113776"/>
      <w:bookmarkStart w:id="303" w:name="_Toc44114283"/>
      <w:bookmarkStart w:id="304" w:name="_Toc44115542"/>
      <w:bookmarkStart w:id="305" w:name="_Toc44115960"/>
      <w:r>
        <w:t>8.1</w:t>
      </w:r>
      <w:r>
        <w:tab/>
        <w:t>Женщины-инвалиды</w:t>
      </w:r>
      <w:bookmarkEnd w:id="301"/>
      <w:bookmarkEnd w:id="302"/>
      <w:bookmarkEnd w:id="303"/>
      <w:bookmarkEnd w:id="304"/>
      <w:bookmarkEnd w:id="305"/>
    </w:p>
    <w:p w:rsidR="00000000" w:rsidRDefault="00000000">
      <w:pPr>
        <w:pStyle w:val="SingleTxt"/>
      </w:pPr>
      <w:r>
        <w:t>По данным федерального статистического управления, в 1999 г. насчит</w:t>
      </w:r>
      <w:r>
        <w:t>ы</w:t>
      </w:r>
      <w:r>
        <w:t>валось 3 136 008 женщин с серьезными физическими недостатками. Эти же</w:t>
      </w:r>
      <w:r>
        <w:t>н</w:t>
      </w:r>
      <w:r>
        <w:t>щины часто жалуются на то, что традиционные образцы для подражания, пр</w:t>
      </w:r>
      <w:r>
        <w:t>и</w:t>
      </w:r>
      <w:r>
        <w:t>верженность основанной на производственных показателях конкуренции, кл</w:t>
      </w:r>
      <w:r>
        <w:t>и</w:t>
      </w:r>
      <w:r>
        <w:t>ше и этические соображения дважды сказываются на их положении – как на инвалидах и как на женщинах.</w:t>
      </w:r>
    </w:p>
    <w:p w:rsidR="00000000" w:rsidRDefault="00000000">
      <w:pPr>
        <w:pStyle w:val="H4"/>
      </w:pPr>
      <w:bookmarkStart w:id="306" w:name="_Toc44113777"/>
      <w:bookmarkStart w:id="307" w:name="_Toc44114284"/>
      <w:bookmarkStart w:id="308" w:name="_Toc44115961"/>
      <w:r>
        <w:t>8.1.1</w:t>
      </w:r>
      <w:r>
        <w:tab/>
        <w:t>Изменение политики в отношении инвалидов</w:t>
      </w:r>
      <w:bookmarkEnd w:id="306"/>
      <w:bookmarkEnd w:id="307"/>
      <w:bookmarkEnd w:id="308"/>
    </w:p>
    <w:p w:rsidR="00000000" w:rsidRDefault="00000000">
      <w:pPr>
        <w:pStyle w:val="SingleTxt"/>
      </w:pPr>
      <w:r>
        <w:t>В октябре 1998 г федеральное правительство поставило перед собой зад</w:t>
      </w:r>
      <w:r>
        <w:t>а</w:t>
      </w:r>
      <w:r>
        <w:t>чу нахождения новых направлений в том, что касается политики в отношении инвалидов и принятия всех возможных мер для поощрения самоопределения и равноправного социального участия инвалидов, а также соблюдения запрета на дискриминацию в отношении инвалидов, предусмотренного в базовом законе, который гласит, что “никто не может быть поставлен в неравноправное пол</w:t>
      </w:r>
      <w:r>
        <w:t>о</w:t>
      </w:r>
      <w:r>
        <w:t>жение из-за своей инв</w:t>
      </w:r>
      <w:r>
        <w:t>а</w:t>
      </w:r>
      <w:r>
        <w:t>лидности”.</w:t>
      </w:r>
    </w:p>
    <w:p w:rsidR="00000000" w:rsidRDefault="00000000">
      <w:pPr>
        <w:pStyle w:val="SingleTxt"/>
      </w:pPr>
      <w:r>
        <w:t>Были приняты законодательные меры для реализации права инвалидов на получение поддержки и на сочувствие в качестве одного из общепринятых и универсальных гражданских прав, в качестве предпосылки достижения п</w:t>
      </w:r>
      <w:r>
        <w:t>о</w:t>
      </w:r>
      <w:r>
        <w:t>ставленной цели дать возможность инвалидам вести независ</w:t>
      </w:r>
      <w:r>
        <w:t>и</w:t>
      </w:r>
      <w:r>
        <w:t>мый образ жизни.</w:t>
      </w:r>
    </w:p>
    <w:p w:rsidR="00000000" w:rsidRDefault="00000000">
      <w:pPr>
        <w:pStyle w:val="SingleTxt"/>
      </w:pPr>
      <w:r>
        <w:t>Кроме того, в процессе корректировки политики в отношении инвалидов для улучшения положения женщин-инвалидов было принято множество мер, нацеленных на оказание им поддержки в самых разных ситуациях и помощи для более активного участия в трудовой жизни.</w:t>
      </w:r>
    </w:p>
    <w:p w:rsidR="00000000" w:rsidRDefault="00000000">
      <w:pPr>
        <w:pStyle w:val="H4"/>
      </w:pPr>
      <w:bookmarkStart w:id="309" w:name="_Toc44113778"/>
      <w:bookmarkStart w:id="310" w:name="_Toc44114285"/>
      <w:bookmarkStart w:id="311" w:name="_Toc44115962"/>
      <w:r>
        <w:t>8.1.2</w:t>
      </w:r>
      <w:r>
        <w:tab/>
        <w:t>Юридические поправки</w:t>
      </w:r>
      <w:bookmarkEnd w:id="309"/>
      <w:bookmarkEnd w:id="310"/>
      <w:bookmarkEnd w:id="311"/>
    </w:p>
    <w:p w:rsidR="00000000" w:rsidRDefault="00000000">
      <w:pPr>
        <w:pStyle w:val="SingleTxt"/>
      </w:pPr>
      <w:r>
        <w:t>Согласно положениям девятого тома Социального кодекса, озаглавленного “Реабилитация и участие инвалидов” (</w:t>
      </w:r>
      <w:r>
        <w:rPr>
          <w:lang w:val="en-US"/>
        </w:rPr>
        <w:t>SGB</w:t>
      </w:r>
      <w:r>
        <w:t xml:space="preserve"> </w:t>
      </w:r>
      <w:r>
        <w:rPr>
          <w:lang w:val="en-US"/>
        </w:rPr>
        <w:t>IX</w:t>
      </w:r>
      <w:r>
        <w:t>), вступившего в силу 1 июля 2001 г., инвалиды и лица, которым угрожает инвалидность, будут иметь во</w:t>
      </w:r>
      <w:r>
        <w:t>з</w:t>
      </w:r>
      <w:r>
        <w:t>можность в основном самостоятельно и под свою ответственность определять свои нужды. В связи с этим, получая специальные пособия на цели медици</w:t>
      </w:r>
      <w:r>
        <w:t>н</w:t>
      </w:r>
      <w:r>
        <w:t>ской реабилитации, а также участия в трудовой жизни и в жизни общества, они на себя ощутят ту поддержку и сочувствие, требующиеся им с тем, чтобы и</w:t>
      </w:r>
      <w:r>
        <w:t>з</w:t>
      </w:r>
      <w:r>
        <w:t>бежать инвалидности, устранить ее последствия или преодолеть ее в интересах обеспечения равноправного участия в жизни общес</w:t>
      </w:r>
      <w:r>
        <w:t>т</w:t>
      </w:r>
      <w:r>
        <w:t>ва.</w:t>
      </w:r>
    </w:p>
    <w:p w:rsidR="00000000" w:rsidRDefault="00000000">
      <w:pPr>
        <w:pStyle w:val="SingleTxt"/>
      </w:pPr>
      <w:r>
        <w:t>Это – первый федеральный закон, в котором, в процессе актуализации гендерной проблематики, учитываются те двойственные последствия, которые испытывают на себе женщины. Этот закон создал нормативную базу, обеспеч</w:t>
      </w:r>
      <w:r>
        <w:t>и</w:t>
      </w:r>
      <w:r>
        <w:t>вающую более активное участие женщин в мероприятиях в области профе</w:t>
      </w:r>
      <w:r>
        <w:t>с</w:t>
      </w:r>
      <w:r>
        <w:t>сионально-технической реабилитации. Речь идет об обеспечении равных во</w:t>
      </w:r>
      <w:r>
        <w:t>з</w:t>
      </w:r>
      <w:r>
        <w:t>можностей для девочек-инвалидов и женщин-инвалидов в том, что касается профессионально-технической реабилитации и трудовой жизни, в том числе посредством содействия занятости неполный рабочий день и, в частности, п</w:t>
      </w:r>
      <w:r>
        <w:t>о</w:t>
      </w:r>
      <w:r>
        <w:t>средством решения задач в области профессионально-технической подготовки, включая предложения рабочих мест с занятостью неполный рабочий день, к</w:t>
      </w:r>
      <w:r>
        <w:t>о</w:t>
      </w:r>
      <w:r>
        <w:t>торые являются приемлемыми, реально существуют и находятся неподалеку от дома в интересах создания благоприятных возможностей для участия в труд</w:t>
      </w:r>
      <w:r>
        <w:t>о</w:t>
      </w:r>
      <w:r>
        <w:t>вой жизни. Следует не только улучшить их положение посредством предоста</w:t>
      </w:r>
      <w:r>
        <w:t>в</w:t>
      </w:r>
      <w:r>
        <w:t>ления льгот, но и создать условия для равноправного участия в жизни общества и в трудовой жизни.</w:t>
      </w:r>
    </w:p>
    <w:p w:rsidR="00000000" w:rsidRDefault="00000000">
      <w:pPr>
        <w:pStyle w:val="SingleTxt"/>
      </w:pPr>
      <w:r>
        <w:t>Многие предусмотренные этим законом инициативы и мероприятия, ра</w:t>
      </w:r>
      <w:r>
        <w:t>с</w:t>
      </w:r>
      <w:r>
        <w:t>считанные на обеспечение по возможности максимально стабильной интегр</w:t>
      </w:r>
      <w:r>
        <w:t>а</w:t>
      </w:r>
      <w:r>
        <w:t>ции в трудовую жизнь, также отвечают интересам женщин с серьезными физ</w:t>
      </w:r>
      <w:r>
        <w:t>и</w:t>
      </w:r>
      <w:r>
        <w:t>ческими недостатками. Федеральная служба занятости занимается осущест</w:t>
      </w:r>
      <w:r>
        <w:t>в</w:t>
      </w:r>
      <w:r>
        <w:t>лением краткосрочных программ на национальном и региональном рынках труда в целях сокращения безработицы среди лиц с серьезными физическими недостатками, особых групп лиц с серьезными физическими недостатками, в частности, женщин с серьезными физическими недостатками, а также в целях содействия более широкому участию лиц с серьезными физическими недоста</w:t>
      </w:r>
      <w:r>
        <w:t>т</w:t>
      </w:r>
      <w:r>
        <w:t>ками в учебных программах. Перед специализированными интеграционными службами, которые используются в качестве новых инструментов политики на рынке труда, была поставлена задача учесть особые потребности женщин с серьезными физическими недостатками посредством создания соответству</w:t>
      </w:r>
      <w:r>
        <w:t>ю</w:t>
      </w:r>
      <w:r>
        <w:t>щих подразделений.</w:t>
      </w:r>
    </w:p>
    <w:p w:rsidR="00000000" w:rsidRDefault="00000000">
      <w:pPr>
        <w:pStyle w:val="SingleTxt"/>
      </w:pPr>
      <w:r>
        <w:t>Кроме того, в перечне дополнительных льгот, связанных с медицинской реабилитацией и с участием в трудовой жизни, важное значение придается н</w:t>
      </w:r>
      <w:r>
        <w:t>а</w:t>
      </w:r>
      <w:r>
        <w:t>чальным курсам/ предложениям для девушек и женщин, страдающих от инв</w:t>
      </w:r>
      <w:r>
        <w:t>а</w:t>
      </w:r>
      <w:r>
        <w:t>лидности или находящихся под угрозой ее получения, нацеленным на то, чтобы укрепить уверенность в себе. Внедрение таких льгот основано на том поним</w:t>
      </w:r>
      <w:r>
        <w:t>а</w:t>
      </w:r>
      <w:r>
        <w:t>нии, что подобные курсы относятся к числу важнейших мер по предотвращ</w:t>
      </w:r>
      <w:r>
        <w:t>е</w:t>
      </w:r>
      <w:r>
        <w:t>нию случаев сексуал</w:t>
      </w:r>
      <w:r>
        <w:t>ь</w:t>
      </w:r>
      <w:r>
        <w:t>ного насилия и домогательств.</w:t>
      </w:r>
    </w:p>
    <w:p w:rsidR="00000000" w:rsidRDefault="00000000">
      <w:pPr>
        <w:pStyle w:val="SingleTxt"/>
      </w:pPr>
      <w:r>
        <w:t>Кроме того, в девятом томе Социального кодекса зафиксировано требов</w:t>
      </w:r>
      <w:r>
        <w:t>а</w:t>
      </w:r>
      <w:r>
        <w:t>ние к частным и государственным работодателям о том, что их персонал до</w:t>
      </w:r>
      <w:r>
        <w:t>л</w:t>
      </w:r>
      <w:r>
        <w:t>жен включать не менее 5 % лиц с серьезными физическими недостатками. В данном случае особое внимание следует уделять женщинам с серьезными ф</w:t>
      </w:r>
      <w:r>
        <w:t>и</w:t>
      </w:r>
      <w:r>
        <w:t>зическими недостатками. Работодатель также несет обязательство заключить с представителями имеющих серьезные физические недостатки лиц в сотрудн</w:t>
      </w:r>
      <w:r>
        <w:t>и</w:t>
      </w:r>
      <w:r>
        <w:t>честве с агентом работодателя носящее обязательный характер интеграционное соглашение, регламентирующее планирование персонала, организацию рабоч</w:t>
      </w:r>
      <w:r>
        <w:t>е</w:t>
      </w:r>
      <w:r>
        <w:t>го места, условия труда, организацию работы и продолжительность рабочего дня, которое отвечает интересам женщин с серьезными физическими недоста</w:t>
      </w:r>
      <w:r>
        <w:t>т</w:t>
      </w:r>
      <w:r>
        <w:t>ками. Например, планирование персонала регламентировано таким образом, что подходящую долю служащих должны составлять женщины с серьезными физическими недостатками. Кроме того, работодатели обязаны создавать раб</w:t>
      </w:r>
      <w:r>
        <w:t>о</w:t>
      </w:r>
      <w:r>
        <w:t>чие места с занятостью неполный рабочий день. В связи с этим поддержку р</w:t>
      </w:r>
      <w:r>
        <w:t>а</w:t>
      </w:r>
      <w:r>
        <w:t>ботодателям оказывают интеграционные управления, ранее называвшиеся агентствами по основному социальному обеспечению, причем их теперешнее название не оставляет никаких сомнений в их функциях. Лица с серьезными физическими недостатками имеют право работать неполный рабочий день, е</w:t>
      </w:r>
      <w:r>
        <w:t>с</w:t>
      </w:r>
      <w:r>
        <w:t>ли необходимость в таких условиях обусловлена характером или тяжестью и</w:t>
      </w:r>
      <w:r>
        <w:t>н</w:t>
      </w:r>
      <w:r>
        <w:t>валидности. Благодаря этому закону, в ряде областей особое внимание также уделяется укреплению прав женщин с серьезными физическими недостатками и представительству их особых интересов.</w:t>
      </w:r>
    </w:p>
    <w:p w:rsidR="00000000" w:rsidRDefault="00000000">
      <w:pPr>
        <w:pStyle w:val="SingleTxt"/>
      </w:pPr>
      <w:r>
        <w:t>В будущем предусмотренные в девятом томе Социального кодекса обяз</w:t>
      </w:r>
      <w:r>
        <w:t>а</w:t>
      </w:r>
      <w:r>
        <w:t>тельства о предоставлении отчетности будут выполняться с учетом гендерных аспектов. Например, к концу 2004 г. федеральное правительство должно пр</w:t>
      </w:r>
      <w:r>
        <w:t>о</w:t>
      </w:r>
      <w:r>
        <w:t>информировать законодательные органы федерации о положении женщин- и мужчин-инвалидов. Кроме того, сбор федеральных статистических данных о лицах с серьезными физическими недостатками осуществляется в разбивке по полу. Более того, реабилитационные организации в своей отчетности должны разъяснять свою практику в отношении учреждения совместных агентств, где занята определенная доля женщин с серьезными физическими недостатками. Наконец, перечень работодателей, предоставляющих рабочие места лицам с серьезными физическими недостатками, и инвалидов с тем же статусом с</w:t>
      </w:r>
      <w:r>
        <w:t>о</w:t>
      </w:r>
      <w:r>
        <w:t>ставляется в разбивке по полу. Это означает, что в будущем выступать с обо</w:t>
      </w:r>
      <w:r>
        <w:t>с</w:t>
      </w:r>
      <w:r>
        <w:t>нованными заявлениями о положении женщин-инвалидов в обществе будет проще.</w:t>
      </w:r>
    </w:p>
    <w:p w:rsidR="00000000" w:rsidRDefault="00000000">
      <w:pPr>
        <w:pStyle w:val="SingleTxt"/>
      </w:pPr>
      <w:r>
        <w:t>Кроме того, в новый Федеральный закон о равных возможностях для женщин и мужчин в федеральных административных органах и в судах фед</w:t>
      </w:r>
      <w:r>
        <w:t>е</w:t>
      </w:r>
      <w:r>
        <w:t>рации (</w:t>
      </w:r>
      <w:r>
        <w:rPr>
          <w:caps/>
        </w:rPr>
        <w:t>ф</w:t>
      </w:r>
      <w:r>
        <w:t xml:space="preserve">едеральный закон о равных возможностях) была включена норма, учитывающая то двойное воздействие, которое оказывается на положение женщин-инвалидов. В формулировке, аналогичной той, которая содержится во втором предложении раздела 1 девятого тома Социального кодекса, целью </w:t>
      </w:r>
      <w:r>
        <w:rPr>
          <w:caps/>
        </w:rPr>
        <w:t>ф</w:t>
      </w:r>
      <w:r>
        <w:t>е</w:t>
      </w:r>
      <w:r>
        <w:t>дерального закона о равных возможностях объявляется учет особых потребн</w:t>
      </w:r>
      <w:r>
        <w:t>о</w:t>
      </w:r>
      <w:r>
        <w:t>стей женщин-инвалидов и женщин, которым угрожает инвалидность, в фед</w:t>
      </w:r>
      <w:r>
        <w:t>е</w:t>
      </w:r>
      <w:r>
        <w:t>ральных государственных органах при принятии мер по улучшению положения женщин, а также мер по облегчению совмещения семейной и трудовой жизни.</w:t>
      </w:r>
    </w:p>
    <w:p w:rsidR="00000000" w:rsidRDefault="00000000">
      <w:pPr>
        <w:pStyle w:val="SingleTxt"/>
      </w:pPr>
      <w:r>
        <w:rPr>
          <w:caps/>
        </w:rPr>
        <w:t>к</w:t>
      </w:r>
      <w:r>
        <w:t>роме того, 1 мая 2002 г. вступил в силу Закон о равных возможностях для инвалидов (</w:t>
      </w:r>
      <w:r>
        <w:rPr>
          <w:lang w:val="en-US"/>
        </w:rPr>
        <w:t>Gesetz</w:t>
      </w:r>
      <w:r>
        <w:t xml:space="preserve"> </w:t>
      </w:r>
      <w:r>
        <w:rPr>
          <w:lang w:val="en-US"/>
        </w:rPr>
        <w:t>zur</w:t>
      </w:r>
      <w:r>
        <w:t xml:space="preserve"> </w:t>
      </w:r>
      <w:r>
        <w:rPr>
          <w:lang w:val="en-US"/>
        </w:rPr>
        <w:t>Gleichstellung</w:t>
      </w:r>
      <w:r>
        <w:t xml:space="preserve"> </w:t>
      </w:r>
      <w:r>
        <w:rPr>
          <w:lang w:val="en-US"/>
        </w:rPr>
        <w:t>behinderter</w:t>
      </w:r>
      <w:r>
        <w:t xml:space="preserve"> </w:t>
      </w:r>
      <w:r>
        <w:rPr>
          <w:lang w:val="en-US"/>
        </w:rPr>
        <w:t>Menschen</w:t>
      </w:r>
      <w:r>
        <w:t xml:space="preserve"> – </w:t>
      </w:r>
      <w:r>
        <w:rPr>
          <w:lang w:val="en-US"/>
        </w:rPr>
        <w:t>BGG</w:t>
      </w:r>
      <w:r>
        <w:t>). При том, что положениями девятого тома Социального кодекса регламентируется пол</w:t>
      </w:r>
      <w:r>
        <w:t>о</w:t>
      </w:r>
      <w:r>
        <w:t xml:space="preserve">жение инвалидов в сфере занятости, </w:t>
      </w:r>
      <w:r>
        <w:rPr>
          <w:caps/>
        </w:rPr>
        <w:t>з</w:t>
      </w:r>
      <w:r>
        <w:t>акон о равных возможностях для инвал</w:t>
      </w:r>
      <w:r>
        <w:t>и</w:t>
      </w:r>
      <w:r>
        <w:t>дов нацелен на то, чтобы открыть перед инвалидами возможности для самоо</w:t>
      </w:r>
      <w:r>
        <w:t>п</w:t>
      </w:r>
      <w:r>
        <w:t>ределения и равноправного участия во всех прочих сферах государственной и общественной жизни. Чтобы обеспечить равноправие женщин и мужчин, сл</w:t>
      </w:r>
      <w:r>
        <w:t>е</w:t>
      </w:r>
      <w:r>
        <w:t>дует учесть особые нужды женщин-инвалидов, а также ликвидировать сущес</w:t>
      </w:r>
      <w:r>
        <w:t>т</w:t>
      </w:r>
      <w:r>
        <w:t>вующую дискриминацию (раздел 2 </w:t>
      </w:r>
      <w:r>
        <w:rPr>
          <w:lang w:val="en-US"/>
        </w:rPr>
        <w:t>BGG</w:t>
      </w:r>
      <w:r>
        <w:t>, озаглавле</w:t>
      </w:r>
      <w:r>
        <w:t>н</w:t>
      </w:r>
      <w:r>
        <w:t>ный “Женщины-инвалиды”). Кроме того, не остается никаких сомнений в том, что в данном случае могут быть приняты особые меры для поощрения реального равнопр</w:t>
      </w:r>
      <w:r>
        <w:t>а</w:t>
      </w:r>
      <w:r>
        <w:t>вия женщин-инвалидов и для ликвидации существующей дискриминации.</w:t>
      </w:r>
    </w:p>
    <w:p w:rsidR="00000000" w:rsidRDefault="00000000">
      <w:pPr>
        <w:pStyle w:val="H4"/>
      </w:pPr>
      <w:bookmarkStart w:id="312" w:name="_Toc44113779"/>
      <w:bookmarkStart w:id="313" w:name="_Toc44114286"/>
      <w:bookmarkStart w:id="314" w:name="_Toc44115963"/>
      <w:r>
        <w:t>8.1.3</w:t>
      </w:r>
      <w:r>
        <w:tab/>
        <w:t>Осуществление проектов</w:t>
      </w:r>
      <w:bookmarkEnd w:id="312"/>
      <w:bookmarkEnd w:id="313"/>
      <w:bookmarkEnd w:id="314"/>
    </w:p>
    <w:p w:rsidR="00000000" w:rsidRDefault="00000000">
      <w:pPr>
        <w:pStyle w:val="SingleTxt"/>
      </w:pPr>
      <w:r>
        <w:t>В интересах целевой группы девочек- и женщин-инвалидов были разр</w:t>
      </w:r>
      <w:r>
        <w:t>а</w:t>
      </w:r>
      <w:r>
        <w:t>ботаны и продолжают разрабатываться самостоятельные проекты.</w:t>
      </w:r>
    </w:p>
    <w:p w:rsidR="00000000" w:rsidRDefault="00000000">
      <w:pPr>
        <w:pStyle w:val="dot"/>
      </w:pPr>
      <w:r>
        <w:tab/>
      </w:r>
      <w:r>
        <w:tab/>
        <w:t>•</w:t>
      </w:r>
      <w:r>
        <w:tab/>
      </w:r>
      <w:r>
        <w:rPr>
          <w:caps/>
        </w:rPr>
        <w:t>д</w:t>
      </w:r>
      <w:r>
        <w:t>ля того, чтобы выяснить положение женщин-инвалидов, в 1996 г. Фед</w:t>
      </w:r>
      <w:r>
        <w:t>е</w:t>
      </w:r>
      <w:r>
        <w:t>ральное министерство по делам семьи, пожилых граждан, женщин и м</w:t>
      </w:r>
      <w:r>
        <w:t>о</w:t>
      </w:r>
      <w:r>
        <w:t>лодежи санкционировало проведение обследования под названием “П</w:t>
      </w:r>
      <w:r>
        <w:t>о</w:t>
      </w:r>
      <w:r>
        <w:t xml:space="preserve">ложение женщин-инвалидов – защита жизни и интересов: </w:t>
      </w:r>
      <w:r>
        <w:rPr>
          <w:lang w:val="en-US"/>
        </w:rPr>
        <w:t>LIVE</w:t>
      </w:r>
      <w:r>
        <w:t>”. В ра</w:t>
      </w:r>
      <w:r>
        <w:t>м</w:t>
      </w:r>
      <w:r>
        <w:t>ках этого научно-исследовательского проекта была проведена оценка т</w:t>
      </w:r>
      <w:r>
        <w:t>е</w:t>
      </w:r>
      <w:r>
        <w:t>кущего положения женщин-инвалидов, объективных и субъективных п</w:t>
      </w:r>
      <w:r>
        <w:t>о</w:t>
      </w:r>
      <w:r>
        <w:t>требностей в получении поддержки и улучшении положения, трудностей и возможностей, связанных с политическим представительством их инт</w:t>
      </w:r>
      <w:r>
        <w:t>е</w:t>
      </w:r>
      <w:r>
        <w:t>ресов. Кульминацией этого проекта стал симпозиум “</w:t>
      </w:r>
      <w:r>
        <w:rPr>
          <w:lang w:val="en-US"/>
        </w:rPr>
        <w:t>LIVE</w:t>
      </w:r>
      <w:r>
        <w:t> – защита жи</w:t>
      </w:r>
      <w:r>
        <w:t>з</w:t>
      </w:r>
      <w:r>
        <w:t>ни и интересов – женщины-инвалиды”, состоявшийся в период с 5 по 7 мая 1999 г. во Фрайбурге.</w:t>
      </w:r>
    </w:p>
    <w:p w:rsidR="00000000" w:rsidRDefault="00000000">
      <w:pPr>
        <w:pStyle w:val="dot"/>
      </w:pPr>
      <w:r>
        <w:tab/>
      </w:r>
      <w:r>
        <w:tab/>
        <w:t>•</w:t>
      </w:r>
      <w:r>
        <w:tab/>
        <w:t xml:space="preserve">В 1999 г. Федеральное министерство по делам семьи, пожилых граждан, женщин и молодежи санкционировало реализацию проекта “Федеральный структурный орган по делам женщин-инвалидов” (разработанный </w:t>
      </w:r>
      <w:r>
        <w:rPr>
          <w:lang w:val="en-US"/>
        </w:rPr>
        <w:t>bifos</w:t>
      </w:r>
      <w:r>
        <w:t xml:space="preserve"> </w:t>
      </w:r>
      <w:r>
        <w:rPr>
          <w:lang w:val="en-US"/>
        </w:rPr>
        <w:t>e</w:t>
      </w:r>
      <w:r>
        <w:t>.</w:t>
      </w:r>
      <w:r>
        <w:rPr>
          <w:lang w:val="en-US"/>
        </w:rPr>
        <w:t>V</w:t>
      </w:r>
      <w:r>
        <w:t>.) с целью более подробного изучения положения женщин-инвалидов, анализа конкретных потребностей в изменениях в различных областях жизни и оказания содействия улучшению их положения. Помимо обсл</w:t>
      </w:r>
      <w:r>
        <w:t>е</w:t>
      </w:r>
      <w:r>
        <w:t>дований, посвященных различным проблемам, женщинам-инвалидам б</w:t>
      </w:r>
      <w:r>
        <w:t>ы</w:t>
      </w:r>
      <w:r>
        <w:t>ла предоставлена свежая информация, касающаяся инициатив и проектов, таких как консультационные агентства, приюты для женщин, курсы сам</w:t>
      </w:r>
      <w:r>
        <w:t>о</w:t>
      </w:r>
      <w:r>
        <w:t>обороны, возможности для прохождения профессионально-технической реабилитации и национальные специализированные конференции, с</w:t>
      </w:r>
      <w:r>
        <w:t>о</w:t>
      </w:r>
      <w:r>
        <w:t>званные по отдельным темам.</w:t>
      </w:r>
    </w:p>
    <w:p w:rsidR="00000000" w:rsidRDefault="00000000">
      <w:pPr>
        <w:pStyle w:val="dot"/>
      </w:pPr>
      <w:r>
        <w:tab/>
      </w:r>
      <w:r>
        <w:tab/>
        <w:t>•</w:t>
      </w:r>
      <w:r>
        <w:tab/>
        <w:t>В 1999 г. началась реализация четырехлетнего экспериментального прое</w:t>
      </w:r>
      <w:r>
        <w:t>к</w:t>
      </w:r>
      <w:r>
        <w:t>та под названием “Решение проблемы сексуального самоопределения и сексуального насилия в местах проживания молодых людей с психич</w:t>
      </w:r>
      <w:r>
        <w:t>е</w:t>
      </w:r>
      <w:r>
        <w:t>скими расстройствами”. В рамках этого проекта первоочередное вним</w:t>
      </w:r>
      <w:r>
        <w:t>а</w:t>
      </w:r>
      <w:r>
        <w:t>ние уделяется женщинам, страдающим психическими расстройствами в местах их проживания. Данный проект нацелен на разработку и экспер</w:t>
      </w:r>
      <w:r>
        <w:t>и</w:t>
      </w:r>
      <w:r>
        <w:t>ментальное применение педагогической учебной программы по вопросам сексуального самоопределения и сексуального насилия в учреждениях для молодых людей, страдающих психическими заболеваниями. Эти меры рассчитаны на такие целевые группы, как сиделки, административные р</w:t>
      </w:r>
      <w:r>
        <w:t>а</w:t>
      </w:r>
      <w:r>
        <w:t>ботники и пациенты, страдающие психическими заболеваниями, причем для них готовятся проекты соответствующих информационных брошюр. Таким образом, все участники должны получить необходимые знания для того, чтобы не пропустить в повседневной жизни тех ситуаций, когда б</w:t>
      </w:r>
      <w:r>
        <w:t>ы</w:t>
      </w:r>
      <w:r>
        <w:t>ли нарушены установленные ограничения и предотвратить домогательс</w:t>
      </w:r>
      <w:r>
        <w:t>т</w:t>
      </w:r>
      <w:r>
        <w:t>ва, или, если они уже имели место, принять необходимые соответству</w:t>
      </w:r>
      <w:r>
        <w:t>ю</w:t>
      </w:r>
      <w:r>
        <w:t>щие меры.</w:t>
      </w:r>
    </w:p>
    <w:p w:rsidR="00000000" w:rsidRDefault="00000000">
      <w:pPr>
        <w:pStyle w:val="dot"/>
      </w:pPr>
      <w:r>
        <w:tab/>
      </w:r>
      <w:r>
        <w:tab/>
        <w:t>•</w:t>
      </w:r>
      <w:r>
        <w:tab/>
        <w:t>В контексте юридического проекта “Положение женщин-инвалидов в сфере социальной и профессионально-технической реабилитации – пр</w:t>
      </w:r>
      <w:r>
        <w:t>е</w:t>
      </w:r>
      <w:r>
        <w:t>пятствия и предпосылки в текущих правовых условиях” Федеральное структурное агентство по делам женщин-инвалидов провело целый ряд обследований для изучения сложившейся ситуации, в том числе обслед</w:t>
      </w:r>
      <w:r>
        <w:t>о</w:t>
      </w:r>
      <w:r>
        <w:t>вание положения же</w:t>
      </w:r>
      <w:r>
        <w:t>н</w:t>
      </w:r>
      <w:r>
        <w:t>щин-инвалидов в учреждениях профессионально-технической подготовки и повышения квалификации, обследование с уч</w:t>
      </w:r>
      <w:r>
        <w:t>а</w:t>
      </w:r>
      <w:r>
        <w:t>стием организаторов и преподавателей курсов по воспитанию уверенн</w:t>
      </w:r>
      <w:r>
        <w:t>о</w:t>
      </w:r>
      <w:r>
        <w:t>сти в себе и самообороне для девушек и женщин, обследование, посв</w:t>
      </w:r>
      <w:r>
        <w:t>я</w:t>
      </w:r>
      <w:r>
        <w:t>щенное уходу за женщинами-инвалидами/помощи им с учетом гендерных аспектов, а также обследование, касающееся тех вспомогательных средств и той помощи, которыми могут воспользоваться матери с физическими недостатками и/или поражениями органов чувств.</w:t>
      </w:r>
    </w:p>
    <w:p w:rsidR="00000000" w:rsidRDefault="00000000">
      <w:pPr>
        <w:pStyle w:val="H23"/>
      </w:pPr>
      <w:bookmarkStart w:id="315" w:name="_Toc44113490"/>
      <w:bookmarkStart w:id="316" w:name="_Toc44113780"/>
      <w:bookmarkStart w:id="317" w:name="_Toc44114287"/>
      <w:bookmarkStart w:id="318" w:name="_Toc44115543"/>
      <w:bookmarkStart w:id="319" w:name="_Toc44115964"/>
      <w:r>
        <w:t>8.2</w:t>
      </w:r>
      <w:r>
        <w:tab/>
        <w:t>Пожилые женщины</w:t>
      </w:r>
      <w:bookmarkEnd w:id="315"/>
      <w:bookmarkEnd w:id="316"/>
      <w:bookmarkEnd w:id="317"/>
      <w:bookmarkEnd w:id="318"/>
      <w:bookmarkEnd w:id="319"/>
    </w:p>
    <w:p w:rsidR="00000000" w:rsidRDefault="00000000">
      <w:pPr>
        <w:pStyle w:val="H4"/>
      </w:pPr>
      <w:bookmarkStart w:id="320" w:name="_Toc44113781"/>
      <w:bookmarkStart w:id="321" w:name="_Toc44114288"/>
      <w:bookmarkStart w:id="322" w:name="_Toc44115965"/>
      <w:r>
        <w:t>8.2.1</w:t>
      </w:r>
      <w:r>
        <w:tab/>
        <w:t>Сложившаяся ситуация</w:t>
      </w:r>
      <w:bookmarkEnd w:id="320"/>
      <w:bookmarkEnd w:id="321"/>
      <w:bookmarkEnd w:id="322"/>
    </w:p>
    <w:p w:rsidR="00000000" w:rsidRDefault="00000000">
      <w:pPr>
        <w:pStyle w:val="SingleTxt"/>
      </w:pPr>
      <w:r>
        <w:t>За предстоящие годы и десятилетия демографическая ситуация в Герм</w:t>
      </w:r>
      <w:r>
        <w:t>а</w:t>
      </w:r>
      <w:r>
        <w:t>нии изменится настолько, что это приведет к существенным изменениям в структуре населения и также, следовательно, в условиях жизни общества в ц</w:t>
      </w:r>
      <w:r>
        <w:t>е</w:t>
      </w:r>
      <w:r>
        <w:t>лом и отдельных граждан. В структуре населения доля лиц моложе 15 лет п</w:t>
      </w:r>
      <w:r>
        <w:t>а</w:t>
      </w:r>
      <w:r>
        <w:t>дает, а доля лиц старше 65 лет – растет высокими темпами. По состоянию на конец 2000 года из 82,2 млн. живущих в Федеративной Республике Германия человек приблизительно 8,4 млн. составляли женщины, а 5,3 млн. – мужчины в возрасте 65 лет и старше; на их долю, в общей сложности, приходится 16,6 процента населения (см. таблицу 1 в приложении). Численность долгож</w:t>
      </w:r>
      <w:r>
        <w:t>и</w:t>
      </w:r>
      <w:r>
        <w:t>телей, то есть лиц в возрасте 90 лет и старше, возросла с 20 000 человек в 1950 году до примерно 466 000 жителей Германии в 1998 году. В соответствии с типовыми расчетами федерального статистического управления, к 2040 году доля лиц старше 65 лет возрастет до примерно 30 процентов.</w:t>
      </w:r>
    </w:p>
    <w:p w:rsidR="00000000" w:rsidRDefault="00000000">
      <w:pPr>
        <w:pStyle w:val="SingleTxt"/>
      </w:pPr>
      <w:r>
        <w:t>В Германии продолжает расти ожидаемая продолжительность жизни. Средняя ожидаемая продолжительность жизни для новорожденного мальчика составляет 74,4 года, а для новорожденной девочки – 80,6 года. Однако ож</w:t>
      </w:r>
      <w:r>
        <w:t>и</w:t>
      </w:r>
      <w:r>
        <w:t>даемая продолжительность жизни для более старшего населения также возро</w:t>
      </w:r>
      <w:r>
        <w:t>с</w:t>
      </w:r>
      <w:r>
        <w:t>ла. Таким образом, по данным таблицы с текущими показателями смертности за 1997/1999 годы, мужчина, достигший 60 лет, может в среднем надеяться прожить еще 19 лет в сравнении с 18,7 годами по данным предыдущей таблицы с показателями смертности. Женщина того же самого возраста может прожить еще 23,3 года, в сравнении с ранее зафиксированной в</w:t>
      </w:r>
      <w:r>
        <w:t>е</w:t>
      </w:r>
      <w:r>
        <w:t>личиной в 23,1 год.</w:t>
      </w:r>
    </w:p>
    <w:p w:rsidR="00000000" w:rsidRDefault="00000000">
      <w:pPr>
        <w:pStyle w:val="SingleTxt"/>
      </w:pPr>
      <w:r>
        <w:t>Женщины составляют существенную долю лиц старшего возраста, с о</w:t>
      </w:r>
      <w:r>
        <w:t>д</w:t>
      </w:r>
      <w:r>
        <w:t>ной стороны, благодаря последствиям двух мировых войн и, с другой стороны, более высокой ожидаемой продолжител</w:t>
      </w:r>
      <w:r>
        <w:t>ь</w:t>
      </w:r>
      <w:r>
        <w:t>ности жизни для женщин.</w:t>
      </w:r>
    </w:p>
    <w:p w:rsidR="00000000" w:rsidRDefault="00000000">
      <w:pPr>
        <w:pStyle w:val="H4"/>
      </w:pPr>
      <w:bookmarkStart w:id="323" w:name="_Toc44113782"/>
      <w:bookmarkStart w:id="324" w:name="_Toc44114289"/>
      <w:bookmarkStart w:id="325" w:name="_Toc44115966"/>
      <w:r>
        <w:t>8.2.2</w:t>
      </w:r>
      <w:r>
        <w:tab/>
        <w:t>Цели политики по обеспечению равенства в части, касающейся пожилых женщин</w:t>
      </w:r>
      <w:bookmarkEnd w:id="323"/>
      <w:bookmarkEnd w:id="324"/>
      <w:bookmarkEnd w:id="325"/>
    </w:p>
    <w:p w:rsidR="00000000" w:rsidRDefault="00000000">
      <w:pPr>
        <w:pStyle w:val="SingleTxt"/>
      </w:pPr>
      <w:r>
        <w:t>Одна из целей политики по обеспечению равенства в Федеративной Ре</w:t>
      </w:r>
      <w:r>
        <w:t>с</w:t>
      </w:r>
      <w:r>
        <w:t>публике Германии заключается в укреплении чувства собственного достоинс</w:t>
      </w:r>
      <w:r>
        <w:t>т</w:t>
      </w:r>
      <w:r>
        <w:t>ва у пожилых женщин, поощрении их к восприятию своего возраста в качестве нового этапа жизни, где они смогут добиться реализации своих интересов и принять участие в изменении окружающей обстановки. Федеральное мин</w:t>
      </w:r>
      <w:r>
        <w:t>и</w:t>
      </w:r>
      <w:r>
        <w:t>стерство по делам семьи, пожилых граждан, женщин и молодежи оказывает поддержку отдельным организациям пожилых граждан, в том числе “Наци</w:t>
      </w:r>
      <w:r>
        <w:t>о</w:t>
      </w:r>
      <w:r>
        <w:t>нальной сети пожилых женщин”, выделившейся из рабочей группы по подг</w:t>
      </w:r>
      <w:r>
        <w:t>о</w:t>
      </w:r>
      <w:r>
        <w:t>товке четвертой Всемирной конференции по положению женщин “Пожилые женщины” и основанной женщинами в возрасте старше 45 лет. Поставленные цели заключаются в создании сетей во всех федеральных землях, оказании влияния на политику в отношении пожилых женщин, предотвращении изол</w:t>
      </w:r>
      <w:r>
        <w:t>я</w:t>
      </w:r>
      <w:r>
        <w:t>ции посредством принятия мер и обязательств и налаживании сотрудничества со всеми учреждениями, работающими с женщинами и пожилыми гражданами, для чего необходимо устанавливать контакты с пожилыми женщинами и в</w:t>
      </w:r>
      <w:r>
        <w:t>ы</w:t>
      </w:r>
      <w:r>
        <w:t>ступать с соответствующими инициативами в их интересах. Кроме того, след</w:t>
      </w:r>
      <w:r>
        <w:t>у</w:t>
      </w:r>
      <w:r>
        <w:t>ет оказывать поддержку созданию региональных сетей, осуществлять совмес</w:t>
      </w:r>
      <w:r>
        <w:t>т</w:t>
      </w:r>
      <w:r>
        <w:t>ные проекты и налаживать сотрудничество на национальном и международном уровне.</w:t>
      </w:r>
    </w:p>
    <w:p w:rsidR="00000000" w:rsidRDefault="00000000">
      <w:pPr>
        <w:pStyle w:val="H4"/>
      </w:pPr>
      <w:bookmarkStart w:id="326" w:name="_Toc44113783"/>
      <w:bookmarkStart w:id="327" w:name="_Toc44114290"/>
      <w:bookmarkStart w:id="328" w:name="_Toc44115967"/>
      <w:r>
        <w:t>8.2.3</w:t>
      </w:r>
      <w:r>
        <w:tab/>
        <w:t>Социальное обеспечение пожилых женщин</w:t>
      </w:r>
      <w:bookmarkEnd w:id="326"/>
      <w:bookmarkEnd w:id="327"/>
      <w:bookmarkEnd w:id="328"/>
    </w:p>
    <w:p w:rsidR="00000000" w:rsidRDefault="00000000">
      <w:pPr>
        <w:pStyle w:val="SingleTxt"/>
      </w:pPr>
      <w:r>
        <w:t>За прошедшие десятилетия положение женщин с точки зрения взаимосв</w:t>
      </w:r>
      <w:r>
        <w:t>я</w:t>
      </w:r>
      <w:r>
        <w:t>зей между работой в семье и приносящей доход занятостью претерпело опр</w:t>
      </w:r>
      <w:r>
        <w:t>е</w:t>
      </w:r>
      <w:r>
        <w:t>деленные изменения. Многие женщины работают, в частности, неполный раб</w:t>
      </w:r>
      <w:r>
        <w:t>о</w:t>
      </w:r>
      <w:r>
        <w:t>чий день и в то же время занимаются воспитанием детей. Дальнейшее увел</w:t>
      </w:r>
      <w:r>
        <w:t>и</w:t>
      </w:r>
      <w:r>
        <w:t>чение числа занятых на оплачиваемой работе женщин приведет к повышению размера их собственной расчетной пенсии, однако во многих случаях этого н</w:t>
      </w:r>
      <w:r>
        <w:t>е</w:t>
      </w:r>
      <w:r>
        <w:t>достаточно с тем, чтобы гарантировать независимую пенсию без производных элементов.</w:t>
      </w:r>
    </w:p>
    <w:p w:rsidR="00000000" w:rsidRDefault="00000000">
      <w:pPr>
        <w:pStyle w:val="SingleTxt"/>
      </w:pPr>
      <w:r>
        <w:t>Сегодня доход пожилых женщин складывается, в большинстве случаев, из:</w:t>
      </w:r>
    </w:p>
    <w:p w:rsidR="00000000" w:rsidRDefault="00000000">
      <w:pPr>
        <w:pStyle w:val="dot"/>
      </w:pPr>
      <w:r>
        <w:tab/>
      </w:r>
      <w:r>
        <w:tab/>
        <w:t>•</w:t>
      </w:r>
      <w:r>
        <w:tab/>
        <w:t>собственной расчетной пенсии (составляющей в среднем на западе 458 евро и 620 евро на востоке)</w:t>
      </w:r>
    </w:p>
    <w:p w:rsidR="00000000" w:rsidRDefault="00000000">
      <w:pPr>
        <w:pStyle w:val="dot"/>
      </w:pPr>
      <w:r>
        <w:tab/>
      </w:r>
      <w:r>
        <w:tab/>
        <w:t>•</w:t>
      </w:r>
      <w:r>
        <w:tab/>
        <w:t>пенсии за потерю кормильца (составляющей в среднем 536 евро на западе и 524 евро на востоке)</w:t>
      </w:r>
    </w:p>
    <w:p w:rsidR="00000000" w:rsidRDefault="00000000">
      <w:pPr>
        <w:pStyle w:val="dot"/>
      </w:pPr>
      <w:r>
        <w:tab/>
      </w:r>
      <w:r>
        <w:tab/>
        <w:t>•</w:t>
      </w:r>
      <w:r>
        <w:tab/>
        <w:t>дополнительной пенсии (от компании и из частных источников).</w:t>
      </w:r>
    </w:p>
    <w:p w:rsidR="00000000" w:rsidRDefault="00000000">
      <w:pPr>
        <w:pStyle w:val="SingleTxt"/>
      </w:pPr>
      <w:r>
        <w:t>Независимых пенсий женщинам все еще недостаточно. Это обусловлено нижеследующими пр</w:t>
      </w:r>
      <w:r>
        <w:t>и</w:t>
      </w:r>
      <w:r>
        <w:t>чинами:</w:t>
      </w:r>
    </w:p>
    <w:p w:rsidR="00000000" w:rsidRDefault="00000000">
      <w:pPr>
        <w:pStyle w:val="dot"/>
      </w:pPr>
      <w:r>
        <w:tab/>
      </w:r>
      <w:r>
        <w:tab/>
        <w:t>•</w:t>
      </w:r>
      <w:r>
        <w:tab/>
      </w:r>
      <w:r>
        <w:rPr>
          <w:caps/>
        </w:rPr>
        <w:t>п</w:t>
      </w:r>
      <w:r>
        <w:t>раво на получение классической пенсии по старости приобретается ч</w:t>
      </w:r>
      <w:r>
        <w:t>е</w:t>
      </w:r>
      <w:r>
        <w:t>рез государственную систему пенсионного страхования, в которой размер пенсии определяется на основе взносов, зависящих, в свою очередь, от уровня доходов и от продолжительности оплачиваемой работы. Условия назначения пенсии по старости, связанной с оплачиваемой работой, со структурной точки зрения не отвечают интересам женщин, поскольку женщины часто прерывают свою оплачиваемую работу или полностью уходят с нее, заняты неполный рабочий день или живут за счет случайных заработков на таких рабочих местах, которые не охвачены системой стр</w:t>
      </w:r>
      <w:r>
        <w:t>а</w:t>
      </w:r>
      <w:r>
        <w:t>хования.</w:t>
      </w:r>
    </w:p>
    <w:p w:rsidR="00000000" w:rsidRDefault="00000000">
      <w:pPr>
        <w:pStyle w:val="dot"/>
      </w:pPr>
      <w:r>
        <w:tab/>
      </w:r>
      <w:r>
        <w:tab/>
        <w:t>•</w:t>
      </w:r>
      <w:r>
        <w:tab/>
        <w:t>Кроме того, с учетом растущего числа разводов производная пенсия за п</w:t>
      </w:r>
      <w:r>
        <w:t>о</w:t>
      </w:r>
      <w:r>
        <w:t>терю кормильца перестала быть для женщин надежной пенсией по ст</w:t>
      </w:r>
      <w:r>
        <w:t>а</w:t>
      </w:r>
      <w:r>
        <w:t>рости.</w:t>
      </w:r>
    </w:p>
    <w:p w:rsidR="00000000" w:rsidRDefault="00000000">
      <w:pPr>
        <w:pStyle w:val="dot"/>
      </w:pPr>
      <w:r>
        <w:tab/>
      </w:r>
      <w:r>
        <w:tab/>
        <w:t>•</w:t>
      </w:r>
      <w:r>
        <w:tab/>
        <w:t>Производственная пенсия не обеспечивает женщин достаточной защитой, поскольку в большинстве случаев такой тип пенсии назначается лишь р</w:t>
      </w:r>
      <w:r>
        <w:t>а</w:t>
      </w:r>
      <w:r>
        <w:t>ботникам крупных предприятий и увязывается с продолжительностью стажа работы на таком предприятии.</w:t>
      </w:r>
    </w:p>
    <w:p w:rsidR="00000000" w:rsidRDefault="00000000">
      <w:pPr>
        <w:pStyle w:val="SingleTxt"/>
      </w:pPr>
      <w:r>
        <w:t>Для улучшения ситуации в 2001 году были введены в действие новые нормативные акты о пенсионной реформе, причем был создан стимул для н</w:t>
      </w:r>
      <w:r>
        <w:t>е</w:t>
      </w:r>
      <w:r>
        <w:t>замедлительного возвращения к оплачиваемо работе/ее возобновления после окончания срока ухода за детьми (три года для каждого находящегося на во</w:t>
      </w:r>
      <w:r>
        <w:t>с</w:t>
      </w:r>
      <w:r>
        <w:t>питании ребенка), а также в дополнение к срокам ухода за детьми в пенсионное законодательство были включены нормы об особом учете того незначительного дохода, который впоследствии получали женщины на этапе воспитания детей (например, по причине занятости неполный рабочий день). Кроме того, прин</w:t>
      </w:r>
      <w:r>
        <w:t>и</w:t>
      </w:r>
      <w:r>
        <w:t>маются меры к улучшению положения тех женщин, которые не могут работать даже неполный рабочий день, поскольку они занимаются воспитанием, как м</w:t>
      </w:r>
      <w:r>
        <w:t>и</w:t>
      </w:r>
      <w:r>
        <w:t>нимум, двух детей.</w:t>
      </w:r>
    </w:p>
    <w:p w:rsidR="00000000" w:rsidRDefault="00000000">
      <w:pPr>
        <w:pStyle w:val="SingleTxt"/>
      </w:pPr>
      <w:r>
        <w:t>Для того, чтобы увеличить размер их расчетной пенсии лицам, занима</w:t>
      </w:r>
      <w:r>
        <w:t>ю</w:t>
      </w:r>
      <w:r>
        <w:t>щимся воспитанием детей, находившимся на оплачиваемой работе в течение первых десяти лет жизни своего ребенка, однако работавшим в основном н</w:t>
      </w:r>
      <w:r>
        <w:t>е</w:t>
      </w:r>
      <w:r>
        <w:t>полный рабочий день из-за необходимости воспитывать детей и зарабатыва</w:t>
      </w:r>
      <w:r>
        <w:t>в</w:t>
      </w:r>
      <w:r>
        <w:t>шим, таким образом, ниже среднего уровня пенсии назначаются согласно принципам так называемого “пенсионного обеспечения в соответствии с м</w:t>
      </w:r>
      <w:r>
        <w:t>и</w:t>
      </w:r>
      <w:r>
        <w:t>нимальным размером дохода”. В данном случае индивидуальный доход увел</w:t>
      </w:r>
      <w:r>
        <w:t>и</w:t>
      </w:r>
      <w:r>
        <w:t>чивается на 50 процентов до максимального уровня в 100 процентов от средн</w:t>
      </w:r>
      <w:r>
        <w:t>е</w:t>
      </w:r>
      <w:r>
        <w:t>го дохода, если был накоплен общий 25-летний стаж, предусмотренный пенс</w:t>
      </w:r>
      <w:r>
        <w:t>и</w:t>
      </w:r>
      <w:r>
        <w:t>онным законодательством. Благодаря этому возникает стимул добиваться ма</w:t>
      </w:r>
      <w:r>
        <w:t>к</w:t>
      </w:r>
      <w:r>
        <w:t>симального сокращения перерывов в страховом стаже, возникающих из-за н</w:t>
      </w:r>
      <w:r>
        <w:t>е</w:t>
      </w:r>
      <w:r>
        <w:t>обходимости заниматься воспитанием детей, и поступать на работу на услов</w:t>
      </w:r>
      <w:r>
        <w:t>и</w:t>
      </w:r>
      <w:r>
        <w:t>ях, по крайней мере, неполного рабочего день незамедлительно по окончании периода ухода за ребенком.</w:t>
      </w:r>
    </w:p>
    <w:p w:rsidR="00000000" w:rsidRDefault="00000000">
      <w:pPr>
        <w:pStyle w:val="SingleTxt"/>
      </w:pPr>
      <w:r>
        <w:t>Это преимущество также отвечает интересам лиц, которые, занимаясь уходом за ребенком, нуждавшимся в долгосрочном уходе, по этой причине во многих случаях не могли поступить на оплачиваемую работу. В данном случае обязательный период внесения взносов, который должен быть признан за ос</w:t>
      </w:r>
      <w:r>
        <w:t>у</w:t>
      </w:r>
      <w:r>
        <w:t>ществляющим уход лицом при расчете его пенсии, возрастает в стоимостном выражении на 50 процентов – но до максимального уровня, увязанного со 100 процентами среднего дохода – до тех пор, пока нуждающийся в долгосро</w:t>
      </w:r>
      <w:r>
        <w:t>ч</w:t>
      </w:r>
      <w:r>
        <w:t>ном уходе ребенок не достигнет возра</w:t>
      </w:r>
      <w:r>
        <w:t>с</w:t>
      </w:r>
      <w:r>
        <w:t>та 18 лет.</w:t>
      </w:r>
    </w:p>
    <w:p w:rsidR="00000000" w:rsidRDefault="00000000">
      <w:pPr>
        <w:pStyle w:val="SingleTxt"/>
      </w:pPr>
      <w:r>
        <w:t>Пенсионный кредит в виде доходных пунктов предоставляется в качестве компенсации по истечении срока ухода за детьми (другими словами, когда р</w:t>
      </w:r>
      <w:r>
        <w:t>е</w:t>
      </w:r>
      <w:r>
        <w:t>бенок достигает возраста четырех лет), до тех пор, пока ребенку не исполнится десяти лет, в случае ухода одновременно за двумя или более детьми, лицам, к</w:t>
      </w:r>
      <w:r>
        <w:t>о</w:t>
      </w:r>
      <w:r>
        <w:t>торые, как правило, не в состоянии работать неполный рабочий день и, в р</w:t>
      </w:r>
      <w:r>
        <w:t>е</w:t>
      </w:r>
      <w:r>
        <w:t>зультате, не имеют права на более высокую оценку срока внесения взносов. Этот кредит, как правило, соответствует максимальному уровню более высокой оценки срока внесения взносов в связи с уходом за детьми для лиц, занятых и воспитанием детей, и на оплачиваемой работе (другими словами, одной трети доходного пункта в год).</w:t>
      </w:r>
    </w:p>
    <w:p w:rsidR="00000000" w:rsidRDefault="00000000">
      <w:pPr>
        <w:pStyle w:val="H4"/>
      </w:pPr>
      <w:bookmarkStart w:id="329" w:name="_Toc44113784"/>
      <w:bookmarkStart w:id="330" w:name="_Toc44114291"/>
      <w:bookmarkStart w:id="331" w:name="_Toc44115968"/>
      <w:r>
        <w:t>8.2.4</w:t>
      </w:r>
      <w:r>
        <w:tab/>
        <w:t>Пожилые женщины – мигранты в Германии</w:t>
      </w:r>
      <w:bookmarkEnd w:id="329"/>
      <w:bookmarkEnd w:id="330"/>
      <w:bookmarkEnd w:id="331"/>
    </w:p>
    <w:p w:rsidR="00000000" w:rsidRDefault="00000000">
      <w:pPr>
        <w:pStyle w:val="SingleTxt"/>
      </w:pPr>
      <w:r>
        <w:t>В будущем группа пожилых женщин – мигрантов в Германии потребует к себе более пристального внимания. Как и в случае с остальными группами н</w:t>
      </w:r>
      <w:r>
        <w:t>а</w:t>
      </w:r>
      <w:r>
        <w:t>селения Германии, ожидаемая продолжительность жизни иностранок гораздо выше, чем у мужчин. По данным шестого доклада федерального правительства, посвященного проблемам семьи, среди иностранцев женщины начинают пр</w:t>
      </w:r>
      <w:r>
        <w:t>е</w:t>
      </w:r>
      <w:r>
        <w:t>обладать над мужчинами примерно с возраста 70 лет. Начиная с семидесятых годов доля лиц старше 65 лет в общей численности населения возросла более чем в три раза, с 0,7 процента до 2,5 процентов. В то время, как в прошлом п</w:t>
      </w:r>
      <w:r>
        <w:t>о</w:t>
      </w:r>
      <w:r>
        <w:t>жилые мигранты и, в частности, вдовы в большинстве случаев возвращались в свои родные страны, теперь они проводят остаток своей жизни в Германии бл</w:t>
      </w:r>
      <w:r>
        <w:t>а</w:t>
      </w:r>
      <w:r>
        <w:t>годаря образованию крупных семейных кланов. Примерно лишь 25 процентов женщин – мигрантов, достигших преклонного возраста, живет в одиночестве, причем среди коренных немцев доля таких же</w:t>
      </w:r>
      <w:r>
        <w:t>н</w:t>
      </w:r>
      <w:r>
        <w:t>щин несколько выше.</w:t>
      </w:r>
    </w:p>
    <w:p w:rsidR="00000000" w:rsidRDefault="00000000">
      <w:pPr>
        <w:pStyle w:val="SingleTxt"/>
      </w:pPr>
      <w:r>
        <w:t>Пожилые мигранты сталкиваются с целой группой рисков. Например, б</w:t>
      </w:r>
      <w:r>
        <w:t>о</w:t>
      </w:r>
      <w:r>
        <w:t>лее половины уроженок Турции из первого поколения иммигрантов не имеет аттестата о школьном образовании, а 40 процентов из них школу вообще ник</w:t>
      </w:r>
      <w:r>
        <w:t>о</w:t>
      </w:r>
      <w:r>
        <w:t>гда не посещало. 60 процентов из них занято неквалифицированным трудом или трудом, не требующим особой квалификации, в результате чего значител</w:t>
      </w:r>
      <w:r>
        <w:t>ь</w:t>
      </w:r>
      <w:r>
        <w:t>ная часть таких женщин, достигнув преклонного возраста, попадает в завис</w:t>
      </w:r>
      <w:r>
        <w:t>и</w:t>
      </w:r>
      <w:r>
        <w:t>мость от социальной помощи. Еще одна проблема связана с худшим состоян</w:t>
      </w:r>
      <w:r>
        <w:t>и</w:t>
      </w:r>
      <w:r>
        <w:t>ем здоровья пожилых граждан иностранного происхождения по сравнению с их сверстниками из числа коренных немцев. В ситуации, когда эту группу следует относить к группам, не получившим надлежащего образования, и когда языком их общения в большинстве случаев по-прежнему является родной язык, возн</w:t>
      </w:r>
      <w:r>
        <w:t>и</w:t>
      </w:r>
      <w:r>
        <w:t>кают также и существенные проблемы с налаживанием контактов, в частности, осложняющие пр</w:t>
      </w:r>
      <w:r>
        <w:t>о</w:t>
      </w:r>
      <w:r>
        <w:t>ведение медицинского лечения.</w:t>
      </w:r>
    </w:p>
    <w:p w:rsidR="00000000" w:rsidRDefault="00000000">
      <w:pPr>
        <w:pStyle w:val="H23"/>
      </w:pPr>
      <w:bookmarkStart w:id="332" w:name="_Toc44113491"/>
      <w:bookmarkStart w:id="333" w:name="_Toc44113785"/>
      <w:bookmarkStart w:id="334" w:name="_Toc44114292"/>
      <w:bookmarkStart w:id="335" w:name="_Toc44115544"/>
      <w:bookmarkStart w:id="336" w:name="_Toc44115969"/>
      <w:r>
        <w:t>8.3</w:t>
      </w:r>
      <w:r>
        <w:tab/>
        <w:t>Женщины, обратившиеся за предоставлением убежища в Ге</w:t>
      </w:r>
      <w:r>
        <w:t>р</w:t>
      </w:r>
      <w:r>
        <w:t>мании</w:t>
      </w:r>
      <w:bookmarkEnd w:id="332"/>
      <w:bookmarkEnd w:id="333"/>
      <w:bookmarkEnd w:id="334"/>
      <w:bookmarkEnd w:id="335"/>
      <w:bookmarkEnd w:id="336"/>
    </w:p>
    <w:p w:rsidR="00000000" w:rsidRDefault="00000000">
      <w:pPr>
        <w:pStyle w:val="SingleTxt"/>
      </w:pPr>
      <w:r>
        <w:t>В 2001 году к Германии за предоставлением убежища обратилось 88 287 человек, 30 процентов из которых составляли девочки и женщины. Большинство лиц, обратившихся в 2001 году за предоставлением убежища, б</w:t>
      </w:r>
      <w:r>
        <w:t>ы</w:t>
      </w:r>
      <w:r>
        <w:t>ли гражданами Ирака, Турции и бывшей Югославии. В Европе Германия зан</w:t>
      </w:r>
      <w:r>
        <w:t>я</w:t>
      </w:r>
      <w:r>
        <w:t xml:space="preserve">ла второе место по числу полученных обращений о предоставлении убежища, уступив первое место </w:t>
      </w:r>
      <w:r>
        <w:rPr>
          <w:caps/>
        </w:rPr>
        <w:t>с</w:t>
      </w:r>
      <w:r>
        <w:t xml:space="preserve">оединенному </w:t>
      </w:r>
      <w:r>
        <w:rPr>
          <w:caps/>
        </w:rPr>
        <w:t>к</w:t>
      </w:r>
      <w:r>
        <w:t>оролевству (88 300 обращений) и опер</w:t>
      </w:r>
      <w:r>
        <w:t>е</w:t>
      </w:r>
      <w:r>
        <w:t>див Францию (47 260 обращений).</w:t>
      </w:r>
    </w:p>
    <w:p w:rsidR="00000000" w:rsidRDefault="00000000">
      <w:pPr>
        <w:pStyle w:val="SingleTxt"/>
      </w:pPr>
      <w:r>
        <w:t>Общеадминистративные положения Закона об иностранцах вступили в силу 7 октября 2000 года. В пояснениях, касающихся раздела 53 Закона об ин</w:t>
      </w:r>
      <w:r>
        <w:t>о</w:t>
      </w:r>
      <w:r>
        <w:t>странцах, более пристальное внимание, чем ранее, уделяется тем причинам для бегства, которые имеют гендерную подоплеку. В частности, прямо упоминаю</w:t>
      </w:r>
      <w:r>
        <w:t>т</w:t>
      </w:r>
      <w:r>
        <w:t>ся такие имеющие гендерную подоплеку нарушения правовых интересов, как систематические изнасилования или другие серьезные формы сексуального н</w:t>
      </w:r>
      <w:r>
        <w:t>а</w:t>
      </w:r>
      <w:r>
        <w:t>силия.</w:t>
      </w:r>
    </w:p>
    <w:p w:rsidR="00000000" w:rsidRDefault="00000000">
      <w:pPr>
        <w:pStyle w:val="SingleTxt"/>
      </w:pPr>
      <w:r>
        <w:t>В проведении собеседования с женщинами, обратившимися с жалобами на обусловленное гендерными факторами преследование, помимо прошедших специальную подготовку должностных лиц, принимающих решение по делу, теперь участвуют также и переводчики, посещавшие соответствующие уче</w:t>
      </w:r>
      <w:r>
        <w:t>б</w:t>
      </w:r>
      <w:r>
        <w:t>ные курсы по психологии. На курсах для переводчиков первоочередное вним</w:t>
      </w:r>
      <w:r>
        <w:t>а</w:t>
      </w:r>
      <w:r>
        <w:t>ние уделяется:</w:t>
      </w:r>
    </w:p>
    <w:p w:rsidR="00000000" w:rsidRDefault="00000000">
      <w:pPr>
        <w:pStyle w:val="dot"/>
      </w:pPr>
      <w:r>
        <w:tab/>
      </w:r>
      <w:r>
        <w:tab/>
        <w:t>•</w:t>
      </w:r>
      <w:r>
        <w:tab/>
        <w:t>социокультурному и гендерному аспектам бегства и травматизации;</w:t>
      </w:r>
    </w:p>
    <w:p w:rsidR="00000000" w:rsidRDefault="00000000">
      <w:pPr>
        <w:pStyle w:val="dot"/>
      </w:pPr>
      <w:r>
        <w:tab/>
      </w:r>
      <w:r>
        <w:tab/>
        <w:t>•</w:t>
      </w:r>
      <w:r>
        <w:tab/>
        <w:t>особому положению переживших травму лиц, а также анализу и оценке функций переводч</w:t>
      </w:r>
      <w:r>
        <w:t>и</w:t>
      </w:r>
      <w:r>
        <w:t>ков в ходе собеседования в чувствительных случаях.</w:t>
      </w:r>
    </w:p>
    <w:p w:rsidR="00000000" w:rsidRDefault="00000000">
      <w:pPr>
        <w:pStyle w:val="SingleTxt"/>
      </w:pPr>
      <w:r>
        <w:t>Была подготовлена брошюра на иностранных языках под названием “Важное предупреждение – уведомление для лиц, впервые/повторно обрати</w:t>
      </w:r>
      <w:r>
        <w:t>в</w:t>
      </w:r>
      <w:r>
        <w:t>шихся с ходатайством относительно обязанностей по сотрудничеству и общая процедурная информация”, которая выдается при подаче ходатайства о предо</w:t>
      </w:r>
      <w:r>
        <w:t>с</w:t>
      </w:r>
      <w:r>
        <w:t>тавлении убежища. Уже при подаче своих ходатайств женщины, претендующие на получение убежища, информируются о том, что в любом случае при возни</w:t>
      </w:r>
      <w:r>
        <w:t>к</w:t>
      </w:r>
      <w:r>
        <w:t>новении необходимости собеседование может быть проведено женщиной – о</w:t>
      </w:r>
      <w:r>
        <w:t>т</w:t>
      </w:r>
      <w:r>
        <w:t>ветственным за принятие решения по делу должностным лицом и что фед</w:t>
      </w:r>
      <w:r>
        <w:t>е</w:t>
      </w:r>
      <w:r>
        <w:t>ральное управление назначает также специальных должностных лиц – женщин для принятия решений по делам, связанным с обусловленным гендерными фа</w:t>
      </w:r>
      <w:r>
        <w:t>к</w:t>
      </w:r>
      <w:r>
        <w:t>торами преследованием.</w:t>
      </w:r>
    </w:p>
    <w:p w:rsidR="00000000" w:rsidRDefault="00000000">
      <w:pPr>
        <w:pStyle w:val="SingleTxt"/>
      </w:pPr>
      <w:r>
        <w:t>26 апреля 2001 года в Нюремберге в Федеральном управлении по вопр</w:t>
      </w:r>
      <w:r>
        <w:t>о</w:t>
      </w:r>
      <w:r>
        <w:t>сам признания иностранных беженцев была проведена специализированная конференция на тему “Травмированные беженцы, психопатология и необход</w:t>
      </w:r>
      <w:r>
        <w:t>и</w:t>
      </w:r>
      <w:r>
        <w:t>мые меры. Практический опыт в области диагностики и лечения и соответс</w:t>
      </w:r>
      <w:r>
        <w:t>т</w:t>
      </w:r>
      <w:r>
        <w:t>вующая научная база”.</w:t>
      </w:r>
    </w:p>
    <w:p w:rsidR="00000000" w:rsidRDefault="00000000">
      <w:pPr>
        <w:pStyle w:val="HCh"/>
        <w:pageBreakBefore/>
        <w:spacing w:before="0"/>
      </w:pPr>
      <w:bookmarkStart w:id="337" w:name="_Toc44114293"/>
      <w:bookmarkStart w:id="338" w:name="_Toc44115545"/>
      <w:bookmarkStart w:id="339" w:name="_Toc44115970"/>
      <w:r>
        <w:t xml:space="preserve">Часть </w:t>
      </w:r>
      <w:r>
        <w:rPr>
          <w:lang w:val="en-US"/>
        </w:rPr>
        <w:t>II</w:t>
      </w:r>
      <w:r>
        <w:t>. Положения Конвенции и их осуществление в Федер</w:t>
      </w:r>
      <w:r>
        <w:t>а</w:t>
      </w:r>
      <w:r>
        <w:t>тивной Республике Германия</w:t>
      </w:r>
      <w:bookmarkEnd w:id="337"/>
      <w:bookmarkEnd w:id="338"/>
      <w:bookmarkEnd w:id="339"/>
    </w:p>
    <w:p w:rsidR="00000000" w:rsidRDefault="00000000">
      <w:pPr>
        <w:pStyle w:val="SingleTxt"/>
      </w:pPr>
      <w:r>
        <w:t xml:space="preserve">В части </w:t>
      </w:r>
      <w:r>
        <w:rPr>
          <w:lang w:val="en-US"/>
        </w:rPr>
        <w:t>II</w:t>
      </w:r>
      <w:r>
        <w:t xml:space="preserve"> изложены меры, принятые начиная с 1998 года для осущест</w:t>
      </w:r>
      <w:r>
        <w:t>в</w:t>
      </w:r>
      <w:r>
        <w:t>ления положений Конвенции. В других случаях упоминаются существующие национальные доклады по КЛДЖ.</w:t>
      </w:r>
    </w:p>
    <w:p w:rsidR="00000000" w:rsidRDefault="00000000">
      <w:pPr>
        <w:pStyle w:val="H1"/>
      </w:pPr>
      <w:bookmarkStart w:id="340" w:name="_Toc44113492"/>
      <w:bookmarkStart w:id="341" w:name="_Toc44113786"/>
      <w:bookmarkStart w:id="342" w:name="_Toc44114294"/>
      <w:bookmarkStart w:id="343" w:name="_Toc44115546"/>
      <w:bookmarkStart w:id="344" w:name="_Toc44115971"/>
      <w:r>
        <w:t>1.</w:t>
      </w:r>
      <w:r>
        <w:tab/>
        <w:t>Статья 1. Определение “дискриминации”</w:t>
      </w:r>
      <w:bookmarkEnd w:id="340"/>
      <w:bookmarkEnd w:id="341"/>
      <w:bookmarkEnd w:id="342"/>
      <w:bookmarkEnd w:id="343"/>
      <w:bookmarkEnd w:id="344"/>
    </w:p>
    <w:p w:rsidR="00000000" w:rsidRDefault="00000000">
      <w:pPr>
        <w:pStyle w:val="SingleTxt"/>
        <w:rPr>
          <w:i/>
        </w:rPr>
      </w:pPr>
      <w:r>
        <w:rPr>
          <w:i/>
        </w:rPr>
        <w:t>Статья 1</w:t>
      </w:r>
    </w:p>
    <w:p w:rsidR="00000000" w:rsidRDefault="00000000">
      <w:pPr>
        <w:pStyle w:val="SingleTxt"/>
        <w:ind w:left="1740" w:hanging="476"/>
        <w:rPr>
          <w:i/>
        </w:rPr>
      </w:pPr>
      <w:r>
        <w:rPr>
          <w:i/>
        </w:rPr>
        <w:tab/>
      </w:r>
      <w:r>
        <w:rPr>
          <w:i/>
        </w:rPr>
        <w:tab/>
        <w:t>Для целей настоящей Конвенции понятие “дискриминация в отношении женщин” означает любое различие, исключение или ограничение по пр</w:t>
      </w:r>
      <w:r>
        <w:rPr>
          <w:i/>
        </w:rPr>
        <w:t>и</w:t>
      </w:r>
      <w:r>
        <w:rPr>
          <w:i/>
        </w:rPr>
        <w:t>знаку пола, которое направлено на ослабление или сводит на нет призн</w:t>
      </w:r>
      <w:r>
        <w:rPr>
          <w:i/>
        </w:rPr>
        <w:t>а</w:t>
      </w:r>
      <w:r>
        <w:rPr>
          <w:i/>
        </w:rPr>
        <w:t>ние, пользование или осуществление женщинами, независимо от их с</w:t>
      </w:r>
      <w:r>
        <w:rPr>
          <w:i/>
        </w:rPr>
        <w:t>е</w:t>
      </w:r>
      <w:r>
        <w:rPr>
          <w:i/>
        </w:rPr>
        <w:t>мейного положения, на основе равноправия мужчин и женщин, прав чел</w:t>
      </w:r>
      <w:r>
        <w:rPr>
          <w:i/>
        </w:rPr>
        <w:t>о</w:t>
      </w:r>
      <w:r>
        <w:rPr>
          <w:i/>
        </w:rPr>
        <w:t>века и основных свобод в политической, экономической, социальной, кул</w:t>
      </w:r>
      <w:r>
        <w:rPr>
          <w:i/>
        </w:rPr>
        <w:t>ь</w:t>
      </w:r>
      <w:r>
        <w:rPr>
          <w:i/>
        </w:rPr>
        <w:t>турной, гражданской или любой другой области.</w:t>
      </w:r>
    </w:p>
    <w:p w:rsidR="00000000" w:rsidRDefault="00000000">
      <w:pPr>
        <w:pStyle w:val="SingleTxt"/>
      </w:pPr>
      <w:r>
        <w:t>В Федеративной Республике Германия равноправие мужчин и женщин г</w:t>
      </w:r>
      <w:r>
        <w:t>а</w:t>
      </w:r>
      <w:r>
        <w:t>рантировано конституцией в качестве основного права (пункт 2 статьи 3 Основного закона): “Мужчины и женщины наделены равными правами”. Г</w:t>
      </w:r>
      <w:r>
        <w:t>о</w:t>
      </w:r>
      <w:r>
        <w:t>сударство содействует обеспечению реального равноправия женщин и мужчин и принимает меры к устранению существующих препятствий.</w:t>
      </w:r>
    </w:p>
    <w:p w:rsidR="00000000" w:rsidRDefault="00000000">
      <w:pPr>
        <w:pStyle w:val="SingleTxt"/>
      </w:pPr>
      <w:r>
        <w:t>Кроме того, пункт 3 статьи 3 Основного закона гласит: “Никто не может быть подвергнут дискриминации или получить преимущество на основании своего пола, родословной, расы, языка, места рождения и происхождения, св</w:t>
      </w:r>
      <w:r>
        <w:t>о</w:t>
      </w:r>
      <w:r>
        <w:t>ей веры или религиозных или политических убеждений. Никто не может быть подвергнут дискриминации из-за своей инв</w:t>
      </w:r>
      <w:r>
        <w:t>а</w:t>
      </w:r>
      <w:r>
        <w:t>лидности”.</w:t>
      </w:r>
    </w:p>
    <w:p w:rsidR="00000000" w:rsidRDefault="00000000">
      <w:pPr>
        <w:pStyle w:val="SingleTxt"/>
      </w:pPr>
      <w:r>
        <w:t>Определение понятия “дискриминация в отношении женщин”, приведе</w:t>
      </w:r>
      <w:r>
        <w:t>н</w:t>
      </w:r>
      <w:r>
        <w:t>ное в статье 1 Конвенции о ликвидации всех форм дискриминации в отнош</w:t>
      </w:r>
      <w:r>
        <w:t>е</w:t>
      </w:r>
      <w:r>
        <w:t>нии женщин, отражает те общие предпосылки, на которых основана немецкая правовая система и конкретные нормативные акты по отдельным областям пр</w:t>
      </w:r>
      <w:r>
        <w:t>а</w:t>
      </w:r>
      <w:r>
        <w:t>ва. Для законодателей, органов исполнительной власти и судебной системы это основное право имеет обязательную силу в качестве закона прямого действия. Любая женщина и любой мужчина, чье право было нарушено, имеет возмо</w:t>
      </w:r>
      <w:r>
        <w:t>ж</w:t>
      </w:r>
      <w:r>
        <w:t>ность обратиться в судебные органы. Споры, подпадающие под действие пу</w:t>
      </w:r>
      <w:r>
        <w:t>б</w:t>
      </w:r>
      <w:r>
        <w:t>личного права, в частности, те из них, что связаны с дискриминационными действиями со стороны административных властей, рассматриваются админ</w:t>
      </w:r>
      <w:r>
        <w:t>и</w:t>
      </w:r>
      <w:r>
        <w:t>стративными судами, либо трибуналами по вопросам социального обеспечения и налоговыми судами, заседающими в качестве специализированных судов. С</w:t>
      </w:r>
      <w:r>
        <w:t>у</w:t>
      </w:r>
      <w:r>
        <w:t>ды по трудовым спорам обеспечивают правовую защиту от неоправданного дискриминационного обращения на рабочем месте. Наконец, женщина или мужчина, чьи интересы были затронуты, также может обратиться с иском о н</w:t>
      </w:r>
      <w:r>
        <w:t>е</w:t>
      </w:r>
      <w:r>
        <w:t>конституционности в федеральный конституционный суд, заявив, что его или ее основное право на пользование равными правами было нарушено законом или каким-либо иным суверенным актом. Однако в этой ситуации следует с</w:t>
      </w:r>
      <w:r>
        <w:t>о</w:t>
      </w:r>
      <w:r>
        <w:t>блюдать спец</w:t>
      </w:r>
      <w:r>
        <w:t>и</w:t>
      </w:r>
      <w:r>
        <w:t>альные правила процедуры.</w:t>
      </w:r>
    </w:p>
    <w:p w:rsidR="00000000" w:rsidRDefault="00000000">
      <w:pPr>
        <w:pStyle w:val="H1"/>
      </w:pPr>
      <w:bookmarkStart w:id="345" w:name="_Toc44113493"/>
      <w:bookmarkStart w:id="346" w:name="_Toc44113787"/>
      <w:bookmarkStart w:id="347" w:name="_Toc44114295"/>
      <w:bookmarkStart w:id="348" w:name="_Toc44115547"/>
      <w:bookmarkStart w:id="349" w:name="_Toc44115972"/>
      <w:r>
        <w:t>2.</w:t>
      </w:r>
      <w:r>
        <w:tab/>
        <w:t>Статья 2. Меры, принимаемые парламентом в целях ликвидации дискриминации в отн</w:t>
      </w:r>
      <w:r>
        <w:t>о</w:t>
      </w:r>
      <w:r>
        <w:t>шении женщин</w:t>
      </w:r>
      <w:bookmarkEnd w:id="345"/>
      <w:bookmarkEnd w:id="346"/>
      <w:bookmarkEnd w:id="347"/>
      <w:bookmarkEnd w:id="348"/>
      <w:bookmarkEnd w:id="349"/>
    </w:p>
    <w:p w:rsidR="00000000" w:rsidRDefault="00000000">
      <w:pPr>
        <w:pStyle w:val="SingleTxt"/>
        <w:rPr>
          <w:i/>
        </w:rPr>
      </w:pPr>
      <w:r>
        <w:rPr>
          <w:i/>
        </w:rPr>
        <w:t>Статья 2</w:t>
      </w:r>
    </w:p>
    <w:p w:rsidR="00000000" w:rsidRDefault="00000000">
      <w:pPr>
        <w:pStyle w:val="SingleTxt"/>
        <w:ind w:left="1740" w:hanging="476"/>
        <w:rPr>
          <w:i/>
        </w:rPr>
      </w:pPr>
      <w:r>
        <w:rPr>
          <w:i/>
        </w:rPr>
        <w:tab/>
      </w:r>
      <w:r>
        <w:rPr>
          <w:i/>
        </w:rPr>
        <w:tab/>
        <w:t>Государства-участники осуждают дискриминацию в отношении женщин во всех ее формах, соглашаются безотлагательно всеми соответству</w:t>
      </w:r>
      <w:r>
        <w:rPr>
          <w:i/>
        </w:rPr>
        <w:t>ю</w:t>
      </w:r>
      <w:r>
        <w:rPr>
          <w:i/>
        </w:rPr>
        <w:t>щими способами проводить политику ликвидации дискриминации в о</w:t>
      </w:r>
      <w:r>
        <w:rPr>
          <w:i/>
        </w:rPr>
        <w:t>т</w:t>
      </w:r>
      <w:r>
        <w:rPr>
          <w:i/>
        </w:rPr>
        <w:t>нош</w:t>
      </w:r>
      <w:r>
        <w:rPr>
          <w:i/>
        </w:rPr>
        <w:t>е</w:t>
      </w:r>
      <w:r>
        <w:rPr>
          <w:i/>
        </w:rPr>
        <w:t>нии женщин и с этой целью обязуются:</w:t>
      </w:r>
    </w:p>
    <w:p w:rsidR="00000000" w:rsidRDefault="00000000">
      <w:pPr>
        <w:pStyle w:val="SingleTxt"/>
        <w:ind w:left="1740" w:hanging="476"/>
        <w:rPr>
          <w:i/>
        </w:rPr>
      </w:pPr>
      <w:r>
        <w:rPr>
          <w:i/>
        </w:rPr>
        <w:tab/>
      </w:r>
      <w:r>
        <w:rPr>
          <w:i/>
        </w:rPr>
        <w:tab/>
        <w:t>а) 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w:t>
      </w:r>
      <w:r>
        <w:rPr>
          <w:i/>
        </w:rPr>
        <w:t>т</w:t>
      </w:r>
      <w:r>
        <w:rPr>
          <w:i/>
        </w:rPr>
        <w:t>ствующих средств практическое осуществление этого принципа;</w:t>
      </w:r>
    </w:p>
    <w:p w:rsidR="00000000" w:rsidRDefault="00000000">
      <w:pPr>
        <w:pStyle w:val="SingleTxt"/>
        <w:ind w:left="1740" w:hanging="476"/>
        <w:rPr>
          <w:i/>
        </w:rPr>
      </w:pPr>
      <w:r>
        <w:rPr>
          <w:i/>
        </w:rPr>
        <w:tab/>
      </w:r>
      <w:r>
        <w:rPr>
          <w:i/>
        </w:rPr>
        <w:tab/>
      </w:r>
      <w:r>
        <w:rPr>
          <w:i/>
          <w:lang w:val="en-US"/>
        </w:rPr>
        <w:t>b</w:t>
      </w:r>
      <w:r>
        <w:rPr>
          <w:i/>
        </w:rPr>
        <w:t>) принимать соответствующие законодательные и другие меры, вкл</w:t>
      </w:r>
      <w:r>
        <w:rPr>
          <w:i/>
        </w:rPr>
        <w:t>ю</w:t>
      </w:r>
      <w:r>
        <w:rPr>
          <w:i/>
        </w:rPr>
        <w:t>чая санкции, там, где это необходимо, запрещающие всякую дискримин</w:t>
      </w:r>
      <w:r>
        <w:rPr>
          <w:i/>
        </w:rPr>
        <w:t>а</w:t>
      </w:r>
      <w:r>
        <w:rPr>
          <w:i/>
        </w:rPr>
        <w:t>цию в отношении женщин;</w:t>
      </w:r>
    </w:p>
    <w:p w:rsidR="00000000" w:rsidRDefault="00000000">
      <w:pPr>
        <w:pStyle w:val="SingleTxt"/>
        <w:ind w:left="1740" w:hanging="476"/>
        <w:rPr>
          <w:i/>
        </w:rPr>
      </w:pPr>
      <w:r>
        <w:rPr>
          <w:i/>
        </w:rPr>
        <w:tab/>
      </w:r>
      <w:r>
        <w:rPr>
          <w:i/>
        </w:rPr>
        <w:tab/>
        <w:t>с)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SingleTxt"/>
        <w:ind w:left="1740" w:hanging="476"/>
        <w:rPr>
          <w:i/>
        </w:rPr>
      </w:pPr>
      <w:r>
        <w:rPr>
          <w:i/>
        </w:rPr>
        <w:tab/>
      </w:r>
      <w:r>
        <w:rPr>
          <w:i/>
        </w:rPr>
        <w:tab/>
      </w:r>
      <w:r>
        <w:rPr>
          <w:i/>
          <w:lang w:val="en-US"/>
        </w:rPr>
        <w:t>d</w:t>
      </w:r>
      <w:r>
        <w:rPr>
          <w:i/>
        </w:rPr>
        <w:t>) воздерживаться от совершения каких-либо дискриминационных актов или действий в отношении женщин и гарантировать, что государстве</w:t>
      </w:r>
      <w:r>
        <w:rPr>
          <w:i/>
        </w:rPr>
        <w:t>н</w:t>
      </w:r>
      <w:r>
        <w:rPr>
          <w:i/>
        </w:rPr>
        <w:t>ные органы и учреждения будут действовать в соответствии с этим обязател</w:t>
      </w:r>
      <w:r>
        <w:rPr>
          <w:i/>
        </w:rPr>
        <w:t>ь</w:t>
      </w:r>
      <w:r>
        <w:rPr>
          <w:i/>
        </w:rPr>
        <w:t>ством;</w:t>
      </w:r>
    </w:p>
    <w:p w:rsidR="00000000" w:rsidRDefault="00000000">
      <w:pPr>
        <w:pStyle w:val="SingleTxt"/>
        <w:ind w:left="1740" w:hanging="476"/>
      </w:pPr>
      <w:r>
        <w:rPr>
          <w:i/>
        </w:rPr>
        <w:tab/>
      </w:r>
      <w:r>
        <w:rPr>
          <w:i/>
        </w:rPr>
        <w:tab/>
        <w:t>е) принимать все соответствующие меры для ликвидации дискриминации в отношении женщин со стороны какого-либо лица, организации или предпр</w:t>
      </w:r>
      <w:r>
        <w:rPr>
          <w:i/>
        </w:rPr>
        <w:t>и</w:t>
      </w:r>
      <w:r>
        <w:rPr>
          <w:i/>
        </w:rPr>
        <w:t>ятия;</w:t>
      </w:r>
    </w:p>
    <w:p w:rsidR="00000000" w:rsidRDefault="00000000">
      <w:pPr>
        <w:pStyle w:val="SingleTxt"/>
        <w:ind w:left="1740" w:hanging="476"/>
        <w:rPr>
          <w:i/>
        </w:rPr>
      </w:pPr>
      <w:r>
        <w:rPr>
          <w:i/>
        </w:rPr>
        <w:tab/>
      </w:r>
      <w:r>
        <w:rPr>
          <w:i/>
        </w:rPr>
        <w:tab/>
      </w:r>
      <w:r>
        <w:rPr>
          <w:i/>
          <w:lang w:val="en-US"/>
        </w:rPr>
        <w:t>f</w:t>
      </w:r>
      <w:r>
        <w:rPr>
          <w:i/>
        </w:rPr>
        <w:t>) 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SingleTxt"/>
        <w:ind w:left="1740" w:hanging="476"/>
        <w:rPr>
          <w:i/>
        </w:rPr>
      </w:pPr>
      <w:r>
        <w:rPr>
          <w:i/>
        </w:rPr>
        <w:tab/>
      </w:r>
      <w:r>
        <w:rPr>
          <w:i/>
        </w:rPr>
        <w:tab/>
      </w:r>
      <w:r>
        <w:rPr>
          <w:i/>
          <w:lang w:val="en-US"/>
        </w:rPr>
        <w:t>g</w:t>
      </w:r>
      <w:r>
        <w:rPr>
          <w:i/>
        </w:rPr>
        <w:t>) отменить все положения своего уголовного законодательства, кот</w:t>
      </w:r>
      <w:r>
        <w:rPr>
          <w:i/>
        </w:rPr>
        <w:t>о</w:t>
      </w:r>
      <w:r>
        <w:rPr>
          <w:i/>
        </w:rPr>
        <w:t>рые представляют с</w:t>
      </w:r>
      <w:r>
        <w:rPr>
          <w:i/>
        </w:rPr>
        <w:t>о</w:t>
      </w:r>
      <w:r>
        <w:rPr>
          <w:i/>
        </w:rPr>
        <w:t>бой дискриминацию в отношении женщин.</w:t>
      </w:r>
    </w:p>
    <w:p w:rsidR="00000000" w:rsidRDefault="00000000">
      <w:pPr>
        <w:pStyle w:val="H23"/>
      </w:pPr>
      <w:bookmarkStart w:id="350" w:name="_Toc44113494"/>
      <w:bookmarkStart w:id="351" w:name="_Toc44113788"/>
      <w:bookmarkStart w:id="352" w:name="_Toc44114296"/>
      <w:bookmarkStart w:id="353" w:name="_Toc44115548"/>
      <w:bookmarkStart w:id="354" w:name="_Toc44115973"/>
      <w:r>
        <w:t xml:space="preserve">2.1. </w:t>
      </w:r>
      <w:r>
        <w:tab/>
        <w:t>Конституция</w:t>
      </w:r>
      <w:bookmarkEnd w:id="350"/>
      <w:bookmarkEnd w:id="351"/>
      <w:bookmarkEnd w:id="352"/>
      <w:bookmarkEnd w:id="353"/>
      <w:bookmarkEnd w:id="354"/>
    </w:p>
    <w:p w:rsidR="00000000" w:rsidRDefault="00000000">
      <w:pPr>
        <w:pStyle w:val="SingleTxt"/>
      </w:pPr>
      <w:r>
        <w:t>В данном случае см. поправки к основному закону, рассматривавшиеся во введении, а также пункты 3 и 17 “</w:t>
      </w:r>
      <w:r>
        <w:rPr>
          <w:caps/>
        </w:rPr>
        <w:t>р</w:t>
      </w:r>
      <w:r>
        <w:t>ассмотрения докладов”.</w:t>
      </w:r>
    </w:p>
    <w:p w:rsidR="00000000" w:rsidRDefault="00000000">
      <w:pPr>
        <w:pStyle w:val="H23"/>
      </w:pPr>
      <w:bookmarkStart w:id="355" w:name="_Toc44113495"/>
      <w:bookmarkStart w:id="356" w:name="_Toc44113789"/>
      <w:bookmarkStart w:id="357" w:name="_Toc44114297"/>
      <w:bookmarkStart w:id="358" w:name="_Toc44115549"/>
      <w:bookmarkStart w:id="359" w:name="_Toc44115974"/>
      <w:r>
        <w:t xml:space="preserve">2.2. </w:t>
      </w:r>
      <w:r>
        <w:tab/>
        <w:t>Закон о равенстве и Закон об улучшении положения женщин</w:t>
      </w:r>
      <w:bookmarkEnd w:id="355"/>
      <w:bookmarkEnd w:id="356"/>
      <w:bookmarkEnd w:id="357"/>
      <w:bookmarkEnd w:id="358"/>
      <w:bookmarkEnd w:id="359"/>
    </w:p>
    <w:p w:rsidR="00000000" w:rsidRDefault="00000000">
      <w:pPr>
        <w:pStyle w:val="SingleTxt"/>
      </w:pPr>
      <w:r>
        <w:t>С тем, чтобы обновить предыдущий доклад, могут быть внесены ниж</w:t>
      </w:r>
      <w:r>
        <w:t>е</w:t>
      </w:r>
      <w:r>
        <w:t>следующие дополнения.</w:t>
      </w:r>
    </w:p>
    <w:p w:rsidR="00000000" w:rsidRDefault="00000000">
      <w:pPr>
        <w:pStyle w:val="SingleTxt"/>
      </w:pPr>
      <w:r>
        <w:t>Новый Федеральный закон о равных возможностях женщин и мужчин в федеральных административных органах и в судах федерации, подробно ох</w:t>
      </w:r>
      <w:r>
        <w:t>а</w:t>
      </w:r>
      <w:r>
        <w:t xml:space="preserve">рактеризованный в пункте 2.5 части </w:t>
      </w:r>
      <w:r>
        <w:rPr>
          <w:lang w:val="en-US"/>
        </w:rPr>
        <w:t>I</w:t>
      </w:r>
      <w:r>
        <w:t>, действует с 5 декабря 2001 года. Что к</w:t>
      </w:r>
      <w:r>
        <w:t>а</w:t>
      </w:r>
      <w:r>
        <w:t>сается ликвидации дискриминации и ее предотвращения, то сюда теперь мо</w:t>
      </w:r>
      <w:r>
        <w:t>ж</w:t>
      </w:r>
      <w:r>
        <w:t>но добавить нижеследующие полож</w:t>
      </w:r>
      <w:r>
        <w:t>е</w:t>
      </w:r>
      <w:r>
        <w:t>ния.</w:t>
      </w:r>
    </w:p>
    <w:p w:rsidR="00000000" w:rsidRDefault="00000000">
      <w:pPr>
        <w:pStyle w:val="SingleTxt"/>
      </w:pPr>
      <w:r>
        <w:t>С тем, чтобы по возможности избежать каких бы то ни было правовых споров относительно того, представляют ли собой конкретные положения или действия прямую или косвенную дискриминацию в отношении женщин, в по</w:t>
      </w:r>
      <w:r>
        <w:t>д</w:t>
      </w:r>
      <w:r>
        <w:t>раздел 7 раздела 4 </w:t>
      </w:r>
      <w:r>
        <w:rPr>
          <w:caps/>
        </w:rPr>
        <w:t>ф</w:t>
      </w:r>
      <w:r>
        <w:t>едерального закона о равных возможностях на государс</w:t>
      </w:r>
      <w:r>
        <w:t>т</w:t>
      </w:r>
      <w:r>
        <w:t>венной службе в органах Федерации были включены поясняющие правовые определения. Они соответствуют законодательству Европейского сообщества. Таким образом, прямая дискриминация присутствует в том случае, когда то или иное соглашение или мера предусматривают различное отношение к женщинам и мужчинам в зависимости от их половой принадлежности, не обусловленное убедительными причинами, за исключением тех случаев, когда соглашение или мера основаны на характере выполняемой работы, а принадлежность к ко</w:t>
      </w:r>
      <w:r>
        <w:t>н</w:t>
      </w:r>
      <w:r>
        <w:t>кретному полу представляет собой обязательное условие выполнения этой р</w:t>
      </w:r>
      <w:r>
        <w:t>а</w:t>
      </w:r>
      <w:r>
        <w:t>боты. Косвенная дискриминация в отношении женщин присутствует в тех о</w:t>
      </w:r>
      <w:r>
        <w:t>б</w:t>
      </w:r>
      <w:r>
        <w:t>стоятельствах, когда положения, критерии или процедуры, которые, как пре</w:t>
      </w:r>
      <w:r>
        <w:t>д</w:t>
      </w:r>
      <w:r>
        <w:t>ставляется, носят нейтральный характер, дискриминируют гораздо более зн</w:t>
      </w:r>
      <w:r>
        <w:t>а</w:t>
      </w:r>
      <w:r>
        <w:t>чительную долю женщин, за исключением тех случаев, когда положения, кр</w:t>
      </w:r>
      <w:r>
        <w:t>и</w:t>
      </w:r>
      <w:r>
        <w:t>терии или процедуры являются целесообразными и необходимыми, а также обусловлены пр</w:t>
      </w:r>
      <w:r>
        <w:t>и</w:t>
      </w:r>
      <w:r>
        <w:t>чинами, не имеющими гендерной подоплеки.</w:t>
      </w:r>
    </w:p>
    <w:p w:rsidR="00000000" w:rsidRDefault="00000000">
      <w:pPr>
        <w:pStyle w:val="SingleTxt"/>
      </w:pPr>
      <w:r>
        <w:t>Подраздел 2 раздела 9 Федерального закона о равных возможностях, в с</w:t>
      </w:r>
      <w:r>
        <w:t>о</w:t>
      </w:r>
      <w:r>
        <w:t>ответствии с прецедентным правом Европейского суда, запрещает при прин</w:t>
      </w:r>
      <w:r>
        <w:t>я</w:t>
      </w:r>
      <w:r>
        <w:t>тии кадровых и организационных решений принимать во внимание конкретные отборочные критерии, подразумевающие косвенную дискриминацию в отн</w:t>
      </w:r>
      <w:r>
        <w:t>о</w:t>
      </w:r>
      <w:r>
        <w:t>шении женщин. Например, при принятии отборочных решений не должны уч</w:t>
      </w:r>
      <w:r>
        <w:t>и</w:t>
      </w:r>
      <w:r>
        <w:t>тываться такие обстоятельства, как перерывы в оплачиваемой работе, кратк</w:t>
      </w:r>
      <w:r>
        <w:t>о</w:t>
      </w:r>
      <w:r>
        <w:t>срочность активной занятости или ограниченность периода занятости, работа неполный рабочий день или отставание с прохождением индивидуальных ку</w:t>
      </w:r>
      <w:r>
        <w:t>р</w:t>
      </w:r>
      <w:r>
        <w:t>сов подготовки из-за необходимости выполнять семейные обязанности, вкл</w:t>
      </w:r>
      <w:r>
        <w:t>ю</w:t>
      </w:r>
      <w:r>
        <w:t>чая материальное положение супруга, партнера или сожителя, а также потре</w:t>
      </w:r>
      <w:r>
        <w:t>б</w:t>
      </w:r>
      <w:r>
        <w:t>ность в дополнительном времени для ухода за детьми или родственниками, нуждающимися в долгосрочном уходе, и намерение воспользоваться возмо</w:t>
      </w:r>
      <w:r>
        <w:t>ж</w:t>
      </w:r>
      <w:r>
        <w:t>ностью уменьшить свою рабочую нагрузку.</w:t>
      </w:r>
    </w:p>
    <w:p w:rsidR="00000000" w:rsidRDefault="00000000">
      <w:pPr>
        <w:pStyle w:val="H23"/>
      </w:pPr>
      <w:bookmarkStart w:id="360" w:name="_Toc44113496"/>
      <w:bookmarkStart w:id="361" w:name="_Toc44113790"/>
      <w:bookmarkStart w:id="362" w:name="_Toc44114298"/>
      <w:bookmarkStart w:id="363" w:name="_Toc44115550"/>
      <w:bookmarkStart w:id="364" w:name="_Toc44115975"/>
      <w:r>
        <w:t>2.3.</w:t>
      </w:r>
      <w:r>
        <w:tab/>
        <w:t xml:space="preserve">Закон о внесении поправок в </w:t>
      </w:r>
      <w:r>
        <w:rPr>
          <w:caps/>
        </w:rPr>
        <w:t>з</w:t>
      </w:r>
      <w:r>
        <w:t>акон об оказании помощи беременным женщинам и семьям</w:t>
      </w:r>
      <w:bookmarkEnd w:id="360"/>
      <w:bookmarkEnd w:id="361"/>
      <w:bookmarkEnd w:id="362"/>
      <w:bookmarkEnd w:id="363"/>
      <w:bookmarkEnd w:id="364"/>
    </w:p>
    <w:p w:rsidR="00000000" w:rsidRDefault="00000000">
      <w:pPr>
        <w:pStyle w:val="SingleTxt"/>
      </w:pPr>
      <w:r>
        <w:t>С тем, чтобы обновить предыдущий доклад, могут быть внесены ниж</w:t>
      </w:r>
      <w:r>
        <w:t>е</w:t>
      </w:r>
      <w:r>
        <w:t>следующие дополнения.</w:t>
      </w:r>
    </w:p>
    <w:p w:rsidR="00000000" w:rsidRDefault="00000000">
      <w:pPr>
        <w:pStyle w:val="SingleTxt"/>
      </w:pPr>
      <w:r>
        <w:t xml:space="preserve">С ноября 1999 года с санкции </w:t>
      </w:r>
      <w:r>
        <w:rPr>
          <w:lang w:val="en-US"/>
        </w:rPr>
        <w:t>Mifegyne</w:t>
      </w:r>
      <w:r>
        <w:t xml:space="preserve"> идет подготовка к созданию усл</w:t>
      </w:r>
      <w:r>
        <w:t>о</w:t>
      </w:r>
      <w:r>
        <w:t>вий для того, чтобы производить аборт также и на ранних этапах беременности с использованием, в качестве альтернативы хирургическому вмешательству, л</w:t>
      </w:r>
      <w:r>
        <w:t>е</w:t>
      </w:r>
      <w:r>
        <w:t>карственных препаратов. В том, что касается юридических предпосылок и предписанной процедуры (консультационной процедуры), которую должны проходить женщины, когда аборт производится с использованием лекарстве</w:t>
      </w:r>
      <w:r>
        <w:t>н</w:t>
      </w:r>
      <w:r>
        <w:t>ных препаратов, а не путем хирургического вмешательства, никаких изменений не произошло.</w:t>
      </w:r>
    </w:p>
    <w:p w:rsidR="00000000" w:rsidRDefault="00000000">
      <w:pPr>
        <w:pStyle w:val="SingleTxt"/>
      </w:pPr>
      <w:r>
        <w:t>Прерывание беременности (аборты) по-прежнему, как правило, влечет за собой соответствующее наказание для всех участников в соответствии с разд</w:t>
      </w:r>
      <w:r>
        <w:t>е</w:t>
      </w:r>
      <w:r>
        <w:t>лом 218 Уголовного кодекса (</w:t>
      </w:r>
      <w:r>
        <w:rPr>
          <w:lang w:val="en-US"/>
        </w:rPr>
        <w:t>Strafgesetzbuch</w:t>
      </w:r>
      <w:r>
        <w:t xml:space="preserve"> –</w:t>
      </w:r>
      <w:r>
        <w:rPr>
          <w:lang w:val="en-US"/>
        </w:rPr>
        <w:t>StGB</w:t>
      </w:r>
      <w:r>
        <w:t>), причем перечисленные в последнем докладе исключения остаются в силе.</w:t>
      </w:r>
    </w:p>
    <w:p w:rsidR="00000000" w:rsidRDefault="00000000">
      <w:pPr>
        <w:pStyle w:val="H23"/>
      </w:pPr>
      <w:bookmarkStart w:id="365" w:name="_Toc44113497"/>
      <w:bookmarkStart w:id="366" w:name="_Toc44113791"/>
      <w:bookmarkStart w:id="367" w:name="_Toc44114299"/>
      <w:bookmarkStart w:id="368" w:name="_Toc44115551"/>
      <w:bookmarkStart w:id="369" w:name="_Toc44115976"/>
      <w:r>
        <w:t>2.4</w:t>
      </w:r>
      <w:r>
        <w:tab/>
        <w:t>Прочие законы</w:t>
      </w:r>
      <w:bookmarkEnd w:id="365"/>
      <w:bookmarkEnd w:id="366"/>
      <w:bookmarkEnd w:id="367"/>
      <w:bookmarkEnd w:id="368"/>
      <w:bookmarkEnd w:id="369"/>
    </w:p>
    <w:p w:rsidR="00000000" w:rsidRDefault="00000000">
      <w:pPr>
        <w:pStyle w:val="SingleTxt"/>
      </w:pPr>
      <w:r>
        <w:t>О других законах, касающихся улучшения положения женщин и обесп</w:t>
      </w:r>
      <w:r>
        <w:t>е</w:t>
      </w:r>
      <w:r>
        <w:t xml:space="preserve">чения большего равноправия, а также ликвидации дискриминации в отношении женщин речь идет в нижеследующих статьях и/или в части </w:t>
      </w:r>
      <w:r>
        <w:rPr>
          <w:lang w:val="en-US"/>
        </w:rPr>
        <w:t>I</w:t>
      </w:r>
      <w:r>
        <w:t>. Перечень всех з</w:t>
      </w:r>
      <w:r>
        <w:t>а</w:t>
      </w:r>
      <w:r>
        <w:t xml:space="preserve">конов по женской проблематике приведен в приложении </w:t>
      </w:r>
      <w:r>
        <w:rPr>
          <w:lang w:val="en-US"/>
        </w:rPr>
        <w:t>II</w:t>
      </w:r>
      <w:r>
        <w:t>.</w:t>
      </w:r>
    </w:p>
    <w:p w:rsidR="00000000" w:rsidRDefault="00000000">
      <w:pPr>
        <w:pStyle w:val="H1"/>
      </w:pPr>
      <w:bookmarkStart w:id="370" w:name="_Toc44113498"/>
      <w:bookmarkStart w:id="371" w:name="_Toc44113792"/>
      <w:bookmarkStart w:id="372" w:name="_Toc44114300"/>
      <w:bookmarkStart w:id="373" w:name="_Toc44115552"/>
      <w:bookmarkStart w:id="374" w:name="_Toc44115977"/>
      <w:r>
        <w:t xml:space="preserve">3. </w:t>
      </w:r>
      <w:r>
        <w:tab/>
        <w:t>Статья 3. Меры, нацеленные на поощрение всестороннего развития женщин и на его о</w:t>
      </w:r>
      <w:r>
        <w:t>х</w:t>
      </w:r>
      <w:r>
        <w:t>рану</w:t>
      </w:r>
      <w:bookmarkEnd w:id="370"/>
      <w:bookmarkEnd w:id="371"/>
      <w:bookmarkEnd w:id="372"/>
      <w:bookmarkEnd w:id="373"/>
      <w:bookmarkEnd w:id="374"/>
    </w:p>
    <w:p w:rsidR="00000000" w:rsidRDefault="00000000">
      <w:pPr>
        <w:pStyle w:val="SingleTxt"/>
        <w:rPr>
          <w:i/>
        </w:rPr>
      </w:pPr>
      <w:r>
        <w:rPr>
          <w:i/>
        </w:rPr>
        <w:t>Статья 3</w:t>
      </w:r>
    </w:p>
    <w:p w:rsidR="00000000" w:rsidRDefault="00000000">
      <w:pPr>
        <w:pStyle w:val="SingleTxt"/>
        <w:ind w:left="1740" w:hanging="476"/>
        <w:rPr>
          <w:i/>
        </w:rPr>
      </w:pPr>
      <w:r>
        <w:rPr>
          <w:i/>
        </w:rPr>
        <w:tab/>
      </w:r>
      <w:r>
        <w:rPr>
          <w:i/>
        </w:rPr>
        <w:tab/>
        <w:t>Государства-участники принимают во всех областях, и в частности в политической, социальной, экономической и культурной областях, все с</w:t>
      </w:r>
      <w:r>
        <w:rPr>
          <w:i/>
        </w:rPr>
        <w:t>о</w:t>
      </w:r>
      <w:r>
        <w:rPr>
          <w:i/>
        </w:rPr>
        <w:t>ответствующие меры, включая законодательные, для обеспечения вс</w:t>
      </w:r>
      <w:r>
        <w:rPr>
          <w:i/>
        </w:rPr>
        <w:t>е</w:t>
      </w:r>
      <w:r>
        <w:rPr>
          <w:i/>
        </w:rPr>
        <w:t>стороннего развития и прогресса женщин, с тем чтобы гарантировать им осуществление и пользование правами человека и основными свобод</w:t>
      </w:r>
      <w:r>
        <w:rPr>
          <w:i/>
        </w:rPr>
        <w:t>а</w:t>
      </w:r>
      <w:r>
        <w:rPr>
          <w:i/>
        </w:rPr>
        <w:t>ми на основе раве</w:t>
      </w:r>
      <w:r>
        <w:rPr>
          <w:i/>
        </w:rPr>
        <w:t>н</w:t>
      </w:r>
      <w:r>
        <w:rPr>
          <w:i/>
        </w:rPr>
        <w:t>ства с мужчинами.</w:t>
      </w:r>
    </w:p>
    <w:p w:rsidR="00000000" w:rsidRDefault="00000000">
      <w:pPr>
        <w:pStyle w:val="SingleTxt"/>
      </w:pPr>
      <w:r>
        <w:t xml:space="preserve">В данном случае речь идет о мерах, принимаемых на уровне федерации и в отдельных землях, которые надлежащим образом перечислены в части </w:t>
      </w:r>
      <w:r>
        <w:rPr>
          <w:lang w:val="en-US"/>
        </w:rPr>
        <w:t>I</w:t>
      </w:r>
      <w:r>
        <w:t xml:space="preserve"> до</w:t>
      </w:r>
      <w:r>
        <w:t>к</w:t>
      </w:r>
      <w:r>
        <w:t xml:space="preserve">лада и в приложении </w:t>
      </w:r>
      <w:r>
        <w:rPr>
          <w:lang w:val="en-US"/>
        </w:rPr>
        <w:t>II</w:t>
      </w:r>
      <w:r>
        <w:t>.</w:t>
      </w:r>
    </w:p>
    <w:p w:rsidR="00000000" w:rsidRDefault="00000000">
      <w:pPr>
        <w:pStyle w:val="SingleTxt"/>
      </w:pPr>
      <w:r>
        <w:t>Что касается других аспектов, то информация, изложенная по этой пр</w:t>
      </w:r>
      <w:r>
        <w:t>о</w:t>
      </w:r>
      <w:r>
        <w:t>блематике в прошлом докладе, не утратила своей актуальности.</w:t>
      </w:r>
    </w:p>
    <w:p w:rsidR="00000000" w:rsidRDefault="00000000">
      <w:pPr>
        <w:pStyle w:val="H1"/>
      </w:pPr>
      <w:bookmarkStart w:id="375" w:name="_Toc44113499"/>
      <w:bookmarkStart w:id="376" w:name="_Toc44113793"/>
      <w:bookmarkStart w:id="377" w:name="_Toc44114301"/>
      <w:bookmarkStart w:id="378" w:name="_Toc44115553"/>
      <w:bookmarkStart w:id="379" w:name="_Toc44115978"/>
      <w:r>
        <w:t>4.</w:t>
      </w:r>
      <w:r>
        <w:tab/>
        <w:t>Статья 4. Специальные меры в соответствии со статьей 4.</w:t>
      </w:r>
      <w:bookmarkEnd w:id="375"/>
      <w:bookmarkEnd w:id="376"/>
      <w:bookmarkEnd w:id="377"/>
      <w:bookmarkEnd w:id="378"/>
      <w:bookmarkEnd w:id="379"/>
    </w:p>
    <w:p w:rsidR="00000000" w:rsidRDefault="00000000">
      <w:pPr>
        <w:pStyle w:val="SingleTxt"/>
        <w:ind w:left="1740" w:hanging="476"/>
        <w:rPr>
          <w:i/>
        </w:rPr>
      </w:pPr>
      <w:r>
        <w:rPr>
          <w:i/>
        </w:rPr>
        <w:tab/>
      </w:r>
      <w:r>
        <w:rPr>
          <w:i/>
        </w:rPr>
        <w:tab/>
        <w:t>Статья 4</w:t>
      </w:r>
    </w:p>
    <w:p w:rsidR="00000000" w:rsidRDefault="00000000">
      <w:pPr>
        <w:pStyle w:val="SingleTxt"/>
        <w:ind w:left="1740" w:hanging="476"/>
        <w:rPr>
          <w:i/>
        </w:rPr>
      </w:pPr>
      <w:r>
        <w:rPr>
          <w:i/>
        </w:rPr>
        <w:tab/>
      </w:r>
      <w:r>
        <w:rPr>
          <w:i/>
        </w:rPr>
        <w:tab/>
        <w:t>(1) Принятие государствами-участниками временных специальных мер, направленных на ускорение установления фактического равенства ме</w:t>
      </w:r>
      <w:r>
        <w:rPr>
          <w:i/>
        </w:rPr>
        <w:t>ж</w:t>
      </w:r>
      <w:r>
        <w:rPr>
          <w:i/>
        </w:rPr>
        <w:t>ду мужчинами и женщинами, не считается, как это определяется н</w:t>
      </w:r>
      <w:r>
        <w:rPr>
          <w:i/>
        </w:rPr>
        <w:t>а</w:t>
      </w:r>
      <w:r>
        <w:rPr>
          <w:i/>
        </w:rPr>
        <w:t>стоящей Конвенцией, дискриминационным, однако оно ни в коей мере не должно влечь за собой сохранение неравноправных или дифференцирова</w:t>
      </w:r>
      <w:r>
        <w:rPr>
          <w:i/>
        </w:rPr>
        <w:t>н</w:t>
      </w:r>
      <w:r>
        <w:rPr>
          <w:i/>
        </w:rPr>
        <w:t>ных стандартов; эти меры должны быть отменены, когда будут до</w:t>
      </w:r>
      <w:r>
        <w:rPr>
          <w:i/>
        </w:rPr>
        <w:t>с</w:t>
      </w:r>
      <w:r>
        <w:rPr>
          <w:i/>
        </w:rPr>
        <w:t>тигнуты цели равенства возможностей и равн</w:t>
      </w:r>
      <w:r>
        <w:rPr>
          <w:i/>
        </w:rPr>
        <w:t>о</w:t>
      </w:r>
      <w:r>
        <w:rPr>
          <w:i/>
        </w:rPr>
        <w:t>правного отношения.</w:t>
      </w:r>
    </w:p>
    <w:p w:rsidR="00000000" w:rsidRDefault="00000000">
      <w:pPr>
        <w:pStyle w:val="SingleTxt"/>
        <w:ind w:left="1740" w:hanging="476"/>
        <w:rPr>
          <w:i/>
        </w:rPr>
      </w:pPr>
      <w:r>
        <w:rPr>
          <w:i/>
        </w:rPr>
        <w:tab/>
      </w:r>
      <w:r>
        <w:rPr>
          <w:i/>
        </w:rPr>
        <w:tab/>
        <w:t>(2) Принятие государствами-участниками специальных мер, направле</w:t>
      </w:r>
      <w:r>
        <w:rPr>
          <w:i/>
        </w:rPr>
        <w:t>н</w:t>
      </w:r>
      <w:r>
        <w:rPr>
          <w:i/>
        </w:rPr>
        <w:t>ных на охрану материнства, включая меры, содержащиеся в настоящей Конвенции, не считается дискриминацио</w:t>
      </w:r>
      <w:r>
        <w:rPr>
          <w:i/>
        </w:rPr>
        <w:t>н</w:t>
      </w:r>
      <w:r>
        <w:rPr>
          <w:i/>
        </w:rPr>
        <w:t>ным.</w:t>
      </w:r>
    </w:p>
    <w:p w:rsidR="00000000" w:rsidRDefault="00000000">
      <w:pPr>
        <w:pStyle w:val="SingleTxt"/>
      </w:pPr>
      <w:r>
        <w:t xml:space="preserve">Большинство мер, перечисленных в приложении </w:t>
      </w:r>
      <w:r>
        <w:rPr>
          <w:lang w:val="en-US"/>
        </w:rPr>
        <w:t>II</w:t>
      </w:r>
      <w:r>
        <w:t>, может считаться сп</w:t>
      </w:r>
      <w:r>
        <w:t>е</w:t>
      </w:r>
      <w:r>
        <w:t>циальными мерами, как они определены в статье 4 Конвенции. Этой цели сл</w:t>
      </w:r>
      <w:r>
        <w:t>у</w:t>
      </w:r>
      <w:r>
        <w:t>жит и включение новых положений в Основной закон, Закон о равных правах, Закон об улучшении положения женщин, и осуществление н</w:t>
      </w:r>
      <w:r>
        <w:t>а</w:t>
      </w:r>
      <w:r>
        <w:t>учно-исследовательских проектов, и принятие мер по улучшению положения же</w:t>
      </w:r>
      <w:r>
        <w:t>н</w:t>
      </w:r>
      <w:r>
        <w:t>щин, например, на рынке труда, в политике и на государственной службе. Н</w:t>
      </w:r>
      <w:r>
        <w:t>е</w:t>
      </w:r>
      <w:r>
        <w:t>которые из этих мер уже рассматривались в предыдущем докладе, либо под с</w:t>
      </w:r>
      <w:r>
        <w:t>о</w:t>
      </w:r>
      <w:r>
        <w:t>ответствующими статьями, либо в разд</w:t>
      </w:r>
      <w:r>
        <w:t>е</w:t>
      </w:r>
      <w:r>
        <w:t>ле общего характера.</w:t>
      </w:r>
    </w:p>
    <w:p w:rsidR="00000000" w:rsidRDefault="00000000">
      <w:pPr>
        <w:pStyle w:val="SingleTxt"/>
      </w:pPr>
      <w:r>
        <w:t>Аналогично современным нормативным актам земель, касающимся улучшения положения женщин, в целях достижения равноправия, подтве</w:t>
      </w:r>
      <w:r>
        <w:t>р</w:t>
      </w:r>
      <w:r>
        <w:t>жденного Европейским судом, в новый Федеральный закон о равных возмо</w:t>
      </w:r>
      <w:r>
        <w:t>ж</w:t>
      </w:r>
      <w:r>
        <w:t>ностях были также включены положения о свободном от дискриминации до</w:t>
      </w:r>
      <w:r>
        <w:t>с</w:t>
      </w:r>
      <w:r>
        <w:t>тупе женщин к собеседованиям и процедурам отбора, к собеседованиям, не предусматривающим вопросов дискриминационного характера согласно уст</w:t>
      </w:r>
      <w:r>
        <w:t>а</w:t>
      </w:r>
      <w:r>
        <w:t>новленным правилам, к квоте при принятии решений об отборе персонала, учитывающей конкретные обстоятельства, а также к дополнительным квотам, связанным с приглашениями на отборочные собеседования, в отборочные к</w:t>
      </w:r>
      <w:r>
        <w:t>о</w:t>
      </w:r>
      <w:r>
        <w:t>митеты и указанным в плане обеспечения равноправия, к квалификационным свидетельствам, к недопустимым, влекущим за собой косвенную дискримин</w:t>
      </w:r>
      <w:r>
        <w:t>а</w:t>
      </w:r>
      <w:r>
        <w:t>цию критериям для принятия решений об отборе персонала, которые следует рассматривать в качестве специальных мер в значении статьи 4 Конвенции.</w:t>
      </w:r>
    </w:p>
    <w:p w:rsidR="00000000" w:rsidRDefault="00000000">
      <w:pPr>
        <w:pStyle w:val="SingleTxt"/>
      </w:pPr>
      <w:r>
        <w:t>Это касается и новых положений для планов обеспечения равноправия, предусмотренных в Федеральном законе о равных возможностях. Планы обе</w:t>
      </w:r>
      <w:r>
        <w:t>с</w:t>
      </w:r>
      <w:r>
        <w:t>печения равноправия разрабатываются с расчетом на то, что они превратятся в эффективные инструменты современного планирования и повышения квал</w:t>
      </w:r>
      <w:r>
        <w:t>и</w:t>
      </w:r>
      <w:r>
        <w:t>фикации персонала – и не только в периоды роста занятости. На случай сокр</w:t>
      </w:r>
      <w:r>
        <w:t>а</w:t>
      </w:r>
      <w:r>
        <w:t>щения численности рабочих мест в планы обеспечения равноправия следует включить требование о том, что доля женщин не должна, по крайней мере, снижаться. С тем, чтобы сократить число бесполезных бюрократических пр</w:t>
      </w:r>
      <w:r>
        <w:t>о</w:t>
      </w:r>
      <w:r>
        <w:t>цедур, выполняемых для “контроля за равноправием” в административных о</w:t>
      </w:r>
      <w:r>
        <w:t>р</w:t>
      </w:r>
      <w:r>
        <w:t>ганах, срок действия планов обеспечения равноправия увеличивается, а част</w:t>
      </w:r>
      <w:r>
        <w:t>о</w:t>
      </w:r>
      <w:r>
        <w:t>та внесения поправок – сокращается.</w:t>
      </w:r>
    </w:p>
    <w:p w:rsidR="00000000" w:rsidRDefault="00000000">
      <w:pPr>
        <w:pStyle w:val="H1"/>
      </w:pPr>
      <w:bookmarkStart w:id="380" w:name="_Toc44113500"/>
      <w:bookmarkStart w:id="381" w:name="_Toc44113794"/>
      <w:bookmarkStart w:id="382" w:name="_Toc44114302"/>
      <w:bookmarkStart w:id="383" w:name="_Toc44115554"/>
      <w:bookmarkStart w:id="384" w:name="_Toc44115979"/>
      <w:r>
        <w:t xml:space="preserve">5. </w:t>
      </w:r>
      <w:r>
        <w:tab/>
        <w:t>Статья 5. Ликвидация ролевых стереотипов и поощрение общей ответственности женщин и мужчин за воспитание и развитие своих детей</w:t>
      </w:r>
      <w:bookmarkEnd w:id="380"/>
      <w:bookmarkEnd w:id="381"/>
      <w:bookmarkEnd w:id="382"/>
      <w:bookmarkEnd w:id="383"/>
      <w:bookmarkEnd w:id="384"/>
    </w:p>
    <w:p w:rsidR="00000000" w:rsidRDefault="00000000">
      <w:pPr>
        <w:pStyle w:val="SingleTxt"/>
        <w:keepNext/>
        <w:ind w:left="1740" w:hanging="476"/>
        <w:rPr>
          <w:i/>
        </w:rPr>
      </w:pPr>
      <w:r>
        <w:rPr>
          <w:i/>
        </w:rPr>
        <w:tab/>
      </w:r>
      <w:r>
        <w:rPr>
          <w:i/>
        </w:rPr>
        <w:tab/>
        <w:t>Статья 5</w:t>
      </w:r>
    </w:p>
    <w:p w:rsidR="00000000" w:rsidRDefault="00000000">
      <w:pPr>
        <w:pStyle w:val="SingleTxt"/>
        <w:ind w:left="1740" w:hanging="476"/>
        <w:rPr>
          <w:i/>
        </w:rPr>
      </w:pPr>
      <w:r>
        <w:rPr>
          <w:i/>
        </w:rPr>
        <w:tab/>
      </w:r>
      <w:r>
        <w:rPr>
          <w:i/>
        </w:rPr>
        <w:tab/>
        <w:t>Государства-участники принимают все соответствующие меры с целью:</w:t>
      </w:r>
    </w:p>
    <w:p w:rsidR="00000000" w:rsidRDefault="00000000">
      <w:pPr>
        <w:pStyle w:val="SingleTxt"/>
        <w:ind w:left="1740" w:hanging="476"/>
        <w:rPr>
          <w:i/>
        </w:rPr>
      </w:pPr>
      <w:r>
        <w:rPr>
          <w:i/>
        </w:rPr>
        <w:tab/>
      </w:r>
      <w:r>
        <w:rPr>
          <w:i/>
        </w:rPr>
        <w:tab/>
        <w:t>а) изменить социальные и культурные модели поведения мужчин и же</w:t>
      </w:r>
      <w:r>
        <w:rPr>
          <w:i/>
        </w:rPr>
        <w:t>н</w:t>
      </w:r>
      <w:r>
        <w:rPr>
          <w:i/>
        </w:rPr>
        <w:t>щин с целью достижения искоренения предрассудков и упразднения об</w:t>
      </w:r>
      <w:r>
        <w:rPr>
          <w:i/>
        </w:rPr>
        <w:t>ы</w:t>
      </w:r>
      <w:r>
        <w:rPr>
          <w:i/>
        </w:rPr>
        <w:t>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pStyle w:val="SingleTxt"/>
        <w:ind w:left="1740" w:hanging="476"/>
        <w:rPr>
          <w:i/>
        </w:rPr>
      </w:pPr>
      <w:r>
        <w:rPr>
          <w:i/>
        </w:rPr>
        <w:tab/>
      </w:r>
      <w:r>
        <w:rPr>
          <w:i/>
        </w:rPr>
        <w:tab/>
      </w:r>
      <w:r>
        <w:rPr>
          <w:i/>
          <w:lang w:val="en-US"/>
        </w:rPr>
        <w:t>b</w:t>
      </w:r>
      <w:r>
        <w:rPr>
          <w:i/>
        </w:rPr>
        <w:t>) обеспечить чтобы семейное воспитание включало в себя правильное понимание материнства как социальной функции и признание общей о</w:t>
      </w:r>
      <w:r>
        <w:rPr>
          <w:i/>
        </w:rPr>
        <w:t>т</w:t>
      </w:r>
      <w:r>
        <w:rPr>
          <w:i/>
        </w:rPr>
        <w:t>ветственности мужчин и женщин за воспитание и развитие своих детей при условии, что во всех случаях интересы детей являются преоблада</w:t>
      </w:r>
      <w:r>
        <w:rPr>
          <w:i/>
        </w:rPr>
        <w:t>ю</w:t>
      </w:r>
      <w:r>
        <w:rPr>
          <w:i/>
        </w:rPr>
        <w:t>щими.</w:t>
      </w:r>
    </w:p>
    <w:p w:rsidR="00000000" w:rsidRDefault="00000000">
      <w:pPr>
        <w:pStyle w:val="SingleTxt"/>
        <w:keepNext/>
        <w:ind w:left="1740" w:hanging="476"/>
        <w:rPr>
          <w:i/>
        </w:rPr>
      </w:pPr>
      <w:r>
        <w:rPr>
          <w:i/>
        </w:rPr>
        <w:tab/>
      </w:r>
      <w:r>
        <w:rPr>
          <w:i/>
        </w:rPr>
        <w:tab/>
        <w:t>Статья 6</w:t>
      </w:r>
    </w:p>
    <w:p w:rsidR="00000000" w:rsidRDefault="00000000">
      <w:pPr>
        <w:pStyle w:val="SingleTxt"/>
        <w:ind w:left="1740" w:hanging="476"/>
      </w:pPr>
      <w:r>
        <w:rPr>
          <w:i/>
        </w:rPr>
        <w:tab/>
      </w:r>
      <w:r>
        <w:rPr>
          <w:i/>
        </w:rPr>
        <w:tab/>
        <w:t>Государства-участники принимают все соответствующие меры, вкл</w:t>
      </w:r>
      <w:r>
        <w:rPr>
          <w:i/>
        </w:rPr>
        <w:t>ю</w:t>
      </w:r>
      <w:r>
        <w:rPr>
          <w:i/>
        </w:rPr>
        <w:t>чая законодательные, для пресечения всех видов торговли женщинами и эк</w:t>
      </w:r>
      <w:r>
        <w:rPr>
          <w:i/>
        </w:rPr>
        <w:t>с</w:t>
      </w:r>
      <w:r>
        <w:rPr>
          <w:i/>
        </w:rPr>
        <w:t>плуатации проституции женщин.</w:t>
      </w:r>
    </w:p>
    <w:p w:rsidR="00000000" w:rsidRDefault="00000000">
      <w:pPr>
        <w:pStyle w:val="SingleTxt"/>
      </w:pPr>
      <w:r>
        <w:t>С тем, чтобы обновить предыдущий доклад, могут быть внесены ниж</w:t>
      </w:r>
      <w:r>
        <w:t>е</w:t>
      </w:r>
      <w:r>
        <w:t>следующие дополнения.</w:t>
      </w:r>
    </w:p>
    <w:p w:rsidR="00000000" w:rsidRDefault="00000000">
      <w:pPr>
        <w:pStyle w:val="H23"/>
      </w:pPr>
      <w:bookmarkStart w:id="385" w:name="_Toc44113501"/>
      <w:bookmarkStart w:id="386" w:name="_Toc44113795"/>
      <w:bookmarkStart w:id="387" w:name="_Toc44114303"/>
      <w:bookmarkStart w:id="388" w:name="_Toc44115555"/>
      <w:bookmarkStart w:id="389" w:name="_Toc44115980"/>
      <w:r>
        <w:t>5.1</w:t>
      </w:r>
      <w:r>
        <w:tab/>
        <w:t>Сбалансированное сочетание семейной и трудовой жизни</w:t>
      </w:r>
      <w:bookmarkEnd w:id="385"/>
      <w:bookmarkEnd w:id="386"/>
      <w:bookmarkEnd w:id="387"/>
      <w:bookmarkEnd w:id="388"/>
      <w:bookmarkEnd w:id="389"/>
    </w:p>
    <w:p w:rsidR="00000000" w:rsidRDefault="00000000">
      <w:pPr>
        <w:pStyle w:val="SingleTxt"/>
      </w:pPr>
      <w:r>
        <w:t>Реформирование Федерального закона о пособиях на цели воспитания д</w:t>
      </w:r>
      <w:r>
        <w:t>е</w:t>
      </w:r>
      <w:r>
        <w:t>тей, вступившего в силу 1 января 2001 года, вносит крупный вклад в дело обеспечения более сбалансированного сочетания семейной и трудовой жизни. Благодаря новым положениям у родителей появляется больше возможностей для планирования разделения обязанностей в семье и для более гибкой смены домашней обстановки на служебную и наоборот. Кроме того, Закон о работе на условиях неполной занятости и срочных трудовых договорах, вступивший в силу 1 января 2001 года, дает служащим компаний, где численность занятых превышает 15 человек, юридическое право на сокращение продолжительности рабочей недели в том случае, если это не влечет за собой сбоев в работе пре</w:t>
      </w:r>
      <w:r>
        <w:t>д</w:t>
      </w:r>
      <w:r>
        <w:t>приятия. Таким образом, родители с детьми более старшего возраста также п</w:t>
      </w:r>
      <w:r>
        <w:t>о</w:t>
      </w:r>
      <w:r>
        <w:t>лучили возможность успешно совмещать семейную и трудовую жизнь.</w:t>
      </w:r>
    </w:p>
    <w:p w:rsidR="00000000" w:rsidRDefault="00000000">
      <w:pPr>
        <w:pStyle w:val="SingleTxt"/>
      </w:pPr>
      <w:r>
        <w:t>Что касается службы в федеративных государственных органах, то в часть 3 нового Федерального закона о равных возможностях были включены пол</w:t>
      </w:r>
      <w:r>
        <w:t>о</w:t>
      </w:r>
      <w:r>
        <w:t>жения, идущие еще дальше с тем, чтобы облегчить успешное совмещение с</w:t>
      </w:r>
      <w:r>
        <w:t>е</w:t>
      </w:r>
      <w:r>
        <w:t>мейной и трудовой жизни в пределах, допустимых по внутренним соображен</w:t>
      </w:r>
      <w:r>
        <w:t>и</w:t>
      </w:r>
      <w:r>
        <w:t>ям, а именно обязательство обеспечить занятость на условиях неполного раб</w:t>
      </w:r>
      <w:r>
        <w:t>о</w:t>
      </w:r>
      <w:r>
        <w:t>чего дня или специальные модели рабочих часов, как, например, академич</w:t>
      </w:r>
      <w:r>
        <w:t>е</w:t>
      </w:r>
      <w:r>
        <w:t>ский отпуск или счет рабочих часов. Отказ в просьбе о занятости на условиях неполного рабочего дня обязательно должен быть обоснован “убедительными” доводами, связанными с производственной необходимостью. Выполняя свои функции государственного работодателя, федерация также соблюдает эти сп</w:t>
      </w:r>
      <w:r>
        <w:t>е</w:t>
      </w:r>
      <w:r>
        <w:t>циальные положения в части, касающейся прохождения службы в ее собстве</w:t>
      </w:r>
      <w:r>
        <w:t>н</w:t>
      </w:r>
      <w:r>
        <w:t>ных орг</w:t>
      </w:r>
      <w:r>
        <w:t>а</w:t>
      </w:r>
      <w:r>
        <w:t>нах.</w:t>
      </w:r>
    </w:p>
    <w:p w:rsidR="00000000" w:rsidRDefault="00000000">
      <w:pPr>
        <w:pStyle w:val="H23"/>
      </w:pPr>
      <w:bookmarkStart w:id="390" w:name="_Toc44113502"/>
      <w:bookmarkStart w:id="391" w:name="_Toc44113796"/>
      <w:bookmarkStart w:id="392" w:name="_Toc44114304"/>
      <w:bookmarkStart w:id="393" w:name="_Toc44115556"/>
      <w:bookmarkStart w:id="394" w:name="_Toc44115981"/>
      <w:r>
        <w:t>5.2</w:t>
      </w:r>
      <w:r>
        <w:tab/>
        <w:t>Новые представления об отцовстве</w:t>
      </w:r>
      <w:bookmarkEnd w:id="390"/>
      <w:bookmarkEnd w:id="391"/>
      <w:bookmarkEnd w:id="392"/>
      <w:bookmarkEnd w:id="393"/>
      <w:bookmarkEnd w:id="394"/>
    </w:p>
    <w:p w:rsidR="00000000" w:rsidRDefault="00000000">
      <w:pPr>
        <w:pStyle w:val="SingleTxt"/>
      </w:pPr>
      <w:r>
        <w:t>В контексте этих реформ Федеральное министерство по делам семьи, п</w:t>
      </w:r>
      <w:r>
        <w:t>о</w:t>
      </w:r>
      <w:r>
        <w:t>жилых граждан, женщин и молодежи провело кампанию под названием “О</w:t>
      </w:r>
      <w:r>
        <w:t>т</w:t>
      </w:r>
      <w:r>
        <w:t>цам – больше возможностей”. Эта информационная кампания нацелена на ок</w:t>
      </w:r>
      <w:r>
        <w:t>а</w:t>
      </w:r>
      <w:r>
        <w:t>зание поддержки мужчинам, пожелавшим уделять больше внимания своим семьям, и на распространение информации о государственных нормативных актах, касающихся успешного совмещения семейной и трудовой жизни. С</w:t>
      </w:r>
      <w:r>
        <w:t>о</w:t>
      </w:r>
      <w:r>
        <w:t>вместно с предприятиями, оказывающими поддержку отцам, которые взяли на себя больше обязанностей в своих семьях, для создания нового образа мужчин и отцов в нашем обществе проводится информационно-пропагандистская ка</w:t>
      </w:r>
      <w:r>
        <w:t>м</w:t>
      </w:r>
      <w:r>
        <w:t>пания. С тем, чтобы придать мерам и мероприятиям, предусмотренным в ра</w:t>
      </w:r>
      <w:r>
        <w:t>м</w:t>
      </w:r>
      <w:r>
        <w:t>ках этой кампании, постоянный характер, в настоящее время совместно с пре</w:t>
      </w:r>
      <w:r>
        <w:t>д</w:t>
      </w:r>
      <w:r>
        <w:t>приятиями, ассоциациями и местными органами власти осуществляется тре</w:t>
      </w:r>
      <w:r>
        <w:t>х</w:t>
      </w:r>
      <w:r>
        <w:t>летний консультативный проект в целях принятия мер, направленных на оказ</w:t>
      </w:r>
      <w:r>
        <w:t>а</w:t>
      </w:r>
      <w:r>
        <w:t>ние помощи семьям и, в частности, отцам.</w:t>
      </w:r>
    </w:p>
    <w:p w:rsidR="00000000" w:rsidRDefault="00000000">
      <w:pPr>
        <w:pStyle w:val="SingleTxt"/>
      </w:pPr>
      <w:r>
        <w:t>Крупный вклад в обсуждение вопроса о распределении ролей в семьях вносит недавно проведенное исследование под названием “Роль отца в семье”, в рамках которого анализируется роль отца в процессе развития семей. Это и</w:t>
      </w:r>
      <w:r>
        <w:t>с</w:t>
      </w:r>
      <w:r>
        <w:t>следование показывает влияние связанного с ранней социализацией опыта, сложившихся о гендерных ролях мнений, школьного обучения и качества св</w:t>
      </w:r>
      <w:r>
        <w:t>о</w:t>
      </w:r>
      <w:r>
        <w:t>его собственного партнерства на различные представления об отцовстве.</w:t>
      </w:r>
    </w:p>
    <w:p w:rsidR="00000000" w:rsidRDefault="00000000">
      <w:pPr>
        <w:pStyle w:val="H23"/>
      </w:pPr>
      <w:bookmarkStart w:id="395" w:name="_Toc44113503"/>
      <w:bookmarkStart w:id="396" w:name="_Toc44113797"/>
      <w:bookmarkStart w:id="397" w:name="_Toc44114305"/>
      <w:bookmarkStart w:id="398" w:name="_Toc44115557"/>
      <w:bookmarkStart w:id="399" w:name="_Toc44115982"/>
      <w:r>
        <w:t>5.3 </w:t>
      </w:r>
      <w:r>
        <w:tab/>
        <w:t>Борьба с насилием в отношении женщин</w:t>
      </w:r>
      <w:bookmarkEnd w:id="395"/>
      <w:bookmarkEnd w:id="396"/>
      <w:bookmarkEnd w:id="397"/>
      <w:bookmarkEnd w:id="398"/>
      <w:bookmarkEnd w:id="399"/>
    </w:p>
    <w:p w:rsidR="00000000" w:rsidRDefault="00000000">
      <w:pPr>
        <w:pStyle w:val="SingleTxt"/>
      </w:pPr>
      <w:r>
        <w:t>С тем, чтобы обновить предыдущий доклад, могут быть внесены ниж</w:t>
      </w:r>
      <w:r>
        <w:t>е</w:t>
      </w:r>
      <w:r>
        <w:t>следующие дополнения.</w:t>
      </w:r>
    </w:p>
    <w:p w:rsidR="00000000" w:rsidRDefault="00000000">
      <w:pPr>
        <w:pStyle w:val="SingleTxt"/>
      </w:pPr>
      <w:r>
        <w:t>Представление о масштабах насилия в отношении женщин можно сост</w:t>
      </w:r>
      <w:r>
        <w:t>а</w:t>
      </w:r>
      <w:r>
        <w:t>вить лишь на основе расчетных данных, приведенных в четвертом докладе. С тем, чтобы получит точные данные о масштабах насилия в отношении женщин, в марте 2002 года Федеральное министерство по делам семьи, пожилых гра</w:t>
      </w:r>
      <w:r>
        <w:t>ж</w:t>
      </w:r>
      <w:r>
        <w:t>дан, женщин и молодежи провело предст</w:t>
      </w:r>
      <w:r>
        <w:t>а</w:t>
      </w:r>
      <w:r>
        <w:t>вительное обследование.</w:t>
      </w:r>
    </w:p>
    <w:p w:rsidR="00000000" w:rsidRDefault="00000000">
      <w:pPr>
        <w:pStyle w:val="H4"/>
      </w:pPr>
      <w:bookmarkStart w:id="400" w:name="_Toc44113798"/>
      <w:bookmarkStart w:id="401" w:name="_Toc44114306"/>
      <w:bookmarkStart w:id="402" w:name="_Toc44115983"/>
      <w:r>
        <w:t>5.3.1</w:t>
      </w:r>
      <w:r>
        <w:tab/>
        <w:t>План действий федерального правительства</w:t>
      </w:r>
      <w:bookmarkEnd w:id="400"/>
      <w:bookmarkEnd w:id="401"/>
      <w:bookmarkEnd w:id="402"/>
    </w:p>
    <w:p w:rsidR="00000000" w:rsidRDefault="00000000">
      <w:pPr>
        <w:pStyle w:val="SingleTxt"/>
      </w:pPr>
      <w:r>
        <w:t>1 декабря 1999 года федеральный кабинет принял план действий фед</w:t>
      </w:r>
      <w:r>
        <w:t>е</w:t>
      </w:r>
      <w:r>
        <w:t>рального правительства по борьбе с насилием в отношении женщин. Этот план впервые предусматривает всеобъемлющую целостную концепцию структурных преобразований, которые должны затронуть все уровни кампании по борьбе с насилием.</w:t>
      </w:r>
    </w:p>
    <w:p w:rsidR="00000000" w:rsidRDefault="00000000">
      <w:pPr>
        <w:pStyle w:val="SingleTxt"/>
      </w:pPr>
      <w:r>
        <w:t>Такая общая, необходимая концепция охватывает не только компетенции различных федеральных ведомств, но также и сферы компетенции земель и м</w:t>
      </w:r>
      <w:r>
        <w:t>е</w:t>
      </w:r>
      <w:r>
        <w:t>стных органов власти. Поэтому ее реализация зависит от тесного сотруднич</w:t>
      </w:r>
      <w:r>
        <w:t>е</w:t>
      </w:r>
      <w:r>
        <w:t>ства между соответствующими компетентными федеральными министерствами и, кроме того, от целевого сотрудничества между Федерацией и землями в форме, не существовавшей ранее, по вопросам борьбы с насилием в отношении женщин в Германии.</w:t>
      </w:r>
    </w:p>
    <w:p w:rsidR="00000000" w:rsidRDefault="00000000">
      <w:pPr>
        <w:pStyle w:val="SingleTxt"/>
      </w:pPr>
      <w:r>
        <w:t>С тем, чтобы наладить контроль за осуществлением этого плана действий, в дополнение к уже созданной национальной рабочей структуре по борьбе с торговлей женщинами, 12 апреля 2000 года Федеральное министерство по д</w:t>
      </w:r>
      <w:r>
        <w:t>е</w:t>
      </w:r>
      <w:r>
        <w:t>лам семьи, пожилых граждан, женщин и молодежи учредило рабочую группу уровня "федерация – земли" для борьбы с насилием в отношении женщин в семьях, куда вошли представители не только компетентных федеральных и з</w:t>
      </w:r>
      <w:r>
        <w:t>е</w:t>
      </w:r>
      <w:r>
        <w:t>мельных министерств, но также и местных органов власти, неправительстве</w:t>
      </w:r>
      <w:r>
        <w:t>н</w:t>
      </w:r>
      <w:r>
        <w:t>ных организаций и, в частности, приютов для женщин. С этого момента зас</w:t>
      </w:r>
      <w:r>
        <w:t>е</w:t>
      </w:r>
      <w:r>
        <w:t>дания данной рабочей группы проходят на еж</w:t>
      </w:r>
      <w:r>
        <w:t>е</w:t>
      </w:r>
      <w:r>
        <w:t>квартальной основе.</w:t>
      </w:r>
    </w:p>
    <w:p w:rsidR="00000000" w:rsidRDefault="00000000">
      <w:pPr>
        <w:pStyle w:val="SingleTxt"/>
      </w:pPr>
      <w:r>
        <w:t>Этот план действий охватывает такие сферы, как профилактика, законод</w:t>
      </w:r>
      <w:r>
        <w:t>а</w:t>
      </w:r>
      <w:r>
        <w:t>тельство федеративного уровня, сотрудничество и создание сетей, работа с правонарушителями, меры по повышению осведомленности и международное сотрудничество.</w:t>
      </w:r>
    </w:p>
    <w:p w:rsidR="00000000" w:rsidRDefault="00000000">
      <w:pPr>
        <w:pStyle w:val="SingleTxt"/>
      </w:pPr>
      <w:r>
        <w:t>Общая социальная профилактика, как она определена в плане действий, охватывает все соо</w:t>
      </w:r>
      <w:r>
        <w:t>т</w:t>
      </w:r>
      <w:r>
        <w:t>ветствующие меры, рассчитанные на:</w:t>
      </w:r>
    </w:p>
    <w:p w:rsidR="00000000" w:rsidRDefault="00000000">
      <w:pPr>
        <w:pStyle w:val="dot"/>
      </w:pPr>
      <w:r>
        <w:tab/>
      </w:r>
      <w:r>
        <w:tab/>
        <w:t>•</w:t>
      </w:r>
      <w:r>
        <w:tab/>
        <w:t>создание в обществе атмосферы нетерпимости к насилию в отношении женщин; такое нетерпимое отношение подразумевает, что женщины должны быть эффективно защищены от насилия со стороны мужчин, а правонарушители – ожидать соответствующей реакции со стороны гос</w:t>
      </w:r>
      <w:r>
        <w:t>у</w:t>
      </w:r>
      <w:r>
        <w:t>дарства.</w:t>
      </w:r>
    </w:p>
    <w:p w:rsidR="00000000" w:rsidRDefault="00000000">
      <w:pPr>
        <w:pStyle w:val="dot"/>
      </w:pPr>
      <w:r>
        <w:tab/>
      </w:r>
      <w:r>
        <w:tab/>
        <w:t>•</w:t>
      </w:r>
      <w:r>
        <w:tab/>
        <w:t>ликвидацию диспропорций между мужчинами и женщинами, а также обеспечение равнопр</w:t>
      </w:r>
      <w:r>
        <w:t>а</w:t>
      </w:r>
      <w:r>
        <w:t>вия во всех сферах жизни;</w:t>
      </w:r>
    </w:p>
    <w:p w:rsidR="00000000" w:rsidRDefault="00000000">
      <w:pPr>
        <w:pStyle w:val="dot"/>
      </w:pPr>
      <w:r>
        <w:tab/>
      </w:r>
      <w:r>
        <w:tab/>
        <w:t>•</w:t>
      </w:r>
      <w:r>
        <w:tab/>
        <w:t>разрыв "порочного круга" насильственных действий, от которых могут постр</w:t>
      </w:r>
      <w:r>
        <w:t>а</w:t>
      </w:r>
      <w:r>
        <w:t>дать несколько поколений.</w:t>
      </w:r>
    </w:p>
    <w:p w:rsidR="00000000" w:rsidRDefault="00000000">
      <w:pPr>
        <w:pStyle w:val="H4"/>
      </w:pPr>
      <w:bookmarkStart w:id="403" w:name="_Toc44113799"/>
      <w:bookmarkStart w:id="404" w:name="_Toc44114307"/>
      <w:bookmarkStart w:id="405" w:name="_Toc44115984"/>
      <w:r>
        <w:t>5.3.2</w:t>
      </w:r>
      <w:r>
        <w:tab/>
        <w:t>Законодательные меры</w:t>
      </w:r>
      <w:bookmarkEnd w:id="403"/>
      <w:bookmarkEnd w:id="404"/>
      <w:bookmarkEnd w:id="405"/>
    </w:p>
    <w:p w:rsidR="00000000" w:rsidRDefault="00000000">
      <w:pPr>
        <w:pStyle w:val="SingleTxt"/>
      </w:pPr>
      <w:r>
        <w:t>Законодательным мерам придается особое значение. Ни одна из сфер пр</w:t>
      </w:r>
      <w:r>
        <w:t>а</w:t>
      </w:r>
      <w:r>
        <w:t>ва – ни уголовное право, ни гражданское право, ни публичное право – не дол</w:t>
      </w:r>
      <w:r>
        <w:t>ж</w:t>
      </w:r>
      <w:r>
        <w:t>на остаться в стороне от выполнения задачи обеспечения защиты женщин. П</w:t>
      </w:r>
      <w:r>
        <w:t>о</w:t>
      </w:r>
      <w:r>
        <w:t>ставленная цель заключается в том, чтобы положить конец насилию в отнош</w:t>
      </w:r>
      <w:r>
        <w:t>е</w:t>
      </w:r>
      <w:r>
        <w:t>нии женщин и гарантировать их без</w:t>
      </w:r>
      <w:r>
        <w:t>о</w:t>
      </w:r>
      <w:r>
        <w:t>пасность.</w:t>
      </w:r>
    </w:p>
    <w:p w:rsidR="00000000" w:rsidRDefault="00000000">
      <w:pPr>
        <w:pStyle w:val="SingleTxt"/>
      </w:pPr>
      <w:r>
        <w:t>По мнению федерального правительства, как лица, виновные в насилии в семье, так и те, кто совершает аналогичные действия в “общественных ме</w:t>
      </w:r>
      <w:r>
        <w:t>с</w:t>
      </w:r>
      <w:r>
        <w:t>тах”, должны подвергаться преследованию и осознавать, что государство в о</w:t>
      </w:r>
      <w:r>
        <w:t>т</w:t>
      </w:r>
      <w:r>
        <w:t>вет примет против них все соответствующие меры. Насилие в отношении же</w:t>
      </w:r>
      <w:r>
        <w:t>н</w:t>
      </w:r>
      <w:r>
        <w:t>щин в семье – это не внутрисемейное дело, в которое государство не имеет право вмешиваться.</w:t>
      </w:r>
    </w:p>
    <w:p w:rsidR="00000000" w:rsidRDefault="00000000">
      <w:pPr>
        <w:pStyle w:val="SingleTxt"/>
      </w:pPr>
      <w:r>
        <w:t>По мнению федерального правительства, в настоящее время законод</w:t>
      </w:r>
      <w:r>
        <w:t>а</w:t>
      </w:r>
      <w:r>
        <w:t>тельные меры должны носить прежде всего гражданско-правовой характер. 1 января 2002 года вступил в силу “Закон о повышении эффективности прин</w:t>
      </w:r>
      <w:r>
        <w:t>и</w:t>
      </w:r>
      <w:r>
        <w:t>маемых судами по гражданским делам мер по защите от насильственных де</w:t>
      </w:r>
      <w:r>
        <w:t>й</w:t>
      </w:r>
      <w:r>
        <w:t>ствий и нежелательных домогательств, а также об упрощении раздела супр</w:t>
      </w:r>
      <w:r>
        <w:t>у</w:t>
      </w:r>
      <w:r>
        <w:t>жеских жилых помещений в случае развода” (</w:t>
      </w:r>
      <w:r>
        <w:rPr>
          <w:lang w:val="en-US"/>
        </w:rPr>
        <w:t>Gesetz</w:t>
      </w:r>
      <w:r>
        <w:t xml:space="preserve"> </w:t>
      </w:r>
      <w:r>
        <w:rPr>
          <w:lang w:val="en-US"/>
        </w:rPr>
        <w:t>zur</w:t>
      </w:r>
      <w:r>
        <w:t xml:space="preserve"> </w:t>
      </w:r>
      <w:r>
        <w:rPr>
          <w:lang w:val="en-US"/>
        </w:rPr>
        <w:t>Verbesserung</w:t>
      </w:r>
      <w:r>
        <w:t xml:space="preserve"> </w:t>
      </w:r>
      <w:r>
        <w:rPr>
          <w:lang w:val="en-US"/>
        </w:rPr>
        <w:t>des</w:t>
      </w:r>
      <w:r>
        <w:t xml:space="preserve"> </w:t>
      </w:r>
      <w:r>
        <w:rPr>
          <w:lang w:val="en-US"/>
        </w:rPr>
        <w:t>zivi</w:t>
      </w:r>
      <w:r>
        <w:rPr>
          <w:lang w:val="en-US"/>
        </w:rPr>
        <w:t>l</w:t>
      </w:r>
      <w:r>
        <w:rPr>
          <w:lang w:val="en-US"/>
        </w:rPr>
        <w:t>gerichtlichen</w:t>
      </w:r>
      <w:r>
        <w:t xml:space="preserve"> </w:t>
      </w:r>
      <w:r>
        <w:rPr>
          <w:lang w:val="en-US"/>
        </w:rPr>
        <w:t>Schutzes</w:t>
      </w:r>
      <w:r>
        <w:t xml:space="preserve"> </w:t>
      </w:r>
      <w:r>
        <w:rPr>
          <w:lang w:val="en-US"/>
        </w:rPr>
        <w:t>bei</w:t>
      </w:r>
      <w:r>
        <w:t xml:space="preserve"> </w:t>
      </w:r>
      <w:r>
        <w:rPr>
          <w:lang w:val="en-US"/>
        </w:rPr>
        <w:t>Gewalttaten</w:t>
      </w:r>
      <w:r>
        <w:t xml:space="preserve"> </w:t>
      </w:r>
      <w:r>
        <w:rPr>
          <w:lang w:val="en-US"/>
        </w:rPr>
        <w:t>und</w:t>
      </w:r>
      <w:r>
        <w:t xml:space="preserve"> </w:t>
      </w:r>
      <w:r>
        <w:rPr>
          <w:lang w:val="en-US"/>
        </w:rPr>
        <w:t>Nachstellungen</w:t>
      </w:r>
      <w:r>
        <w:t xml:space="preserve"> </w:t>
      </w:r>
      <w:r>
        <w:rPr>
          <w:lang w:val="en-US"/>
        </w:rPr>
        <w:t>sowie</w:t>
      </w:r>
      <w:r>
        <w:t xml:space="preserve"> </w:t>
      </w:r>
      <w:r>
        <w:rPr>
          <w:lang w:val="en-US"/>
        </w:rPr>
        <w:t>zur</w:t>
      </w:r>
      <w:r>
        <w:t xml:space="preserve"> </w:t>
      </w:r>
      <w:r>
        <w:rPr>
          <w:lang w:val="en-US"/>
        </w:rPr>
        <w:t>Erleichterung</w:t>
      </w:r>
      <w:r>
        <w:t xml:space="preserve"> </w:t>
      </w:r>
      <w:r>
        <w:rPr>
          <w:lang w:val="en-US"/>
        </w:rPr>
        <w:t>der</w:t>
      </w:r>
      <w:r>
        <w:t xml:space="preserve"> </w:t>
      </w:r>
      <w:r>
        <w:rPr>
          <w:lang w:val="en-US"/>
        </w:rPr>
        <w:t>Uberlassung</w:t>
      </w:r>
      <w:r>
        <w:t xml:space="preserve"> </w:t>
      </w:r>
      <w:r>
        <w:rPr>
          <w:lang w:val="en-US"/>
        </w:rPr>
        <w:t>der</w:t>
      </w:r>
      <w:r>
        <w:t xml:space="preserve"> </w:t>
      </w:r>
      <w:r>
        <w:rPr>
          <w:lang w:val="en-US"/>
        </w:rPr>
        <w:t>Ehewohnung</w:t>
      </w:r>
      <w:r>
        <w:t xml:space="preserve"> </w:t>
      </w:r>
      <w:r>
        <w:rPr>
          <w:lang w:val="en-US"/>
        </w:rPr>
        <w:t>bei</w:t>
      </w:r>
      <w:r>
        <w:t xml:space="preserve"> </w:t>
      </w:r>
      <w:r>
        <w:rPr>
          <w:lang w:val="en-US"/>
        </w:rPr>
        <w:t>Trennung</w:t>
      </w:r>
      <w:r>
        <w:t>). Он закладывает четкую прав</w:t>
      </w:r>
      <w:r>
        <w:t>о</w:t>
      </w:r>
      <w:r>
        <w:t>вую основу для обращения за защитой в суд по гражданским делам, например, за наложением запрета на общение, приставания и домогательства, сопрово</w:t>
      </w:r>
      <w:r>
        <w:t>ж</w:t>
      </w:r>
      <w:r>
        <w:t>дающиеся преднамеренным и незаконным посягательством на тело, здоровье или свободу лица, включая угрозы совершения таких посягательств. Кроме т</w:t>
      </w:r>
      <w:r>
        <w:t>о</w:t>
      </w:r>
      <w:r>
        <w:t>го, он закладывает основу для обращения с иском о, по крайней мере, време</w:t>
      </w:r>
      <w:r>
        <w:t>н</w:t>
      </w:r>
      <w:r>
        <w:t>ном разделе совместно используемых жилых помещений, если пострадавшая сторона совместно с правонарушителем в течение длительного времени ведет совместное домашнее хозяйство. В соответствующее процедурное и правопр</w:t>
      </w:r>
      <w:r>
        <w:t>и</w:t>
      </w:r>
      <w:r>
        <w:t>менительное законодательство были внесены поправки с тем, чтобы операти</w:t>
      </w:r>
      <w:r>
        <w:t>в</w:t>
      </w:r>
      <w:r>
        <w:t>но и без проволочек обеспечить потерпевшим возможность обратиться к пр</w:t>
      </w:r>
      <w:r>
        <w:t>а</w:t>
      </w:r>
      <w:r>
        <w:t>вос</w:t>
      </w:r>
      <w:r>
        <w:t>у</w:t>
      </w:r>
      <w:r>
        <w:t>дию.</w:t>
      </w:r>
    </w:p>
    <w:p w:rsidR="00000000" w:rsidRDefault="00000000">
      <w:pPr>
        <w:pStyle w:val="SingleTxt"/>
      </w:pPr>
      <w:r>
        <w:t>В дополнение к осуществлению этого закона федеральное правительство принимает меры по налаживанию связей с общественностью, разработанные рабочей группой уровня “федерация – земли” в интересах борьбы с насилием в отношении женщин в семье. В данном случае, помимо прочего, речь идет о стандартах повышения квалификации представителей всех заинтересованных профессиональных групп и изложении необходимых рамочных условий для осуществления положений этого закона, о применении моделей, брошюрах и т.д.</w:t>
      </w:r>
    </w:p>
    <w:p w:rsidR="00000000" w:rsidRDefault="00000000">
      <w:pPr>
        <w:pStyle w:val="SingleTxt"/>
      </w:pPr>
      <w:r>
        <w:t>В связи с данным законом федеральные земли в настоящее время ра</w:t>
      </w:r>
      <w:r>
        <w:t>с</w:t>
      </w:r>
      <w:r>
        <w:t>сматривают вопрос о том, может ли законодательство по вопросам деятельн</w:t>
      </w:r>
      <w:r>
        <w:t>о</w:t>
      </w:r>
      <w:r>
        <w:t xml:space="preserve">сти полиции и принимаемые полицией меры защиты поддержать и дополнить гражданско-правовые меры защиты и если могут, то каким образом. В Бремене, Гамбурге, Северном </w:t>
      </w:r>
      <w:r>
        <w:rPr>
          <w:caps/>
        </w:rPr>
        <w:t>р</w:t>
      </w:r>
      <w:r>
        <w:t>ейне – Вестфалии и Мекленбурге – Западной Померании уже были пересмотрены их нормативные акты, касающиеся деятельности п</w:t>
      </w:r>
      <w:r>
        <w:t>о</w:t>
      </w:r>
      <w:r>
        <w:t>лиции, а в Баден – Вюртемберге и Берлине было объявлено о намерении пер</w:t>
      </w:r>
      <w:r>
        <w:t>е</w:t>
      </w:r>
      <w:r>
        <w:t>смотреть свое административное законодательство и законодательство, регл</w:t>
      </w:r>
      <w:r>
        <w:t>а</w:t>
      </w:r>
      <w:r>
        <w:t>ментиру</w:t>
      </w:r>
      <w:r>
        <w:t>ю</w:t>
      </w:r>
      <w:r>
        <w:t>щее деятельность полиции.</w:t>
      </w:r>
    </w:p>
    <w:p w:rsidR="00000000" w:rsidRDefault="00000000">
      <w:pPr>
        <w:pStyle w:val="SingleTxt"/>
      </w:pPr>
      <w:r>
        <w:t>Целям обеспечить защиту от насилия в семье, помимо Закона о защите от насилия (</w:t>
      </w:r>
      <w:r>
        <w:rPr>
          <w:lang w:val="en-US"/>
        </w:rPr>
        <w:t>Gewaltschutzgesetz</w:t>
      </w:r>
      <w:r>
        <w:t>), служит и Закон о дополнительных мер по обе</w:t>
      </w:r>
      <w:r>
        <w:t>с</w:t>
      </w:r>
      <w:r>
        <w:t>печению более эффективного соблюдения прав детей (Закон о мерах по обесп</w:t>
      </w:r>
      <w:r>
        <w:t>е</w:t>
      </w:r>
      <w:r>
        <w:t xml:space="preserve">чению более эффективного соблюдения прав детей – </w:t>
      </w:r>
      <w:r>
        <w:rPr>
          <w:lang w:val="en-US"/>
        </w:rPr>
        <w:t>Kinderrechteverbess</w:t>
      </w:r>
      <w:r>
        <w:rPr>
          <w:lang w:val="en-US"/>
        </w:rPr>
        <w:t>e</w:t>
      </w:r>
      <w:r>
        <w:rPr>
          <w:lang w:val="en-US"/>
        </w:rPr>
        <w:t>rungsgesetz</w:t>
      </w:r>
      <w:r>
        <w:t>), вступивший в силу 12 апреля 2002 года. В этом законе недв</w:t>
      </w:r>
      <w:r>
        <w:t>у</w:t>
      </w:r>
      <w:r>
        <w:t>смысленно говорится о том, что то или иное лицо может быть также выдворено из занимаемого им жилого помещения ребенком (или переселено на значител</w:t>
      </w:r>
      <w:r>
        <w:t>ь</w:t>
      </w:r>
      <w:r>
        <w:t>ное расстояние от этого ребенка), если оно совершит насильственные действия в отношении этого ребенка. Кроме того, такие насильственные действия в о</w:t>
      </w:r>
      <w:r>
        <w:t>т</w:t>
      </w:r>
      <w:r>
        <w:t>ношении ребенка зачастую рассматриваются его матерью в качестве психол</w:t>
      </w:r>
      <w:r>
        <w:t>о</w:t>
      </w:r>
      <w:r>
        <w:t>гического насилия и, помимо прочего, нацелены на то, чтобы запугивать же</w:t>
      </w:r>
      <w:r>
        <w:t>н</w:t>
      </w:r>
      <w:r>
        <w:t>щин. Такое дополнение также отвечает интересам защиты матерей, поскольку до сведения судов по семейным делам теперь доведено, что они могут также использовать процедуру такого выдворения в случаях жестокого обращения с детьми, поскольку это обеспечивает изоляцию и, таким образом, эффективное пресечение дальнейшего насилия.</w:t>
      </w:r>
    </w:p>
    <w:p w:rsidR="00000000" w:rsidRDefault="00000000">
      <w:pPr>
        <w:pStyle w:val="SingleTxt"/>
      </w:pPr>
      <w:r>
        <w:t>Закон о внесении поправок в раздел 19 Закона об иностранцах (</w:t>
      </w:r>
      <w:r>
        <w:rPr>
          <w:lang w:val="en-US"/>
        </w:rPr>
        <w:t>Gesetz</w:t>
      </w:r>
      <w:r>
        <w:t xml:space="preserve"> </w:t>
      </w:r>
      <w:r>
        <w:rPr>
          <w:lang w:val="en-US"/>
        </w:rPr>
        <w:t>zur</w:t>
      </w:r>
      <w:r>
        <w:t xml:space="preserve"> </w:t>
      </w:r>
      <w:r>
        <w:rPr>
          <w:lang w:val="en-US"/>
        </w:rPr>
        <w:t>Neuregelung</w:t>
      </w:r>
      <w:r>
        <w:t xml:space="preserve"> </w:t>
      </w:r>
      <w:r>
        <w:rPr>
          <w:lang w:val="en-US"/>
        </w:rPr>
        <w:t>des</w:t>
      </w:r>
      <w:r>
        <w:t xml:space="preserve"> § 19 </w:t>
      </w:r>
      <w:r>
        <w:rPr>
          <w:lang w:val="en-US"/>
        </w:rPr>
        <w:t>Auslandergesetz</w:t>
      </w:r>
      <w:r>
        <w:t>) вступил в силу 1 июня 2000 года. Благ</w:t>
      </w:r>
      <w:r>
        <w:t>о</w:t>
      </w:r>
      <w:r>
        <w:t>даря этой юридической поправке улучшается правовое положение жен или м</w:t>
      </w:r>
      <w:r>
        <w:t>у</w:t>
      </w:r>
      <w:r>
        <w:t>жей из числа граждан иностранных государств и, в частности, многих женщин. В соответствии с новым разделом 19 Закона об иностранцах, после развода и расторжения брака муж или жена – граждане иностранного государства – над</w:t>
      </w:r>
      <w:r>
        <w:t>е</w:t>
      </w:r>
      <w:r>
        <w:t>ляются независимым правом оставаться на территории Германии уже по ист</w:t>
      </w:r>
      <w:r>
        <w:t>е</w:t>
      </w:r>
      <w:r>
        <w:t>чении двух (ранее по истечении четырех) лет супружеского сожительства. В случае смерти мужа или жены право вдовы или вдовца оставаться на террит</w:t>
      </w:r>
      <w:r>
        <w:t>о</w:t>
      </w:r>
      <w:r>
        <w:t>рии Германии не подпадает ни под какие временные ограничения; необходимо лишь, чтобы супруги некоторое время сожительствовали на территории Герм</w:t>
      </w:r>
      <w:r>
        <w:t>а</w:t>
      </w:r>
      <w:r>
        <w:t>нии.</w:t>
      </w:r>
    </w:p>
    <w:p w:rsidR="00000000" w:rsidRDefault="00000000">
      <w:pPr>
        <w:pStyle w:val="SingleTxt"/>
      </w:pPr>
      <w:r>
        <w:t>Аналогичным образом, пункт о бедственном положении был изменен т</w:t>
      </w:r>
      <w:r>
        <w:t>а</w:t>
      </w:r>
      <w:r>
        <w:t>ким образом, что независимое право оставаться на территории Германии также может возникнуть до истечения указанного периода. В соответствии с ранее действовавшими положениями для возвращения в страну своего происхожд</w:t>
      </w:r>
      <w:r>
        <w:t>е</w:t>
      </w:r>
      <w:r>
        <w:t>ния не было никакой необходимости в том, чтобы потерять расположение св</w:t>
      </w:r>
      <w:r>
        <w:t>о</w:t>
      </w:r>
      <w:r>
        <w:t>его супруга-иностранца или супруги-иностранки после развода. Теперь супруг или супруга имеет возможность не покидать территорию Германии с тем, чт</w:t>
      </w:r>
      <w:r>
        <w:t>о</w:t>
      </w:r>
      <w:r>
        <w:t>бы избежать особых невзгод.</w:t>
      </w:r>
    </w:p>
    <w:p w:rsidR="00000000" w:rsidRDefault="00000000">
      <w:pPr>
        <w:pStyle w:val="SingleTxt"/>
      </w:pPr>
      <w:r>
        <w:t>Административные положения Закона об иностранцах, вступившие в силу 7 октября 2000 года, регламентируют как судебное преследование с учетом гендерных аспектов, так и обращение с жертвами торговли людьми. Если ко</w:t>
      </w:r>
      <w:r>
        <w:t>н</w:t>
      </w:r>
      <w:r>
        <w:t>кретные факты или другие свидетельства подразумевают, что обязанное в</w:t>
      </w:r>
      <w:r>
        <w:t>ы</w:t>
      </w:r>
      <w:r>
        <w:t>ехать из страны лицо стало жертвой торговли людьми, в принципе для добр</w:t>
      </w:r>
      <w:r>
        <w:t>о</w:t>
      </w:r>
      <w:r>
        <w:t>вольного выезда устанавливается срок продолжительностью не менее четырех недель. Лица, о которых идет речь, могут обратиться за советом и помощью в особые консультационные агентс</w:t>
      </w:r>
      <w:r>
        <w:t>т</w:t>
      </w:r>
      <w:r>
        <w:t>ва.</w:t>
      </w:r>
    </w:p>
    <w:p w:rsidR="00000000" w:rsidRDefault="00000000">
      <w:pPr>
        <w:pStyle w:val="SingleTxt"/>
      </w:pPr>
      <w:r>
        <w:t>Закон 1999 года об урегулировании претензий потерпевших к правонар</w:t>
      </w:r>
      <w:r>
        <w:t>у</w:t>
      </w:r>
      <w:r>
        <w:t>шителям по уголовному праву (</w:t>
      </w:r>
      <w:r>
        <w:rPr>
          <w:lang w:val="en-US"/>
        </w:rPr>
        <w:t>Gesetz</w:t>
      </w:r>
      <w:r>
        <w:t xml:space="preserve"> </w:t>
      </w:r>
      <w:r>
        <w:rPr>
          <w:lang w:val="en-US"/>
        </w:rPr>
        <w:t>zur</w:t>
      </w:r>
      <w:r>
        <w:t xml:space="preserve"> </w:t>
      </w:r>
      <w:r>
        <w:rPr>
          <w:lang w:val="en-US"/>
        </w:rPr>
        <w:t>strafverfahrensrechtlichen</w:t>
      </w:r>
      <w:r>
        <w:t xml:space="preserve"> </w:t>
      </w:r>
      <w:r>
        <w:rPr>
          <w:lang w:val="en-US"/>
        </w:rPr>
        <w:t>Verankerung</w:t>
      </w:r>
      <w:r>
        <w:t xml:space="preserve"> </w:t>
      </w:r>
      <w:r>
        <w:rPr>
          <w:lang w:val="en-US"/>
        </w:rPr>
        <w:t>des</w:t>
      </w:r>
      <w:r>
        <w:t xml:space="preserve"> </w:t>
      </w:r>
      <w:r>
        <w:rPr>
          <w:lang w:val="en-US"/>
        </w:rPr>
        <w:t>Tater</w:t>
      </w:r>
      <w:r>
        <w:t>-</w:t>
      </w:r>
      <w:r>
        <w:rPr>
          <w:lang w:val="en-US"/>
        </w:rPr>
        <w:t>Opfer</w:t>
      </w:r>
      <w:r>
        <w:t>-</w:t>
      </w:r>
      <w:r>
        <w:rPr>
          <w:lang w:val="en-US"/>
        </w:rPr>
        <w:t>Ausgleichs</w:t>
      </w:r>
      <w:r>
        <w:t>) дает прокуратурам и судам конкретное поручение рассматривать на каждом этапе судопроизводства вопрос о том, каким именно образом можно урегулировать претензии потерпевшего от уголовного престу</w:t>
      </w:r>
      <w:r>
        <w:t>п</w:t>
      </w:r>
      <w:r>
        <w:t>ления к обвиняемому (раздел 155а Уголовно-процессуального кодекса [</w:t>
      </w:r>
      <w:r>
        <w:rPr>
          <w:lang w:val="en-US"/>
        </w:rPr>
        <w:t>StPO</w:t>
      </w:r>
      <w:r>
        <w:t>]). Система уголовного правосудия должна быть не только в состоянии, как это уже было раньше, успешно урегулировать претензии потерпевших к правон</w:t>
      </w:r>
      <w:r>
        <w:t>а</w:t>
      </w:r>
      <w:r>
        <w:t>рушителям или выносить решение о возмещении ущерба. Вместо этого, в и</w:t>
      </w:r>
      <w:r>
        <w:t>н</w:t>
      </w:r>
      <w:r>
        <w:t>тересах урегулирования претензий потерпевшего к обвиняемому, без которого невозможен правовой мир, она должна взять на себя инициативу по активному содействию такому урегулированию в надлежащих случаях. В зависимости от конкретного дела успешное урегулирование претензий потерпевших к прав</w:t>
      </w:r>
      <w:r>
        <w:t>о</w:t>
      </w:r>
      <w:r>
        <w:t>нарушителям может привести к прекращению судопроизводства. Например, был открыт перечень условий и предписаний раздела 153а Уголовно-процессуального кодекса. Прекращение судопроизводства возможно при том условии, что обвиняемый предпринимает серьезные усилия для урегулиров</w:t>
      </w:r>
      <w:r>
        <w:t>а</w:t>
      </w:r>
      <w:r>
        <w:t>ния претензий потерпевшего и, таким образом, полностью или практически полностью возместил ущерб от своего преступления или попытался возместить таковой (подраздел 1 № 5 раздела 153а Уголовно-процессуального коде</w:t>
      </w:r>
      <w:r>
        <w:t>к</w:t>
      </w:r>
      <w:r>
        <w:t>са).</w:t>
      </w:r>
    </w:p>
    <w:p w:rsidR="00000000" w:rsidRDefault="00000000">
      <w:pPr>
        <w:pStyle w:val="SingleTxt"/>
      </w:pPr>
      <w:r>
        <w:t>Закон о запрещении насилия в сфере образования (</w:t>
      </w:r>
      <w:r>
        <w:rPr>
          <w:lang w:val="en-US"/>
        </w:rPr>
        <w:t>Gesetz</w:t>
      </w:r>
      <w:r>
        <w:t xml:space="preserve"> </w:t>
      </w:r>
      <w:r>
        <w:rPr>
          <w:lang w:val="en-US"/>
        </w:rPr>
        <w:t>zur</w:t>
      </w:r>
      <w:r>
        <w:t xml:space="preserve"> </w:t>
      </w:r>
      <w:r>
        <w:rPr>
          <w:lang w:val="en-US"/>
        </w:rPr>
        <w:t>Achtung</w:t>
      </w:r>
      <w:r>
        <w:t xml:space="preserve"> </w:t>
      </w:r>
      <w:r>
        <w:rPr>
          <w:lang w:val="en-US"/>
        </w:rPr>
        <w:t>der</w:t>
      </w:r>
      <w:r>
        <w:t xml:space="preserve"> </w:t>
      </w:r>
      <w:r>
        <w:rPr>
          <w:lang w:val="en-US"/>
        </w:rPr>
        <w:t>Gewalt</w:t>
      </w:r>
      <w:r>
        <w:t xml:space="preserve"> </w:t>
      </w:r>
      <w:r>
        <w:rPr>
          <w:lang w:val="en-US"/>
        </w:rPr>
        <w:t>in</w:t>
      </w:r>
      <w:r>
        <w:t xml:space="preserve"> </w:t>
      </w:r>
      <w:r>
        <w:rPr>
          <w:lang w:val="en-US"/>
        </w:rPr>
        <w:t>der</w:t>
      </w:r>
      <w:r>
        <w:t xml:space="preserve"> </w:t>
      </w:r>
      <w:r>
        <w:rPr>
          <w:lang w:val="en-US"/>
        </w:rPr>
        <w:t>Erziehung</w:t>
      </w:r>
      <w:r>
        <w:t>) вступил в силу 3 ноября 2000 года. Он дает ребенку право получать воспитание без какого бы то ни было насилия, охватывающего в том числе и плохое обращение. В этом законе даже еще больший акцент сд</w:t>
      </w:r>
      <w:r>
        <w:t>е</w:t>
      </w:r>
      <w:r>
        <w:t>лан на том, что насилие не может быть оправдано образовательными целями.</w:t>
      </w:r>
    </w:p>
    <w:p w:rsidR="00000000" w:rsidRDefault="00000000">
      <w:pPr>
        <w:pStyle w:val="SingleTxt"/>
      </w:pPr>
      <w:r>
        <w:t>Новая норма не только укрепляет правовое положение ребенка, но и п</w:t>
      </w:r>
      <w:r>
        <w:t>о</w:t>
      </w:r>
      <w:r>
        <w:t>зволяет переубедить родителей, не угрожая им уголовно-правовыми санкци</w:t>
      </w:r>
      <w:r>
        <w:t>я</w:t>
      </w:r>
      <w:r>
        <w:t>ми. Эта юридическая поправка была необходима для искорен</w:t>
      </w:r>
      <w:r>
        <w:t>е</w:t>
      </w:r>
      <w:r>
        <w:t>ния насилия, по-прежнему часто встречающегося в семьях. Проведенные исследования свид</w:t>
      </w:r>
      <w:r>
        <w:t>е</w:t>
      </w:r>
      <w:r>
        <w:t>тельствуют о том, что жертвы насилия со стороны родителей с большей вер</w:t>
      </w:r>
      <w:r>
        <w:t>о</w:t>
      </w:r>
      <w:r>
        <w:t>ятностью будут позднее сами прибегать к насилию. Поэтому наиболее по во</w:t>
      </w:r>
      <w:r>
        <w:t>з</w:t>
      </w:r>
      <w:r>
        <w:t>можности недвусмысленным образом следует заявить о том, что насилие никак не относится к числу по</w:t>
      </w:r>
      <w:r>
        <w:t>д</w:t>
      </w:r>
      <w:r>
        <w:t>ходящих методов воспитания детей.</w:t>
      </w:r>
    </w:p>
    <w:p w:rsidR="00000000" w:rsidRDefault="00000000">
      <w:pPr>
        <w:pStyle w:val="SingleTxt"/>
      </w:pPr>
      <w:r>
        <w:t>Внесение этой правовой поправки совпало с проведением Федеральным министерством по делам семьи, пожилых граждан, женщин и молодежи камп</w:t>
      </w:r>
      <w:r>
        <w:t>а</w:t>
      </w:r>
      <w:r>
        <w:t>нии под названием “Больше уважения к детям”. Эта мера была рассчитана на то, чтобы привлечь внимание к этой правовой поправке, привлечь внимание родителей и общества к изменениям стереотипов в сфере образования. Родит</w:t>
      </w:r>
      <w:r>
        <w:t>е</w:t>
      </w:r>
      <w:r>
        <w:t>лям следует оказать помощь в урегулировании конфликтов и в выходе из с</w:t>
      </w:r>
      <w:r>
        <w:t>и</w:t>
      </w:r>
      <w:r>
        <w:t>туаций, когда напряженность достигла апогея, без помощи насилия, что также означает необходимость их ознакомления с альтернативными способами. Эта кампания проводилась в период с 19 сентября 2000 года по конец 2001 года. Она включала широкое использование мультимедийных средств, а также пра</w:t>
      </w:r>
      <w:r>
        <w:t>к</w:t>
      </w:r>
      <w:r>
        <w:t>тические проекты и мероприятия на низовом уровне.</w:t>
      </w:r>
    </w:p>
    <w:p w:rsidR="00000000" w:rsidRDefault="00000000">
      <w:pPr>
        <w:pStyle w:val="SingleTxt"/>
      </w:pPr>
      <w:r>
        <w:t>На основании “Закона о защите трудящихся от сексуальных домог</w:t>
      </w:r>
      <w:r>
        <w:t>а</w:t>
      </w:r>
      <w:r>
        <w:t>тельств на рабочем месте” среди основных федеральных органов был распр</w:t>
      </w:r>
      <w:r>
        <w:t>о</w:t>
      </w:r>
      <w:r>
        <w:t>странен вопросник, а полученные результаты затем подверглись оценке. Она показала, что осуществление положений этого закона все еще нельзя назвать полным, в частности, в сфере повышения профессиональной квалификации. Трудовые соглашения по вопросам сексуальных домогательств не стали общ</w:t>
      </w:r>
      <w:r>
        <w:t>е</w:t>
      </w:r>
      <w:r>
        <w:t>принятой практикой. По просьбе Федерального министерства по делам семьи, пожилых граждан, женщин и молодежи ряд федеральных земель распростр</w:t>
      </w:r>
      <w:r>
        <w:t>а</w:t>
      </w:r>
      <w:r>
        <w:t xml:space="preserve">нил аналогичные вопросники среди своих административных органов. </w:t>
      </w:r>
      <w:r>
        <w:rPr>
          <w:caps/>
        </w:rPr>
        <w:t>ф</w:t>
      </w:r>
      <w:r>
        <w:t>ед</w:t>
      </w:r>
      <w:r>
        <w:t>е</w:t>
      </w:r>
      <w:r>
        <w:t>ральное министерство по делам семьи, пожилых граждан, женщин и молодежи санкционировало проведение исследования юридических фактов с тем, чтобы проконтролировать осуществление этого закона в компаниях, а также в части, касающейся прецедентного пр</w:t>
      </w:r>
      <w:r>
        <w:t>а</w:t>
      </w:r>
      <w:r>
        <w:t>ва.</w:t>
      </w:r>
    </w:p>
    <w:p w:rsidR="00000000" w:rsidRDefault="00000000">
      <w:pPr>
        <w:pStyle w:val="H4"/>
      </w:pPr>
      <w:bookmarkStart w:id="406" w:name="_Toc44113800"/>
      <w:bookmarkStart w:id="407" w:name="_Toc44114308"/>
      <w:bookmarkStart w:id="408" w:name="_Toc44115985"/>
      <w:r>
        <w:t>5.3.3</w:t>
      </w:r>
      <w:r>
        <w:tab/>
        <w:t>Меры, не относящиеся к числу законодательных</w:t>
      </w:r>
      <w:bookmarkEnd w:id="406"/>
      <w:bookmarkEnd w:id="407"/>
      <w:bookmarkEnd w:id="408"/>
    </w:p>
    <w:p w:rsidR="00000000" w:rsidRDefault="00000000">
      <w:pPr>
        <w:pStyle w:val="SingleTxt"/>
      </w:pPr>
      <w:r>
        <w:t>Правовых норм, самих по себе, недостаточно. Больше внимания следует уделять налаживанию сотрудничества между различными государственными органами и неправительственными учреждениями по вопросам оказания п</w:t>
      </w:r>
      <w:r>
        <w:t>о</w:t>
      </w:r>
      <w:r>
        <w:t>мощи.</w:t>
      </w:r>
    </w:p>
    <w:p w:rsidR="00000000" w:rsidRDefault="00000000">
      <w:pPr>
        <w:pStyle w:val="SingleTxt"/>
      </w:pPr>
      <w:r>
        <w:t>Такого рода сотрудничество в целях эффективного пресечения насилия в отношении женщин только сейчас начинает становиться одним из направлений проводимой в Германии работы по борьбе с насилием. Лишь в течение после</w:t>
      </w:r>
      <w:r>
        <w:t>д</w:t>
      </w:r>
      <w:r>
        <w:t>них нескольких лет потребность в таком сотрудничестве стала все чаще пол</w:t>
      </w:r>
      <w:r>
        <w:t>у</w:t>
      </w:r>
      <w:r>
        <w:t>чать признание, а готовность к участию в подобных проектах – расти.</w:t>
      </w:r>
    </w:p>
    <w:p w:rsidR="00000000" w:rsidRDefault="00000000">
      <w:pPr>
        <w:pStyle w:val="SingleTxt"/>
      </w:pPr>
      <w:r>
        <w:t>Для расширения сотрудничества между различными учреждениями и проектами план действий рекомендует разрабатывать проекты в области п</w:t>
      </w:r>
      <w:r>
        <w:t>о</w:t>
      </w:r>
      <w:r>
        <w:t>средничества в соответствии с американской моделью. В данном случае ра</w:t>
      </w:r>
      <w:r>
        <w:t>з</w:t>
      </w:r>
      <w:r>
        <w:t>личные компетентные правительственные и неправительственные организации сотрудничают на основе общей концепции с провозглашенной целью повысить эффективность защиты лиц, в ней нуждающихся, и добиться привлечения пр</w:t>
      </w:r>
      <w:r>
        <w:t>а</w:t>
      </w:r>
      <w:r>
        <w:t>вонарушителей к ответс</w:t>
      </w:r>
      <w:r>
        <w:t>т</w:t>
      </w:r>
      <w:r>
        <w:t>венности.</w:t>
      </w:r>
    </w:p>
    <w:p w:rsidR="00000000" w:rsidRDefault="00000000">
      <w:pPr>
        <w:pStyle w:val="SingleTxt"/>
      </w:pPr>
      <w:r>
        <w:t xml:space="preserve">В </w:t>
      </w:r>
      <w:r>
        <w:rPr>
          <w:caps/>
        </w:rPr>
        <w:t>б</w:t>
      </w:r>
      <w:r>
        <w:t>ерлине и Шлезвиг-Гольштейне федеральное правительство содейств</w:t>
      </w:r>
      <w:r>
        <w:t>у</w:t>
      </w:r>
      <w:r>
        <w:t>ет реализации таких экспериментальных проектов на уровне земель. В то же самое время оно заручилось поддержкой ученых в интересах всех проектов в области посредничества и посреднических учреждений в Германии, которые также изучают работу с правонарушителями, проводимую в контексте этих проектов.</w:t>
      </w:r>
    </w:p>
    <w:p w:rsidR="00000000" w:rsidRDefault="00000000">
      <w:pPr>
        <w:pStyle w:val="SingleTxt"/>
      </w:pPr>
      <w:r>
        <w:t>Для эффективной закулисной работы в интересах женщин, подверга</w:t>
      </w:r>
      <w:r>
        <w:t>ю</w:t>
      </w:r>
      <w:r>
        <w:t>щихся риску стать жертвой насилия и пострадавших от насилия, но и для н</w:t>
      </w:r>
      <w:r>
        <w:t>а</w:t>
      </w:r>
      <w:r>
        <w:t>лаживания более эффективной и оперативной передачи информации, а также для более адресного распределения ресурсов (разделения труда) целесообразно создать единую национальную сеть предложений об оказании помощи. Новым явлением в жизни Германии стало все более активное объединение нацеленных на борьбу с насилием проектов на национальном уровне в единую сеть, кот</w:t>
      </w:r>
      <w:r>
        <w:t>о</w:t>
      </w:r>
      <w:r>
        <w:t>рое с удовлетворением отмечается в плане действий. Федеральное правител</w:t>
      </w:r>
      <w:r>
        <w:t>ь</w:t>
      </w:r>
      <w:r>
        <w:t>ство финансирует объединяющиеся в единую сеть приюты для женщин, слу</w:t>
      </w:r>
      <w:r>
        <w:t>ж</w:t>
      </w:r>
      <w:r>
        <w:t>бы помощи в чрезвычайных ситуациях и консультационные агентства, которые участвуют в борьбе с торговлей женщинами и насилием в процессе миграции. Кроме того, поощряется проведение национальных совещаний с целью нал</w:t>
      </w:r>
      <w:r>
        <w:t>а</w:t>
      </w:r>
      <w:r>
        <w:t>живания контактов и сотрудничества.</w:t>
      </w:r>
    </w:p>
    <w:p w:rsidR="00000000" w:rsidRDefault="00000000">
      <w:pPr>
        <w:pStyle w:val="SingleTxt"/>
      </w:pPr>
      <w:r>
        <w:t>Статутные положения следует последовательно применять в соответствии с законодательством. Чтобы добиться успеха в этом деле, необходимо соотве</w:t>
      </w:r>
      <w:r>
        <w:t>т</w:t>
      </w:r>
      <w:r>
        <w:t>ствующим образом повышать осведомленность заинтересованных сторон. План действий недвусмысленно рекомендует заняться планированием повыш</w:t>
      </w:r>
      <w:r>
        <w:t>е</w:t>
      </w:r>
      <w:r>
        <w:t>ния квалификации представителей всех заинтересованных профессиональных групп с включением в программу ранее упоминавшихся дисциплин, а также привлекать к чтению лекций женщин из числа служащих консультационных организаций.</w:t>
      </w:r>
    </w:p>
    <w:p w:rsidR="00000000" w:rsidRDefault="00000000">
      <w:pPr>
        <w:pStyle w:val="SingleTxt"/>
      </w:pPr>
      <w:r>
        <w:t>Подобное базовое обучение и повышение квалификации, подготовка пр</w:t>
      </w:r>
      <w:r>
        <w:t>о</w:t>
      </w:r>
      <w:r>
        <w:t>ектов руководящих принципов/инструкций, а также использование специал</w:t>
      </w:r>
      <w:r>
        <w:t>ь</w:t>
      </w:r>
      <w:r>
        <w:t>ных подразделений входит в компетенцию земель, причем во многих случаях уже принимаются соответствующие практические меры. В связи с этим особый прогресс был достигнут полицейскими органами.</w:t>
      </w:r>
    </w:p>
    <w:p w:rsidR="00000000" w:rsidRDefault="00000000">
      <w:pPr>
        <w:pStyle w:val="SingleTxt"/>
      </w:pPr>
      <w:r>
        <w:t>В рамках рабочей группы уровня “федерация – земли” по борьбе с нас</w:t>
      </w:r>
      <w:r>
        <w:t>и</w:t>
      </w:r>
      <w:r>
        <w:t>лием в отношении женщин в семье проводится обмен соответствующим оп</w:t>
      </w:r>
      <w:r>
        <w:t>ы</w:t>
      </w:r>
      <w:r>
        <w:t>том, а успешные модели рекомендуются для воспроизведения. Кроме того, осуществляется подготовка проекта стандартов в области повышения квалиф</w:t>
      </w:r>
      <w:r>
        <w:t>и</w:t>
      </w:r>
      <w:r>
        <w:t>кации представителей всех заинтересова</w:t>
      </w:r>
      <w:r>
        <w:t>н</w:t>
      </w:r>
      <w:r>
        <w:t>ных профессиональных групп.</w:t>
      </w:r>
    </w:p>
    <w:p w:rsidR="00000000" w:rsidRDefault="00000000">
      <w:pPr>
        <w:pStyle w:val="SingleTxt"/>
      </w:pPr>
      <w:r>
        <w:t>В настоящее время при финансовой поддержке со стороны федерального правительства женщины из числа служащих организаций по вопросам консул</w:t>
      </w:r>
      <w:r>
        <w:t>ь</w:t>
      </w:r>
      <w:r>
        <w:t>тирования женщин проходят подготовку с тем, чтобы получить необходимые навыки для чтения лекций на различных курсах повышения квалифик</w:t>
      </w:r>
      <w:r>
        <w:t>а</w:t>
      </w:r>
      <w:r>
        <w:t>ции.</w:t>
      </w:r>
    </w:p>
    <w:p w:rsidR="00000000" w:rsidRDefault="00000000">
      <w:pPr>
        <w:pStyle w:val="SingleTxt"/>
      </w:pPr>
      <w:r>
        <w:t>Федеральное министерство по делам семьи, пожилых граждан, женщин и молодежи опубликовало четырехтомное справочное пособие по вопросам п</w:t>
      </w:r>
      <w:r>
        <w:t>о</w:t>
      </w:r>
      <w:r>
        <w:t>вышения квалификации женщин – служ</w:t>
      </w:r>
      <w:r>
        <w:t>а</w:t>
      </w:r>
      <w:r>
        <w:t>щих женских приютов.</w:t>
      </w:r>
    </w:p>
    <w:p w:rsidR="00000000" w:rsidRDefault="00000000">
      <w:pPr>
        <w:pStyle w:val="SingleTxt"/>
      </w:pPr>
      <w:r>
        <w:t>С тем, чтобы повысить осведомленность представителей отдельных пр</w:t>
      </w:r>
      <w:r>
        <w:t>о</w:t>
      </w:r>
      <w:r>
        <w:t>фессиональных групп, следует, кроме того, охватить соответствующими мер</w:t>
      </w:r>
      <w:r>
        <w:t>о</w:t>
      </w:r>
      <w:r>
        <w:t>приятиями население в целом. Занимаясь этими проблемами, федеральное пр</w:t>
      </w:r>
      <w:r>
        <w:t>а</w:t>
      </w:r>
      <w:r>
        <w:t>вительство также включило в свой план действий ряд мер, нацеленных, напр</w:t>
      </w:r>
      <w:r>
        <w:t>и</w:t>
      </w:r>
      <w:r>
        <w:t>мер, на улучшение ситуации в области сбора статистических данных путем и</w:t>
      </w:r>
      <w:r>
        <w:t>з</w:t>
      </w:r>
      <w:r>
        <w:t>менения структуры данных уголовной полиции и проведения представительн</w:t>
      </w:r>
      <w:r>
        <w:t>о</w:t>
      </w:r>
      <w:r>
        <w:t>го обследования, посвященного вопросу о насилии в отношении женщин. Была выпущена специальная почтовая марка по теме насилия в отношении женщин, кот</w:t>
      </w:r>
      <w:r>
        <w:t>о</w:t>
      </w:r>
      <w:r>
        <w:t>рая имела позитивный отклик.</w:t>
      </w:r>
    </w:p>
    <w:p w:rsidR="00000000" w:rsidRDefault="00000000">
      <w:pPr>
        <w:pStyle w:val="SingleTxt"/>
      </w:pPr>
      <w:r>
        <w:t>Федеральное правительство оказывает поддержку тем коренным измен</w:t>
      </w:r>
      <w:r>
        <w:t>е</w:t>
      </w:r>
      <w:r>
        <w:t>ниям, которые претерпевает работа с правонарушителями. В то время, как пр</w:t>
      </w:r>
      <w:r>
        <w:t>и</w:t>
      </w:r>
      <w:r>
        <w:t>нимаемые ранее политические меры в подавляющем большинстве случаев б</w:t>
      </w:r>
      <w:r>
        <w:t>ы</w:t>
      </w:r>
      <w:r>
        <w:t>ли ориентированы на пострадавших женщин, сегодня все больше сторонников приобретает идея коренного изменения способов обращения с правонарушит</w:t>
      </w:r>
      <w:r>
        <w:t>е</w:t>
      </w:r>
      <w:r>
        <w:t>лями. Средствами последовательного государственного вмешательства, отн</w:t>
      </w:r>
      <w:r>
        <w:t>о</w:t>
      </w:r>
      <w:r>
        <w:t>сящимися как к уголовному, так и к гражданскому праву, их следует убеждать в том, что их действия были ош</w:t>
      </w:r>
      <w:r>
        <w:t>и</w:t>
      </w:r>
      <w:r>
        <w:t>бочными.</w:t>
      </w:r>
    </w:p>
    <w:p w:rsidR="00000000" w:rsidRDefault="00000000">
      <w:pPr>
        <w:pStyle w:val="SingleTxt"/>
      </w:pPr>
      <w:r>
        <w:t>Занимаясь осуществлением проектов в области вмешательства, исслед</w:t>
      </w:r>
      <w:r>
        <w:t>о</w:t>
      </w:r>
      <w:r>
        <w:t>ватели организуют специальные курсы для правонарушителей, а затем оцен</w:t>
      </w:r>
      <w:r>
        <w:t>и</w:t>
      </w:r>
      <w:r>
        <w:t>вают полученные результаты. При поддержке со стороны Федерального мин</w:t>
      </w:r>
      <w:r>
        <w:t>и</w:t>
      </w:r>
      <w:r>
        <w:t>стерства по делам семьи, пожилых граждан, женщин и молодежи в Олденбурге 5 декабря 2001 года прошла специализированная международная конференция, на которой обсуждались различные (европейские) концепции подобной работы с пр</w:t>
      </w:r>
      <w:r>
        <w:t>а</w:t>
      </w:r>
      <w:r>
        <w:t>вонарушителями.</w:t>
      </w:r>
    </w:p>
    <w:p w:rsidR="00000000" w:rsidRDefault="00000000">
      <w:pPr>
        <w:pStyle w:val="H4"/>
      </w:pPr>
      <w:bookmarkStart w:id="409" w:name="_Toc44113801"/>
      <w:bookmarkStart w:id="410" w:name="_Toc44114309"/>
      <w:bookmarkStart w:id="411" w:name="_Toc44115986"/>
      <w:r>
        <w:t>5.3.4</w:t>
      </w:r>
      <w:r>
        <w:tab/>
        <w:t>Профилактика и пресечение сексуального насилия над детьми и подростками</w:t>
      </w:r>
      <w:bookmarkEnd w:id="409"/>
      <w:bookmarkEnd w:id="410"/>
      <w:bookmarkEnd w:id="411"/>
    </w:p>
    <w:p w:rsidR="00000000" w:rsidRDefault="00000000">
      <w:pPr>
        <w:pStyle w:val="SingleTxt"/>
      </w:pPr>
      <w:r>
        <w:t>Федеральное правительство придает особое значение защите детей и по</w:t>
      </w:r>
      <w:r>
        <w:t>д</w:t>
      </w:r>
      <w:r>
        <w:t>ростков от всех форм насилия. В частности, и с самого начала, оно принимало активное участие в борьбе с сексуальной эксплуатацией детей в коммерческих целях на национальном и международном уровнях, а также в предотвращении подобной эксплуатации.</w:t>
      </w:r>
    </w:p>
    <w:p w:rsidR="00000000" w:rsidRDefault="00000000">
      <w:pPr>
        <w:pStyle w:val="SingleTxt"/>
      </w:pPr>
      <w:r>
        <w:t>Изложенные ниже меры, направленные на предотвращение сексуального насилия и на борьбу с ним, в полной мере касаются девочек, которые соста</w:t>
      </w:r>
      <w:r>
        <w:t>в</w:t>
      </w:r>
      <w:r>
        <w:t>ляют более двух третей жертв такого нас</w:t>
      </w:r>
      <w:r>
        <w:t>и</w:t>
      </w:r>
      <w:r>
        <w:t>лия.</w:t>
      </w:r>
    </w:p>
    <w:p w:rsidR="00000000" w:rsidRDefault="00000000">
      <w:pPr>
        <w:pStyle w:val="SingleTxt"/>
      </w:pPr>
      <w:r>
        <w:t>Под руководством Федерального министерства по делам семьи, пожилых граждан, женщин и молодежи федеральное правительство выполнило деклар</w:t>
      </w:r>
      <w:r>
        <w:t>а</w:t>
      </w:r>
      <w:r>
        <w:t>цию и план действий состоявшегося в июле 1997 года первого Всемирного ко</w:t>
      </w:r>
      <w:r>
        <w:t>н</w:t>
      </w:r>
      <w:r>
        <w:t>гресса против сексуальной эксплуатации детей в коммерческих целях, предст</w:t>
      </w:r>
      <w:r>
        <w:t>а</w:t>
      </w:r>
      <w:r>
        <w:t>вив в Стокгольме рабочую программу борьбы с жестоким обращением с дет</w:t>
      </w:r>
      <w:r>
        <w:t>ь</w:t>
      </w:r>
      <w:r>
        <w:t>ми, детской порнографией и секс – туризмом. Она включала рамки национал</w:t>
      </w:r>
      <w:r>
        <w:t>ь</w:t>
      </w:r>
      <w:r>
        <w:t>ной деятельности, а также меры в области образования и профилактики, права, междун</w:t>
      </w:r>
      <w:r>
        <w:t>а</w:t>
      </w:r>
      <w:r>
        <w:t>родного уголовного преследования и защиты потерпевших.</w:t>
      </w:r>
    </w:p>
    <w:p w:rsidR="00000000" w:rsidRDefault="00000000">
      <w:pPr>
        <w:pStyle w:val="SingleTxt"/>
      </w:pPr>
      <w:r>
        <w:t>В рабочую программу федерального правительства были включены д</w:t>
      </w:r>
      <w:r>
        <w:t>о</w:t>
      </w:r>
      <w:r>
        <w:t>полнительные меры, рассчитанные на будущее и заимствованные из промеж</w:t>
      </w:r>
      <w:r>
        <w:t>у</w:t>
      </w:r>
      <w:r>
        <w:t>точного доклада от марта 1998 года, касавшегося принятых внутригосударс</w:t>
      </w:r>
      <w:r>
        <w:t>т</w:t>
      </w:r>
      <w:r>
        <w:t>венных мер в целях осуществления. В январе 2001 года этот доклад был вновь расширен за счет мер, в частности, в правовой области, которые были приняты к декабрю 2000 года.</w:t>
      </w:r>
    </w:p>
    <w:p w:rsidR="00000000" w:rsidRDefault="00000000">
      <w:pPr>
        <w:pStyle w:val="SingleTxt"/>
      </w:pPr>
      <w:r>
        <w:t>В период, остававшийся до начала второго Всемирного конгресса против сексуальной эксплуатации детей в коммерческих целях, проходившего с 17 по 20 декабря 2001 года в Йокогаме/Япония, Федеральное министерство по делам семьи, пожилых граждан, женщин и молодежи организовало в марте 2001 года национальную конференцию по продолжению действий под названием “Секс</w:t>
      </w:r>
      <w:r>
        <w:t>у</w:t>
      </w:r>
      <w:r>
        <w:t>альная эксплуатация детей в коммерческих целях”. В ходе этой конференции были обобщены предыдущие успехи и неудачи в борьбе с сексуальным насил</w:t>
      </w:r>
      <w:r>
        <w:t>и</w:t>
      </w:r>
      <w:r>
        <w:t>ем в отношении детей, а также подготовлены проекты стратегий для дальне</w:t>
      </w:r>
      <w:r>
        <w:t>й</w:t>
      </w:r>
      <w:r>
        <w:t>шего повышения эффективности такой бор</w:t>
      </w:r>
      <w:r>
        <w:t>ь</w:t>
      </w:r>
      <w:r>
        <w:t>бы.</w:t>
      </w:r>
    </w:p>
    <w:p w:rsidR="00000000" w:rsidRDefault="00000000">
      <w:pPr>
        <w:pStyle w:val="SingleTxt"/>
      </w:pPr>
      <w:r>
        <w:t>В ноябре 2001 года федеральное правительство приняло активное участие в многосторонней конференции по теме “Защита детей от сексуальной эк</w:t>
      </w:r>
      <w:r>
        <w:t>с</w:t>
      </w:r>
      <w:r>
        <w:t>плуатации”, организованной Советом Европы в Будапеште. Оно представило доклад с изложением внутригосударственных мер, принятых в интересах в</w:t>
      </w:r>
      <w:r>
        <w:t>ы</w:t>
      </w:r>
      <w:r>
        <w:t>полнения декларации и плана действий первого Всемирного конгресса. Этот доклад содержит перечень мер, которые следует принять в таких сферах, как образование и профилактика, законодательство и международное уголовное преследование, а также защита потерпевших. Конференция в Будапеште з</w:t>
      </w:r>
      <w:r>
        <w:t>а</w:t>
      </w:r>
      <w:r>
        <w:t>вершилась принятием регионального плана действий в интересах Европы и Центральной Азии.</w:t>
      </w:r>
    </w:p>
    <w:p w:rsidR="00000000" w:rsidRDefault="00000000">
      <w:pPr>
        <w:pStyle w:val="SingleTxt"/>
      </w:pPr>
      <w:r>
        <w:t>В контексте второго Всемирного конгресса против сексуальной эксплу</w:t>
      </w:r>
      <w:r>
        <w:t>а</w:t>
      </w:r>
      <w:r>
        <w:t>тации детей в коммерческих целях, состоявшегося в декабре 2001 года в Йок</w:t>
      </w:r>
      <w:r>
        <w:t>о</w:t>
      </w:r>
      <w:r>
        <w:t>гаме, стало ясно, что за последние годы удалось повысить осведомленность по проблемам сексуальной эксплуатации детей и что множество мер было прин</w:t>
      </w:r>
      <w:r>
        <w:t>я</w:t>
      </w:r>
      <w:r>
        <w:t>то. Однако для эффективной борьбы с сексуальной эксплуатацией детей тр</w:t>
      </w:r>
      <w:r>
        <w:t>е</w:t>
      </w:r>
      <w:r>
        <w:t>буются дополнительные национальные и совместные международные меры в области профилактики, защиты потерпевших и уголовного преследования. В своем заключительном документе, а именно в “Йокогамском глобальном обяз</w:t>
      </w:r>
      <w:r>
        <w:t>а</w:t>
      </w:r>
      <w:r>
        <w:t>тельстве 2001 года” сообщество государств вновь подтверждает цели и обяз</w:t>
      </w:r>
      <w:r>
        <w:t>а</w:t>
      </w:r>
      <w:r>
        <w:t>тельства первого Всемирного конгресса, состоявшегося в 1996 году в Сто</w:t>
      </w:r>
      <w:r>
        <w:t>к</w:t>
      </w:r>
      <w:r>
        <w:t>гольме, и предлагает важнейшие шаги, которые следует предпринять в буд</w:t>
      </w:r>
      <w:r>
        <w:t>у</w:t>
      </w:r>
      <w:r>
        <w:t>щем для решения мировой проблемы сексуальной эксплу</w:t>
      </w:r>
      <w:r>
        <w:t>а</w:t>
      </w:r>
      <w:r>
        <w:t>тации детей.</w:t>
      </w:r>
    </w:p>
    <w:p w:rsidR="00000000" w:rsidRDefault="00000000">
      <w:pPr>
        <w:pStyle w:val="SingleTxt"/>
      </w:pPr>
      <w:r>
        <w:t>Параллельно этим национальным усилиям, федеральное правительство также расширило свое международное сотрудничество и координацию в том, что касается борьбы с сексуальной эксплуатацией детей в коммерческих целях, в частности, путем налаживания более тесного сотрудничества со странами, куда устремляются секс – туристы и где дети подвергаются жестокому обращ</w:t>
      </w:r>
      <w:r>
        <w:t>е</w:t>
      </w:r>
      <w:r>
        <w:t>нию, путем повышения эффективности координируемого в международном масштабе уголовного преследования и участия в международных мероприят</w:t>
      </w:r>
      <w:r>
        <w:t>и</w:t>
      </w:r>
      <w:r>
        <w:t>ях, а также в эксплуатации и</w:t>
      </w:r>
      <w:r>
        <w:t>н</w:t>
      </w:r>
      <w:r>
        <w:t>формационных сетей.</w:t>
      </w:r>
    </w:p>
    <w:p w:rsidR="00000000" w:rsidRDefault="00000000">
      <w:pPr>
        <w:pStyle w:val="SingleTxt"/>
      </w:pPr>
      <w:r>
        <w:t>Германия ратифицировала Конвенцию МОТ № 182 от 17 июня 1999 года о запрещении и немедленных мерах по искоренению наихудших форм детского труда; закон об этой конвенции датир</w:t>
      </w:r>
      <w:r>
        <w:t>о</w:t>
      </w:r>
      <w:r>
        <w:t>ван 11 октября 2001 года.</w:t>
      </w:r>
    </w:p>
    <w:p w:rsidR="00000000" w:rsidRDefault="00000000">
      <w:pPr>
        <w:pStyle w:val="SingleTxt"/>
      </w:pPr>
      <w:r>
        <w:t>Федеральное правительство принимало активное участие в подготовке проекта Факультативного протокола к Конвенции ООН о правах ребенка, к</w:t>
      </w:r>
      <w:r>
        <w:t>а</w:t>
      </w:r>
      <w:r>
        <w:t>сающегося торговли детьми, детской проституции и детской порнографии, одобренного Генеральной ассамблеей Организации Объединенных Наций 25 мая 2000 года. Федеративная Республика Германия подписала этот факул</w:t>
      </w:r>
      <w:r>
        <w:t>ь</w:t>
      </w:r>
      <w:r>
        <w:t>тативный протокол в сентябре 2000 года. Идет подготовка к ратификации и к началу внутригосударственного ос</w:t>
      </w:r>
      <w:r>
        <w:t>у</w:t>
      </w:r>
      <w:r>
        <w:t>ществления его положений.</w:t>
      </w:r>
    </w:p>
    <w:p w:rsidR="00000000" w:rsidRDefault="00000000">
      <w:pPr>
        <w:pStyle w:val="SingleTxt"/>
      </w:pPr>
      <w:r>
        <w:t>29 мая 2000 года Совет Европейского союза принял решение о борьбе с детской порнографией в сети Интернет. Это решение нацелено на предотвр</w:t>
      </w:r>
      <w:r>
        <w:t>а</w:t>
      </w:r>
      <w:r>
        <w:t>щение и искоренение производства, обработки, распространения и размещения детской порнографии в сети Интернет. Оно предусматривает меры по обесп</w:t>
      </w:r>
      <w:r>
        <w:t>е</w:t>
      </w:r>
      <w:r>
        <w:t>чению эффективного преследования и улучшению ситуации в области проф</w:t>
      </w:r>
      <w:r>
        <w:t>и</w:t>
      </w:r>
      <w:r>
        <w:t>ла</w:t>
      </w:r>
      <w:r>
        <w:t>к</w:t>
      </w:r>
      <w:r>
        <w:t>тики, но никак не материально-правовые уголовные нормы.</w:t>
      </w:r>
    </w:p>
    <w:p w:rsidR="00000000" w:rsidRDefault="00000000">
      <w:pPr>
        <w:pStyle w:val="SingleTxt"/>
      </w:pPr>
      <w:r>
        <w:t>Федеративная Республика Германия одной из первых подписала в декабре 2000 года Конвенцию ООН по борьбе с транснациональной организованной преступностью и протокол к ней о предупреждении и пресечении торговли людьми, особенно женщинами и детьми, и наказании за нее. Как и в предыд</w:t>
      </w:r>
      <w:r>
        <w:t>у</w:t>
      </w:r>
      <w:r>
        <w:t>щем случае, идет подготовка к ратификации и внутригосударственному осущ</w:t>
      </w:r>
      <w:r>
        <w:t>е</w:t>
      </w:r>
      <w:r>
        <w:t>с</w:t>
      </w:r>
      <w:r>
        <w:t>т</w:t>
      </w:r>
      <w:r>
        <w:t>влению их положений.</w:t>
      </w:r>
    </w:p>
    <w:p w:rsidR="00000000" w:rsidRDefault="00000000">
      <w:pPr>
        <w:pStyle w:val="SingleTxt"/>
      </w:pPr>
      <w:r>
        <w:t xml:space="preserve">Федеральное правительство, в частности, ускорило подготовку проекта конвенции Совета </w:t>
      </w:r>
      <w:r>
        <w:rPr>
          <w:caps/>
        </w:rPr>
        <w:t>е</w:t>
      </w:r>
      <w:r>
        <w:t>вропы о киберпреступности. Германия подписала эту ко</w:t>
      </w:r>
      <w:r>
        <w:t>н</w:t>
      </w:r>
      <w:r>
        <w:t>венцию в конце 2001 года. С одной стороны, она содержит положения относ</w:t>
      </w:r>
      <w:r>
        <w:t>и</w:t>
      </w:r>
      <w:r>
        <w:t>тельно создания общего материального минимального уголовно-правового стандарта применительно к компьютерным и телекоммуникационным престу</w:t>
      </w:r>
      <w:r>
        <w:t>п</w:t>
      </w:r>
      <w:r>
        <w:t>лениям, включая положение о наказуемости связанных с детской порнографией преступлений, совершенных с использованием компьютерных систем (предл</w:t>
      </w:r>
      <w:r>
        <w:t>о</w:t>
      </w:r>
      <w:r>
        <w:t>жение, распространение, производство детской порнографии, владение ею и т. д.). Кроме того, она закладывает общую основу эффективного, оперативного уголовного преследования в компьютерных системах и расширения междун</w:t>
      </w:r>
      <w:r>
        <w:t>а</w:t>
      </w:r>
      <w:r>
        <w:t>родного сотрудничества в соответствующих областях уголовн</w:t>
      </w:r>
      <w:r>
        <w:t>о</w:t>
      </w:r>
      <w:r>
        <w:t>го правосудия.</w:t>
      </w:r>
    </w:p>
    <w:p w:rsidR="00000000" w:rsidRDefault="00000000">
      <w:pPr>
        <w:pStyle w:val="SingleTxt"/>
      </w:pPr>
      <w:r>
        <w:t>Федеральное правительство убеждено в том, что подписание и ратифик</w:t>
      </w:r>
      <w:r>
        <w:t>а</w:t>
      </w:r>
      <w:r>
        <w:t>ция этого международно-правового документа по возможности максимально широким кругом государств (конвенция также открыта для подписания гос</w:t>
      </w:r>
      <w:r>
        <w:t>у</w:t>
      </w:r>
      <w:r>
        <w:t>дарствами, не входящими в Совет Европы) в значительной мере облегчит бор</w:t>
      </w:r>
      <w:r>
        <w:t>ь</w:t>
      </w:r>
      <w:r>
        <w:t>бу с подобными преступлениями.</w:t>
      </w:r>
    </w:p>
    <w:p w:rsidR="00000000" w:rsidRDefault="00000000">
      <w:pPr>
        <w:pStyle w:val="SingleTxt"/>
      </w:pPr>
      <w:r>
        <w:t>Кроме того, на своей сессии, состоявшейся 31 октября 2001 года, Совет Европы принял проект рекомендации Комитета министров гос</w:t>
      </w:r>
      <w:r>
        <w:t>у</w:t>
      </w:r>
      <w:r>
        <w:t>дарствам-участникам о защите детей от сексуальной эк</w:t>
      </w:r>
      <w:r>
        <w:t>с</w:t>
      </w:r>
      <w:r>
        <w:t>плуатации.</w:t>
      </w:r>
    </w:p>
    <w:p w:rsidR="00000000" w:rsidRDefault="00000000">
      <w:pPr>
        <w:pStyle w:val="SingleTxt"/>
      </w:pPr>
      <w:r>
        <w:t xml:space="preserve">Кроме того, следует отметить, что в августе 2002 года в </w:t>
      </w:r>
      <w:r>
        <w:rPr>
          <w:caps/>
        </w:rPr>
        <w:t>е</w:t>
      </w:r>
      <w:r>
        <w:t>вропейском со</w:t>
      </w:r>
      <w:r>
        <w:t>ю</w:t>
      </w:r>
      <w:r>
        <w:t>зе вступило в силу рамочное решение о борьбе с торговлей людьми, рассчита</w:t>
      </w:r>
      <w:r>
        <w:t>н</w:t>
      </w:r>
      <w:r>
        <w:t>ное на то, чтобы привести уголовные нормы государств-членов в соответствие с друг с другом. В настоящее время еще не закончилась подготовка рамочного решения о борьбе с сексуальной эксплуатацией детей.</w:t>
      </w:r>
    </w:p>
    <w:p w:rsidR="00000000" w:rsidRDefault="00000000">
      <w:pPr>
        <w:pStyle w:val="SingleTxt"/>
      </w:pPr>
      <w:r>
        <w:t>За последние годы в Германии в том, что касается борьбы против секс</w:t>
      </w:r>
      <w:r>
        <w:t>у</w:t>
      </w:r>
      <w:r>
        <w:t>ального насилия над детьми был достигнут существенный прогресс. Благодаря крупным законодательным мерам, принятым, в частности, в 1997 и 1998 годах, возросла эффективность уголовно-правовой защиты детей от сексуальной эк</w:t>
      </w:r>
      <w:r>
        <w:t>с</w:t>
      </w:r>
      <w:r>
        <w:t>плуатации. Рабочая программа Всемирного конгресса в Стокгольме также вн</w:t>
      </w:r>
      <w:r>
        <w:t>е</w:t>
      </w:r>
      <w:r>
        <w:t>сла свой вклад в создание условий для этого движения. Однако эти законод</w:t>
      </w:r>
      <w:r>
        <w:t>а</w:t>
      </w:r>
      <w:r>
        <w:t>тельные меры также соответствовали тенденции, которая проявилась уже в 1992 году в форме 26-го закона о внесении поправок в уголовное законодател</w:t>
      </w:r>
      <w:r>
        <w:t>ь</w:t>
      </w:r>
      <w:r>
        <w:t>ство (</w:t>
      </w:r>
      <w:r>
        <w:rPr>
          <w:lang w:val="en-US"/>
        </w:rPr>
        <w:t>Strafrechsanderungsgesetz</w:t>
      </w:r>
      <w:r>
        <w:t>) (разделы 180</w:t>
      </w:r>
      <w:r>
        <w:rPr>
          <w:lang w:val="en-US"/>
        </w:rPr>
        <w:t>b</w:t>
      </w:r>
      <w:r>
        <w:t xml:space="preserve"> и 181 Уголовного кодекса – то</w:t>
      </w:r>
      <w:r>
        <w:t>р</w:t>
      </w:r>
      <w:r>
        <w:t>говля людьми) и в 1993 году в форме 27-го закона о внесении поправок в уг</w:t>
      </w:r>
      <w:r>
        <w:t>о</w:t>
      </w:r>
      <w:r>
        <w:t>ловное законодательство (наказуемость сексуального насилия над детьми, имевшего место за рубежом, вне зависимости от законодательства соответс</w:t>
      </w:r>
      <w:r>
        <w:t>т</w:t>
      </w:r>
      <w:r>
        <w:t>вующего места; наказуемость владения детской порнографией и ее приобрет</w:t>
      </w:r>
      <w:r>
        <w:t>е</w:t>
      </w:r>
      <w:r>
        <w:t>ния).</w:t>
      </w:r>
    </w:p>
    <w:p w:rsidR="00000000" w:rsidRDefault="00000000">
      <w:pPr>
        <w:pStyle w:val="SingleTxt"/>
      </w:pPr>
      <w:r>
        <w:t>Уголовно-правовая защита детей от насилия, в частности, от сексуального насилия еще больше возросла благодаря принятию шестого закона о внесении поправок в уголовное законодательство от 26 января 1998 года. Например, б</w:t>
      </w:r>
      <w:r>
        <w:t>ы</w:t>
      </w:r>
      <w:r>
        <w:t>ли значительно ужесточены наказания, которые могут назначаться по серье</w:t>
      </w:r>
      <w:r>
        <w:t>з</w:t>
      </w:r>
      <w:r>
        <w:t>ным делам, связанным с сексуальным насилием над детьми и причинением им телесных повреждений. В частности, в Уголовный кодекс было включено новое преступление, названное сексуальным насилием в целях производства и ра</w:t>
      </w:r>
      <w:r>
        <w:t>с</w:t>
      </w:r>
      <w:r>
        <w:t>пространения порнографических изображений детей. К тому же была повыш</w:t>
      </w:r>
      <w:r>
        <w:t>е</w:t>
      </w:r>
      <w:r>
        <w:t>на уголовно-правовая защита от вывоза несовершеннолетних и от торговли детьми.</w:t>
      </w:r>
    </w:p>
    <w:p w:rsidR="00000000" w:rsidRDefault="00000000">
      <w:pPr>
        <w:pStyle w:val="SingleTxt"/>
      </w:pPr>
      <w:r>
        <w:t>Закон о борьбе с преступлениями на сексуальной почве и другими опа</w:t>
      </w:r>
      <w:r>
        <w:t>с</w:t>
      </w:r>
      <w:r>
        <w:t>ными уголовными преступлениями (</w:t>
      </w:r>
      <w:r>
        <w:rPr>
          <w:lang w:val="en-US"/>
        </w:rPr>
        <w:t>Gesetz</w:t>
      </w:r>
      <w:r>
        <w:t xml:space="preserve"> </w:t>
      </w:r>
      <w:r>
        <w:rPr>
          <w:lang w:val="en-US"/>
        </w:rPr>
        <w:t>zur</w:t>
      </w:r>
      <w:r>
        <w:t xml:space="preserve"> </w:t>
      </w:r>
      <w:r>
        <w:rPr>
          <w:lang w:val="en-US"/>
        </w:rPr>
        <w:t>Bekampfung</w:t>
      </w:r>
      <w:r>
        <w:t xml:space="preserve"> </w:t>
      </w:r>
      <w:r>
        <w:rPr>
          <w:lang w:val="en-US"/>
        </w:rPr>
        <w:t>von</w:t>
      </w:r>
      <w:r>
        <w:t xml:space="preserve"> </w:t>
      </w:r>
      <w:r>
        <w:rPr>
          <w:lang w:val="en-US"/>
        </w:rPr>
        <w:t>Sexualdelikten</w:t>
      </w:r>
      <w:r>
        <w:t xml:space="preserve"> </w:t>
      </w:r>
      <w:r>
        <w:rPr>
          <w:lang w:val="en-US"/>
        </w:rPr>
        <w:t>und</w:t>
      </w:r>
      <w:r>
        <w:t xml:space="preserve"> </w:t>
      </w:r>
      <w:r>
        <w:rPr>
          <w:lang w:val="en-US"/>
        </w:rPr>
        <w:t>anderen</w:t>
      </w:r>
      <w:r>
        <w:t xml:space="preserve"> </w:t>
      </w:r>
      <w:r>
        <w:rPr>
          <w:lang w:val="en-US"/>
        </w:rPr>
        <w:t>gefahrlichen</w:t>
      </w:r>
      <w:r>
        <w:t xml:space="preserve"> </w:t>
      </w:r>
      <w:r>
        <w:rPr>
          <w:lang w:val="en-US"/>
        </w:rPr>
        <w:t>Straftaten</w:t>
      </w:r>
      <w:r>
        <w:t>), также вступивший в силу в 1998 году, ра</w:t>
      </w:r>
      <w:r>
        <w:t>с</w:t>
      </w:r>
      <w:r>
        <w:t>ширяет сферу применения меры превентивного задержания таким образом, что она начинает охватывать тяжкие преступления и определенные уголовные пр</w:t>
      </w:r>
      <w:r>
        <w:t>а</w:t>
      </w:r>
      <w:r>
        <w:t>вонарушения, направленные против сексуального самоопределения, а также против физического здоровья и т. д. В то же самое время закон устанавливает абсолютный предельный срок задержания, применимый также в случае перв</w:t>
      </w:r>
      <w:r>
        <w:t>о</w:t>
      </w:r>
      <w:r>
        <w:t>го предварительного задержания. Что касается досрочного выхода из заключ</w:t>
      </w:r>
      <w:r>
        <w:t>е</w:t>
      </w:r>
      <w:r>
        <w:t>ния в связи с условным освобождением, то закон теперь недвусмысленно тр</w:t>
      </w:r>
      <w:r>
        <w:t>е</w:t>
      </w:r>
      <w:r>
        <w:t>бует, чтобы такое освобождение всегда могло получить обоснование с учетом интересов обеспечения безопасности общества. Основа, используемая судами при принятии такого решения, была усовершенствована благодаря введению требования о предоставлении сведений об особо опасных рецидивистах. Кроме того, закон повышает эффективность управленческого надзора и предусматр</w:t>
      </w:r>
      <w:r>
        <w:t>и</w:t>
      </w:r>
      <w:r>
        <w:t>вает обязательный перевод поддающегося излечению лица, совершившего пр</w:t>
      </w:r>
      <w:r>
        <w:t>е</w:t>
      </w:r>
      <w:r>
        <w:t>ступление на сексуальной почве, в учреждение социальной терапии по оконч</w:t>
      </w:r>
      <w:r>
        <w:t>а</w:t>
      </w:r>
      <w:r>
        <w:t>нии переходн</w:t>
      </w:r>
      <w:r>
        <w:t>о</w:t>
      </w:r>
      <w:r>
        <w:t>го периода, начавшегося 1 января 2003 года.</w:t>
      </w:r>
    </w:p>
    <w:p w:rsidR="00000000" w:rsidRDefault="00000000">
      <w:pPr>
        <w:pStyle w:val="SingleTxt"/>
      </w:pPr>
      <w:r>
        <w:t>В связи с реформированием защиты молодежи, решение о которой было принято федеральным парламентом Германии 14 июня 2002 года, в уголовное законодательство также была включена дополнительная норма против нам</w:t>
      </w:r>
      <w:r>
        <w:t>е</w:t>
      </w:r>
      <w:r>
        <w:t>ренного изображения детей и подростков в неестественной физической позе, подчеркивающей половую принадлежность. Таким образом, эти изображения относятся к числу средств, представляющих угрозу для молодежи, распростр</w:t>
      </w:r>
      <w:r>
        <w:t>а</w:t>
      </w:r>
      <w:r>
        <w:t>нение, продажа и реклама которых в силу закона подпадает под действие огр</w:t>
      </w:r>
      <w:r>
        <w:t>а</w:t>
      </w:r>
      <w:r>
        <w:t>ничений, содержащихся в этом зак</w:t>
      </w:r>
      <w:r>
        <w:t>о</w:t>
      </w:r>
      <w:r>
        <w:t>не.</w:t>
      </w:r>
    </w:p>
    <w:p w:rsidR="00000000" w:rsidRDefault="00000000">
      <w:pPr>
        <w:pStyle w:val="SingleTxt"/>
      </w:pPr>
      <w:r>
        <w:t>На основе знаний, накопленных в ходе изучения положения потерпевших, в 1994 году в уголовно-правовые нормы относительно срока давности были внесены поправки в интересах потерпевших от насильственных действий се</w:t>
      </w:r>
      <w:r>
        <w:t>к</w:t>
      </w:r>
      <w:r>
        <w:t>суального характера. Срок давности по конкретным уголовным преступлениям, направленным против сексуального самоопределения, истекает по достижении потерпевшим возраста 18 лет. Срок давности в десять лет в случае с насилием над детьми и в 20 лет в случае с сексуальным принуждением и изнасилован</w:t>
      </w:r>
      <w:r>
        <w:t>и</w:t>
      </w:r>
      <w:r>
        <w:t>ем, соответственно, дает потерпевшим достаточно времени для возбуждения уголовного судопроизводства.</w:t>
      </w:r>
    </w:p>
    <w:p w:rsidR="00000000" w:rsidRDefault="00000000">
      <w:pPr>
        <w:pStyle w:val="SingleTxt"/>
      </w:pPr>
      <w:r>
        <w:t>Защите потерпевших также идет на пользу возможное использование в</w:t>
      </w:r>
      <w:r>
        <w:t>и</w:t>
      </w:r>
      <w:r>
        <w:t>део технологий в ходе уголовного судопроизводства, предусмотренное в законе 1998 года о защите потерпевших (</w:t>
      </w:r>
      <w:r>
        <w:rPr>
          <w:lang w:val="en-US"/>
        </w:rPr>
        <w:t>Zeugenschutzgesetz</w:t>
      </w:r>
      <w:r>
        <w:t>). Это помогает избежать чреватых возникновением стресса повторных допросов или зачастую тягос</w:t>
      </w:r>
      <w:r>
        <w:t>т</w:t>
      </w:r>
      <w:r>
        <w:t>ных слушаний в зале суда, а также пререканий с обвиняемым. Права поте</w:t>
      </w:r>
      <w:r>
        <w:t>р</w:t>
      </w:r>
      <w:r>
        <w:t>певших расширяются благодаря увеличению возможностей в том, что касается преследования соучастников в рамках уголовного судопроизводства, а также установления норм о назначении адвоката для свидетеля в целях проведения допроса или адвоката для потерпевшего за счет государства для судопроизво</w:t>
      </w:r>
      <w:r>
        <w:t>д</w:t>
      </w:r>
      <w:r>
        <w:t>ства.</w:t>
      </w:r>
    </w:p>
    <w:p w:rsidR="00000000" w:rsidRDefault="00000000">
      <w:pPr>
        <w:pStyle w:val="SingleTxt"/>
      </w:pPr>
      <w:r>
        <w:t>Закон об изолированном превентивном заключении (</w:t>
      </w:r>
      <w:r>
        <w:rPr>
          <w:lang w:val="en-US"/>
        </w:rPr>
        <w:t>Gesetz</w:t>
      </w:r>
      <w:r>
        <w:t xml:space="preserve"> </w:t>
      </w:r>
      <w:r>
        <w:rPr>
          <w:lang w:val="en-US"/>
        </w:rPr>
        <w:t>zur</w:t>
      </w:r>
      <w:r>
        <w:t xml:space="preserve"> </w:t>
      </w:r>
      <w:r>
        <w:rPr>
          <w:lang w:val="en-US"/>
        </w:rPr>
        <w:t>Einfuhrung</w:t>
      </w:r>
      <w:r>
        <w:t xml:space="preserve"> </w:t>
      </w:r>
      <w:r>
        <w:rPr>
          <w:lang w:val="en-US"/>
        </w:rPr>
        <w:t>der</w:t>
      </w:r>
      <w:r>
        <w:t xml:space="preserve"> </w:t>
      </w:r>
      <w:r>
        <w:rPr>
          <w:lang w:val="en-US"/>
        </w:rPr>
        <w:t>vorbehaltenen</w:t>
      </w:r>
      <w:r>
        <w:t xml:space="preserve"> </w:t>
      </w:r>
      <w:r>
        <w:rPr>
          <w:lang w:val="en-US"/>
        </w:rPr>
        <w:t>Sicherungsverwagrung</w:t>
      </w:r>
      <w:r>
        <w:t>), вступивший в силу 28 августа 2002 года, в частности, обеспечивает дальнейшее повышение эффективности защиты женщин и детей от опасных сексуальных преступников. Этот закон предусматривает, что суд, выносящий решение в определенных случаях, может оставить за собой право санкционировать превентивное заключение и что окончательное решение выносится лишь после того, как по отбытию части н</w:t>
      </w:r>
      <w:r>
        <w:t>а</w:t>
      </w:r>
      <w:r>
        <w:t>казания осужденный признается рец</w:t>
      </w:r>
      <w:r>
        <w:t>и</w:t>
      </w:r>
      <w:r>
        <w:t>дивистом.</w:t>
      </w:r>
    </w:p>
    <w:p w:rsidR="00000000" w:rsidRDefault="00000000">
      <w:pPr>
        <w:pStyle w:val="SingleTxt"/>
      </w:pPr>
      <w:r>
        <w:t>Первый периодический доклад федерального правительства по вопросам безопасности свидетельствует о том, что после 1997 года численность прест</w:t>
      </w:r>
      <w:r>
        <w:t>у</w:t>
      </w:r>
      <w:r>
        <w:t>плений на сексуальной почве перестала расти, снизилась в своей совокупности и в течение последних лет оставалась на относительна одном и том же уровне. Предполагается, что их рост до 1997 года вызван тем, что население перестало бояться выдвигать обвинения по мере роста уровня своей осведомленности. В соответствии со статистическими данными уголовной полиции, подготовле</w:t>
      </w:r>
      <w:r>
        <w:t>н</w:t>
      </w:r>
      <w:r>
        <w:t>ными федеральным управлением криминальной полиции, в 2001 году было з</w:t>
      </w:r>
      <w:r>
        <w:t>а</w:t>
      </w:r>
      <w:r>
        <w:t>регистрировано в общей сложности 15 117 случаев сексуального насилия над детьми (разделы 176, 176а и 176</w:t>
      </w:r>
      <w:r>
        <w:rPr>
          <w:lang w:val="en-US"/>
        </w:rPr>
        <w:t>b</w:t>
      </w:r>
      <w:r>
        <w:t xml:space="preserve"> Уголовного кодекса). В предшествующем г</w:t>
      </w:r>
      <w:r>
        <w:t>о</w:t>
      </w:r>
      <w:r>
        <w:t xml:space="preserve">ду этот показатель был на 3 процента выше. </w:t>
      </w:r>
      <w:r>
        <w:rPr>
          <w:caps/>
        </w:rPr>
        <w:t>к</w:t>
      </w:r>
      <w:r>
        <w:t>роме того, в 1 014 случаях (по сравнению с 1 009 случаями в 2000 году) дети пострадали от сексуального н</w:t>
      </w:r>
      <w:r>
        <w:t>а</w:t>
      </w:r>
      <w:r>
        <w:t>силия со стороны лиц, воспользовавшихся своим служебным положением или основанных на доверии взаимоотношениях (разделы 174 и 174 а-с Уголовного кодекса).</w:t>
      </w:r>
    </w:p>
    <w:p w:rsidR="00000000" w:rsidRDefault="00000000">
      <w:pPr>
        <w:pStyle w:val="SingleTxt"/>
      </w:pPr>
      <w:r>
        <w:t>Федеральное министерство по делам семьи, пожилых граждан, женщин и молодежи оказывает поддержку работе по просвещению и профилактике п</w:t>
      </w:r>
      <w:r>
        <w:t>о</w:t>
      </w:r>
      <w:r>
        <w:t>средством содействия отдельным мерам и оказания финансовой помощи це</w:t>
      </w:r>
      <w:r>
        <w:t>н</w:t>
      </w:r>
      <w:r>
        <w:t>тральным федеральным ведомствам. Кроме того, в целях обеспечить повыш</w:t>
      </w:r>
      <w:r>
        <w:t>е</w:t>
      </w:r>
      <w:r>
        <w:t>ние квалификации специалистов оказывается содействие многим мероприят</w:t>
      </w:r>
      <w:r>
        <w:t>и</w:t>
      </w:r>
      <w:r>
        <w:t>ям, специализированным конгрессам, конференциям для специалистов и раб</w:t>
      </w:r>
      <w:r>
        <w:t>о</w:t>
      </w:r>
      <w:r>
        <w:t>чим группам в интересах более эффективного обмена опытом и дальнейшей разработки концепций, посвященных борьбе против сексуального насилия над детьми. В связи с этим можно привести нижесл</w:t>
      </w:r>
      <w:r>
        <w:t>е</w:t>
      </w:r>
      <w:r>
        <w:t>дующие примеры:</w:t>
      </w:r>
    </w:p>
    <w:p w:rsidR="00000000" w:rsidRDefault="00000000">
      <w:pPr>
        <w:pStyle w:val="dot"/>
      </w:pPr>
      <w:r>
        <w:tab/>
      </w:r>
      <w:r>
        <w:tab/>
        <w:t>•</w:t>
      </w:r>
      <w:r>
        <w:tab/>
      </w:r>
      <w:r>
        <w:rPr>
          <w:caps/>
        </w:rPr>
        <w:t>п</w:t>
      </w:r>
      <w:r>
        <w:t>убликация брошюр “</w:t>
      </w:r>
      <w:r>
        <w:rPr>
          <w:caps/>
        </w:rPr>
        <w:t>с</w:t>
      </w:r>
      <w:r>
        <w:t>ексуальные домогательства – предотвращение и помощь”, “Сексуальное насилие в отношении детей и подростков – кто может помочь?”, “Комиксы о просвещении и предотвращении”;</w:t>
      </w:r>
    </w:p>
    <w:p w:rsidR="00000000" w:rsidRDefault="00000000">
      <w:pPr>
        <w:pStyle w:val="dot"/>
      </w:pPr>
      <w:r>
        <w:tab/>
      </w:r>
      <w:r>
        <w:tab/>
        <w:t>•</w:t>
      </w:r>
      <w:r>
        <w:tab/>
        <w:t>Публикация специального послания, адресованного родителям и озагла</w:t>
      </w:r>
      <w:r>
        <w:t>в</w:t>
      </w:r>
      <w:r>
        <w:t>ленного “Дети не должны быть инфантильными – предотвращение секс</w:t>
      </w:r>
      <w:r>
        <w:t>у</w:t>
      </w:r>
      <w:r>
        <w:t>ал</w:t>
      </w:r>
      <w:r>
        <w:t>ь</w:t>
      </w:r>
      <w:r>
        <w:t>ных домогательств”;</w:t>
      </w:r>
    </w:p>
    <w:p w:rsidR="00000000" w:rsidRDefault="00000000">
      <w:pPr>
        <w:pStyle w:val="dot"/>
      </w:pPr>
      <w:r>
        <w:tab/>
      </w:r>
      <w:r>
        <w:tab/>
        <w:t>•</w:t>
      </w:r>
      <w:r>
        <w:tab/>
        <w:t>Содействие съемкам фильма “Я достаточно уверенна в себе, чтобы ск</w:t>
      </w:r>
      <w:r>
        <w:t>а</w:t>
      </w:r>
      <w:r>
        <w:t>зать ДА или НЕТ”;</w:t>
      </w:r>
    </w:p>
    <w:p w:rsidR="00000000" w:rsidRDefault="00000000">
      <w:pPr>
        <w:pStyle w:val="dot"/>
      </w:pPr>
      <w:r>
        <w:tab/>
      </w:r>
      <w:r>
        <w:tab/>
        <w:t>•</w:t>
      </w:r>
      <w:r>
        <w:tab/>
        <w:t>Создание компакт-диска “лав-лайн” – мультимедийного просветительск</w:t>
      </w:r>
      <w:r>
        <w:t>о</w:t>
      </w:r>
      <w:r>
        <w:t>го издания, посвященного вопросам любви, партнерства и сексуальности для подростков старше 14 лет, на котором обсуждаются проблемы запуг</w:t>
      </w:r>
      <w:r>
        <w:t>и</w:t>
      </w:r>
      <w:r>
        <w:t>в</w:t>
      </w:r>
      <w:r>
        <w:t>а</w:t>
      </w:r>
      <w:r>
        <w:t>ния, домогательств, совращения и изнасилования;</w:t>
      </w:r>
    </w:p>
    <w:p w:rsidR="00000000" w:rsidRDefault="00000000">
      <w:pPr>
        <w:pStyle w:val="dot"/>
      </w:pPr>
      <w:r>
        <w:tab/>
      </w:r>
      <w:r>
        <w:tab/>
        <w:t>•</w:t>
      </w:r>
      <w:r>
        <w:tab/>
        <w:t>С 1998 года оказывается содействие увеличению в национальном масшт</w:t>
      </w:r>
      <w:r>
        <w:t>а</w:t>
      </w:r>
      <w:r>
        <w:t>бе числа кризисных телефонных служб для свободного анонимного ко</w:t>
      </w:r>
      <w:r>
        <w:t>н</w:t>
      </w:r>
      <w:r>
        <w:t>сультирования детей и подростков, а с марта 2001 года также оказывается содействие учреждению служб консультирования родит</w:t>
      </w:r>
      <w:r>
        <w:t>е</w:t>
      </w:r>
      <w:r>
        <w:t>лей по телефону;</w:t>
      </w:r>
    </w:p>
    <w:p w:rsidR="00000000" w:rsidRDefault="00000000">
      <w:pPr>
        <w:pStyle w:val="dot"/>
      </w:pPr>
      <w:r>
        <w:tab/>
      </w:r>
      <w:r>
        <w:tab/>
        <w:t>•</w:t>
      </w:r>
      <w:r>
        <w:tab/>
        <w:t>С 1999 года оказывается поддержка проекту по созданию немецкого це</w:t>
      </w:r>
      <w:r>
        <w:t>н</w:t>
      </w:r>
      <w:r>
        <w:t>тра по защите детей “Виртуальный центр защиты детей – интерактивная помощь детям и родителям”, который должен распространять информ</w:t>
      </w:r>
      <w:r>
        <w:t>а</w:t>
      </w:r>
      <w:r>
        <w:t>цию, налаживать контакты и консультировать. Эта концепция увязана с работой центров по защите детей. Предполагается, что этот коммуник</w:t>
      </w:r>
      <w:r>
        <w:t>а</w:t>
      </w:r>
      <w:r>
        <w:t>тивный, новаторский подход облегчит для детей, подростков и их родит</w:t>
      </w:r>
      <w:r>
        <w:t>е</w:t>
      </w:r>
      <w:r>
        <w:t>лей обращение в у</w:t>
      </w:r>
      <w:r>
        <w:t>ч</w:t>
      </w:r>
      <w:r>
        <w:t>реждения по оказанию помощи;</w:t>
      </w:r>
    </w:p>
    <w:p w:rsidR="00000000" w:rsidRDefault="00000000">
      <w:pPr>
        <w:pStyle w:val="dot"/>
      </w:pPr>
      <w:r>
        <w:tab/>
      </w:r>
      <w:r>
        <w:tab/>
        <w:t>•</w:t>
      </w:r>
      <w:r>
        <w:tab/>
        <w:t>Ассоциации средств массовой информации – программа повышения кв</w:t>
      </w:r>
      <w:r>
        <w:t>а</w:t>
      </w:r>
      <w:r>
        <w:t>лификации “Сексуальное насилие над детьми – предотвращение и п</w:t>
      </w:r>
      <w:r>
        <w:t>о</w:t>
      </w:r>
      <w:r>
        <w:t>мощь”. Видеофильм под названием “Анна, мы с тобой!” и сопутствующая книга.</w:t>
      </w:r>
    </w:p>
    <w:p w:rsidR="00000000" w:rsidRDefault="00000000">
      <w:pPr>
        <w:pStyle w:val="dot"/>
      </w:pPr>
      <w:r>
        <w:tab/>
      </w:r>
      <w:r>
        <w:tab/>
        <w:t>•</w:t>
      </w:r>
      <w:r>
        <w:tab/>
        <w:t>Форумы по защите детей федерального рабочего объединения центров по з</w:t>
      </w:r>
      <w:r>
        <w:t>а</w:t>
      </w:r>
      <w:r>
        <w:t>щите детей;</w:t>
      </w:r>
    </w:p>
    <w:p w:rsidR="00000000" w:rsidRDefault="00000000">
      <w:pPr>
        <w:pStyle w:val="dot"/>
      </w:pPr>
      <w:r>
        <w:tab/>
      </w:r>
      <w:r>
        <w:tab/>
        <w:t>•</w:t>
      </w:r>
      <w:r>
        <w:tab/>
        <w:t>Специализированный конгресс, специализированные встречи, заседания эк</w:t>
      </w:r>
      <w:r>
        <w:t>с</w:t>
      </w:r>
      <w:r>
        <w:t>пертов по темам:</w:t>
      </w:r>
    </w:p>
    <w:p w:rsidR="00000000" w:rsidRDefault="00000000">
      <w:pPr>
        <w:pStyle w:val="dot"/>
        <w:tabs>
          <w:tab w:val="clear" w:pos="1267"/>
          <w:tab w:val="clear" w:pos="1685"/>
          <w:tab w:val="clear" w:pos="1742"/>
        </w:tabs>
        <w:ind w:left="2268"/>
      </w:pPr>
      <w:r>
        <w:t>-</w:t>
      </w:r>
      <w:r>
        <w:tab/>
        <w:t>“Детская порнография – продукт новых средств массовой информ</w:t>
      </w:r>
      <w:r>
        <w:t>а</w:t>
      </w:r>
      <w:r>
        <w:t>ции?”,</w:t>
      </w:r>
    </w:p>
    <w:p w:rsidR="00000000" w:rsidRDefault="00000000">
      <w:pPr>
        <w:pStyle w:val="dot"/>
        <w:tabs>
          <w:tab w:val="clear" w:pos="1267"/>
          <w:tab w:val="clear" w:pos="1685"/>
          <w:tab w:val="clear" w:pos="1742"/>
        </w:tabs>
        <w:ind w:left="2268"/>
      </w:pPr>
      <w:r>
        <w:t>-</w:t>
      </w:r>
      <w:r>
        <w:tab/>
        <w:t>“Дети – свидетели в ситуации чрезвычайной защиты свидетелей в случае се</w:t>
      </w:r>
      <w:r>
        <w:t>к</w:t>
      </w:r>
      <w:r>
        <w:t>суального насилия”,</w:t>
      </w:r>
    </w:p>
    <w:p w:rsidR="00000000" w:rsidRDefault="00000000">
      <w:pPr>
        <w:pStyle w:val="dot"/>
        <w:tabs>
          <w:tab w:val="clear" w:pos="1267"/>
          <w:tab w:val="clear" w:pos="1685"/>
          <w:tab w:val="clear" w:pos="1742"/>
        </w:tabs>
        <w:ind w:left="2268"/>
      </w:pPr>
      <w:r>
        <w:t>-</w:t>
      </w:r>
      <w:r>
        <w:tab/>
        <w:t>Преступники – потребность в индивидуальном подходе”,</w:t>
      </w:r>
    </w:p>
    <w:p w:rsidR="00000000" w:rsidRDefault="00000000">
      <w:pPr>
        <w:pStyle w:val="dot"/>
        <w:tabs>
          <w:tab w:val="clear" w:pos="1267"/>
          <w:tab w:val="clear" w:pos="1685"/>
          <w:tab w:val="clear" w:pos="1742"/>
        </w:tabs>
        <w:ind w:left="2268"/>
      </w:pPr>
      <w:r>
        <w:t>-</w:t>
      </w:r>
      <w:r>
        <w:tab/>
        <w:t>Курсы для родителей “Предотвращение насилия”,</w:t>
      </w:r>
    </w:p>
    <w:p w:rsidR="00000000" w:rsidRDefault="00000000">
      <w:pPr>
        <w:pStyle w:val="dot"/>
        <w:tabs>
          <w:tab w:val="clear" w:pos="1267"/>
          <w:tab w:val="clear" w:pos="1685"/>
          <w:tab w:val="clear" w:pos="1742"/>
        </w:tabs>
        <w:ind w:left="2268"/>
      </w:pPr>
      <w:r>
        <w:t>-</w:t>
      </w:r>
      <w:r>
        <w:tab/>
        <w:t>“Обеспечение качества и сексуальное насилие в отношении детей”,</w:t>
      </w:r>
    </w:p>
    <w:p w:rsidR="00000000" w:rsidRDefault="00000000">
      <w:pPr>
        <w:pStyle w:val="dot"/>
        <w:tabs>
          <w:tab w:val="clear" w:pos="1267"/>
          <w:tab w:val="clear" w:pos="1685"/>
          <w:tab w:val="clear" w:pos="1742"/>
        </w:tabs>
        <w:ind w:left="2268"/>
      </w:pPr>
      <w:r>
        <w:t>-</w:t>
      </w:r>
      <w:r>
        <w:tab/>
        <w:t>“Проекты в области профилактики для молодых родителей”,</w:t>
      </w:r>
    </w:p>
    <w:p w:rsidR="00000000" w:rsidRDefault="00000000">
      <w:pPr>
        <w:pStyle w:val="dot"/>
        <w:tabs>
          <w:tab w:val="clear" w:pos="1267"/>
          <w:tab w:val="clear" w:pos="1685"/>
          <w:tab w:val="clear" w:pos="1742"/>
        </w:tabs>
        <w:ind w:left="2268"/>
      </w:pPr>
      <w:r>
        <w:t>-</w:t>
      </w:r>
      <w:r>
        <w:tab/>
        <w:t>“Интернет – поле деятельности в интересах защиты детей и оказания помощи м</w:t>
      </w:r>
      <w:r>
        <w:t>о</w:t>
      </w:r>
      <w:r>
        <w:t>лодежи”</w:t>
      </w:r>
    </w:p>
    <w:p w:rsidR="00000000" w:rsidRDefault="00000000">
      <w:pPr>
        <w:pStyle w:val="H1"/>
      </w:pPr>
      <w:bookmarkStart w:id="412" w:name="_Toc44113504"/>
      <w:bookmarkStart w:id="413" w:name="_Toc44113802"/>
      <w:bookmarkStart w:id="414" w:name="_Toc44114310"/>
      <w:bookmarkStart w:id="415" w:name="_Toc44115558"/>
      <w:bookmarkStart w:id="416" w:name="_Toc44115987"/>
      <w:r>
        <w:t>6.</w:t>
      </w:r>
      <w:r>
        <w:tab/>
        <w:t xml:space="preserve">Статья 6: </w:t>
      </w:r>
      <w:r>
        <w:rPr>
          <w:caps/>
        </w:rPr>
        <w:t>п</w:t>
      </w:r>
      <w:r>
        <w:t>ресечение торговли женщинами и эксплуатации пр</w:t>
      </w:r>
      <w:r>
        <w:t>о</w:t>
      </w:r>
      <w:r>
        <w:t>ституции женщин</w:t>
      </w:r>
      <w:bookmarkEnd w:id="412"/>
      <w:bookmarkEnd w:id="413"/>
      <w:bookmarkEnd w:id="414"/>
      <w:bookmarkEnd w:id="415"/>
      <w:bookmarkEnd w:id="416"/>
    </w:p>
    <w:p w:rsidR="00000000" w:rsidRDefault="00000000">
      <w:pPr>
        <w:pStyle w:val="SingleTxt"/>
        <w:ind w:left="1740" w:hanging="476"/>
        <w:rPr>
          <w:i/>
        </w:rPr>
      </w:pPr>
      <w:r>
        <w:rPr>
          <w:i/>
        </w:rPr>
        <w:tab/>
      </w:r>
      <w:r>
        <w:rPr>
          <w:i/>
        </w:rPr>
        <w:tab/>
        <w:t>Статья 6</w:t>
      </w:r>
    </w:p>
    <w:p w:rsidR="00000000" w:rsidRDefault="00000000">
      <w:pPr>
        <w:pStyle w:val="SingleTxt"/>
        <w:ind w:left="1740" w:hanging="476"/>
        <w:rPr>
          <w:i/>
        </w:rPr>
      </w:pPr>
      <w:r>
        <w:rPr>
          <w:i/>
        </w:rPr>
        <w:tab/>
      </w:r>
      <w:r>
        <w:rPr>
          <w:i/>
        </w:rPr>
        <w:tab/>
        <w:t>Государства-участники принимают все соответствующие меры, вкл</w:t>
      </w:r>
      <w:r>
        <w:rPr>
          <w:i/>
        </w:rPr>
        <w:t>ю</w:t>
      </w:r>
      <w:r>
        <w:rPr>
          <w:i/>
        </w:rPr>
        <w:t>чая законодательные, для пресечения всех видов торговли женщинами и эк</w:t>
      </w:r>
      <w:r>
        <w:rPr>
          <w:i/>
        </w:rPr>
        <w:t>с</w:t>
      </w:r>
      <w:r>
        <w:rPr>
          <w:i/>
        </w:rPr>
        <w:t>плуатации проституции женщин.</w:t>
      </w:r>
    </w:p>
    <w:p w:rsidR="00000000" w:rsidRDefault="00000000">
      <w:pPr>
        <w:pStyle w:val="SingleTxt"/>
      </w:pPr>
      <w:r>
        <w:t>В дополнение к предыдущему докладу можно сделать следующие замеч</w:t>
      </w:r>
      <w:r>
        <w:t>а</w:t>
      </w:r>
      <w:r>
        <w:t>ния, особо отметив при этом, что положения, описанные в предыдущем наци</w:t>
      </w:r>
      <w:r>
        <w:t>о</w:t>
      </w:r>
      <w:r>
        <w:t>нальном докладе, по-прежнему сохраняют свою силу.</w:t>
      </w:r>
    </w:p>
    <w:p w:rsidR="00000000" w:rsidRDefault="00000000">
      <w:pPr>
        <w:pStyle w:val="H23"/>
      </w:pPr>
      <w:bookmarkStart w:id="417" w:name="_Toc44113505"/>
      <w:bookmarkStart w:id="418" w:name="_Toc44113803"/>
      <w:bookmarkStart w:id="419" w:name="_Toc44114311"/>
      <w:bookmarkStart w:id="420" w:name="_Toc44115559"/>
      <w:bookmarkStart w:id="421" w:name="_Toc44115988"/>
      <w:r>
        <w:t>6.1</w:t>
      </w:r>
      <w:r>
        <w:tab/>
        <w:t>Меры по борьбе с торговлей детьми и женщинами, детской порнографией и сексуальным т</w:t>
      </w:r>
      <w:r>
        <w:t>у</w:t>
      </w:r>
      <w:r>
        <w:t>ризмом</w:t>
      </w:r>
      <w:bookmarkEnd w:id="417"/>
      <w:bookmarkEnd w:id="418"/>
      <w:bookmarkEnd w:id="419"/>
      <w:bookmarkEnd w:id="420"/>
      <w:bookmarkEnd w:id="421"/>
    </w:p>
    <w:p w:rsidR="00000000" w:rsidRDefault="00000000">
      <w:pPr>
        <w:pStyle w:val="SingleTxt"/>
      </w:pPr>
      <w:r>
        <w:t>В программе действий по борьбе с нищетой 2015 года, представленной федеральным правительством в апреле 2001 года вследствие принятия Декл</w:t>
      </w:r>
      <w:r>
        <w:t>а</w:t>
      </w:r>
      <w:r>
        <w:t>рации тысячелетия Организации Объединенных Наций, утверждается, что пр</w:t>
      </w:r>
      <w:r>
        <w:t>и</w:t>
      </w:r>
      <w:r>
        <w:t>чины нищеты кроются также и в отсутствии равноправия между мужчинами и женщинами. Одним из предусмотренных программой направлений действий является искоренение торговли женщинами, эксплуатации проституции же</w:t>
      </w:r>
      <w:r>
        <w:t>н</w:t>
      </w:r>
      <w:r>
        <w:t>щин и детской проституции. Федеральное правительство планирует предост</w:t>
      </w:r>
      <w:r>
        <w:t>а</w:t>
      </w:r>
      <w:r>
        <w:t>вить детям и женщинами развивающихся стран, находящимся в ситуации ри</w:t>
      </w:r>
      <w:r>
        <w:t>с</w:t>
      </w:r>
      <w:r>
        <w:t>ка, специальную поддержку с тем, чтобы повысить их шансы на получение о</w:t>
      </w:r>
      <w:r>
        <w:t>п</w:t>
      </w:r>
      <w:r>
        <w:t>лач</w:t>
      </w:r>
      <w:r>
        <w:t>и</w:t>
      </w:r>
      <w:r>
        <w:t>ваемой работы и улучшить виды на будущее.</w:t>
      </w:r>
    </w:p>
    <w:p w:rsidR="00000000" w:rsidRDefault="00000000">
      <w:pPr>
        <w:pStyle w:val="SingleTxt"/>
      </w:pPr>
      <w:r>
        <w:t>Например, Германская служба развития предоставляет консультации Це</w:t>
      </w:r>
      <w:r>
        <w:t>н</w:t>
      </w:r>
      <w:r>
        <w:t>тру комплексной ориентации и исследований в Доминиканской Республике, к</w:t>
      </w:r>
      <w:r>
        <w:t>о</w:t>
      </w:r>
      <w:r>
        <w:t>торый проводит среди женщин разъяснительную работу по вопросам реальных условий эмиграции и помогает им найти альтернативные источники дохода. В целях оказания помощи уже пострадавшим женщинам федеральное министе</w:t>
      </w:r>
      <w:r>
        <w:t>р</w:t>
      </w:r>
      <w:r>
        <w:t>ство экономического сотрудничества и развития уже выделило 1,48 млн. н</w:t>
      </w:r>
      <w:r>
        <w:t>е</w:t>
      </w:r>
      <w:r>
        <w:t>мецких марок на осуществление программ солидарности с женщинами, нах</w:t>
      </w:r>
      <w:r>
        <w:t>о</w:t>
      </w:r>
      <w:r>
        <w:t xml:space="preserve">дящимися в трудной ситуации. Эти программы нацелены на создание условий для возвращения женщин из развивающихся стран и </w:t>
      </w:r>
      <w:r>
        <w:rPr>
          <w:caps/>
        </w:rPr>
        <w:t>ю</w:t>
      </w:r>
      <w:r>
        <w:t>го-</w:t>
      </w:r>
      <w:r>
        <w:rPr>
          <w:caps/>
        </w:rPr>
        <w:t>в</w:t>
      </w:r>
      <w:r>
        <w:t>осточной Европы на родину и строительства дальнейшей жизни в условиях безопасности путем самостоятельного устройства на работу или открытия собственного дела. Кр</w:t>
      </w:r>
      <w:r>
        <w:t>о</w:t>
      </w:r>
      <w:r>
        <w:t>ме того, на средства, выделяемые в рамках программы действий, осуществл</w:t>
      </w:r>
      <w:r>
        <w:t>я</w:t>
      </w:r>
      <w:r>
        <w:t>ется проект МОТ и Международной программы по упразднению детского тр</w:t>
      </w:r>
      <w:r>
        <w:t>у</w:t>
      </w:r>
      <w:r>
        <w:t>да, цель которого состоит в пресечении торговли детьми несовершеннолетними в Балканском регионе и Украине.</w:t>
      </w:r>
    </w:p>
    <w:p w:rsidR="00000000" w:rsidRDefault="00000000">
      <w:pPr>
        <w:pStyle w:val="SingleTxt"/>
      </w:pPr>
      <w:r>
        <w:t>Федеральное правительство придает существенное значение эффективн</w:t>
      </w:r>
      <w:r>
        <w:t>о</w:t>
      </w:r>
      <w:r>
        <w:t>му уголовному преследованию за торговлю людьми, а также за детскую порн</w:t>
      </w:r>
      <w:r>
        <w:t>о</w:t>
      </w:r>
      <w:r>
        <w:t>графию и сексуальный туризм. Следует отметить, что эти преступления, ос</w:t>
      </w:r>
      <w:r>
        <w:t>о</w:t>
      </w:r>
      <w:r>
        <w:t>бенно связанные с пересечением национальных границ, совершаются во мн</w:t>
      </w:r>
      <w:r>
        <w:t>о</w:t>
      </w:r>
      <w:r>
        <w:t>гих формах, в том числе с использованием информационных технологий в к</w:t>
      </w:r>
      <w:r>
        <w:t>а</w:t>
      </w:r>
      <w:r>
        <w:t>честве «места совершения преступления». Предоставить информацию о числе таких преступлений практически невозможно, поскольку «серая область», о которой идет речь, весьма обширна. Согласно полицейской уголовной стат</w:t>
      </w:r>
      <w:r>
        <w:t>и</w:t>
      </w:r>
      <w:r>
        <w:t>стике, в 2000 году в Германии полиции стало известно о 1 197 жертвах торго</w:t>
      </w:r>
      <w:r>
        <w:t>в</w:t>
      </w:r>
      <w:r>
        <w:t>ли людьми, из которых 1 174 были женщины.</w:t>
      </w:r>
    </w:p>
    <w:p w:rsidR="00000000" w:rsidRDefault="00000000">
      <w:pPr>
        <w:pStyle w:val="SingleTxt"/>
      </w:pPr>
      <w:r>
        <w:t>В 2000 году в качестве жертв торговли людьми (по статье 180</w:t>
      </w:r>
      <w:r>
        <w:rPr>
          <w:lang w:val="en-US"/>
        </w:rPr>
        <w:t>b</w:t>
      </w:r>
      <w:r>
        <w:t xml:space="preserve"> и пунктам 2 и 3 подраздела 1 статьи 181 Уголовного кодекса) было зарегистрировано 926 человек (почти исключительно женщины). В 1999 году общее число жертв составило 831 человека (из которых 23 были мужчины), в 1998 году – 189 человек (из которых 16 были мужчины). По данным обзора, проведенного Федеральным управлением уголовной полиции (доклад 2000 года о состоянии дел в вопросе торговле людьми), в 2000 году 81,5 % жертв были выходцами из государств </w:t>
      </w:r>
      <w:r>
        <w:rPr>
          <w:caps/>
        </w:rPr>
        <w:t>ц</w:t>
      </w:r>
      <w:r>
        <w:t xml:space="preserve">ентральной и </w:t>
      </w:r>
      <w:r>
        <w:rPr>
          <w:caps/>
        </w:rPr>
        <w:t>в</w:t>
      </w:r>
      <w:r>
        <w:t>осточной Европы, в том числе 115 человек из У</w:t>
      </w:r>
      <w:r>
        <w:t>к</w:t>
      </w:r>
      <w:r>
        <w:t>раины (около 12,4 %), 140 человек из России (около 15,1 %) и 162 человека из Литвы (около 17,5 %).</w:t>
      </w:r>
    </w:p>
    <w:p w:rsidR="00000000" w:rsidRDefault="00000000">
      <w:pPr>
        <w:pStyle w:val="SingleTxt"/>
      </w:pPr>
      <w:r>
        <w:t xml:space="preserve">В рамках </w:t>
      </w:r>
      <w:r>
        <w:rPr>
          <w:caps/>
        </w:rPr>
        <w:t>е</w:t>
      </w:r>
      <w:r>
        <w:t xml:space="preserve">вропейского союза, </w:t>
      </w:r>
      <w:r>
        <w:rPr>
          <w:caps/>
        </w:rPr>
        <w:t>с</w:t>
      </w:r>
      <w:r>
        <w:t>овета Европы, Группы 8 и ООН, а также многих других международных органов, организаций и мероприятий фед</w:t>
      </w:r>
      <w:r>
        <w:t>е</w:t>
      </w:r>
      <w:r>
        <w:t>ральное правительство принимает активные меры по борьбе с торговлей дет</w:t>
      </w:r>
      <w:r>
        <w:t>ь</w:t>
      </w:r>
      <w:r>
        <w:t>ми и женщинами, детской порнографией и сексуальным туризмом. Следует о</w:t>
      </w:r>
      <w:r>
        <w:t>т</w:t>
      </w:r>
      <w:r>
        <w:t>метить, что эти вопросы в последние годы пользуются все большим вниманием на международном уровне, и эта тенденция получает поддержку со стороны федерального правительства. Например, министерство иностранных дел вместе с ОБСЕ 15-16 октября 2001 года провели международную конференцию на т</w:t>
      </w:r>
      <w:r>
        <w:t>е</w:t>
      </w:r>
      <w:r>
        <w:t>му «Европа против торговли людьми», в ходе которой были, в частности, ра</w:t>
      </w:r>
      <w:r>
        <w:t>з</w:t>
      </w:r>
      <w:r>
        <w:t>работаны рекомендации по совершенствованию защиты жертв.</w:t>
      </w:r>
    </w:p>
    <w:p w:rsidR="00000000" w:rsidRDefault="00000000">
      <w:pPr>
        <w:pStyle w:val="SingleTxt"/>
      </w:pPr>
      <w:r>
        <w:t>Кроме того, федеральное правительство играло активную роль на перег</w:t>
      </w:r>
      <w:r>
        <w:t>о</w:t>
      </w:r>
      <w:r>
        <w:t>ворах по Протоколу о предупреждении и пресечении торговли людьми, ос</w:t>
      </w:r>
      <w:r>
        <w:t>о</w:t>
      </w:r>
      <w:r>
        <w:t xml:space="preserve">бенно женщинами и детьми, и наказании за нее, дополняющему </w:t>
      </w:r>
      <w:r>
        <w:rPr>
          <w:caps/>
        </w:rPr>
        <w:t>к</w:t>
      </w:r>
      <w:r>
        <w:t>онвенцию Организации Объединенных Наций против транснациональной организованной преступности, и подписало этот Протокол еще в декабре 2000 года. Началась подготовка к процедуре ратифик</w:t>
      </w:r>
      <w:r>
        <w:t>а</w:t>
      </w:r>
      <w:r>
        <w:t>ции.</w:t>
      </w:r>
    </w:p>
    <w:p w:rsidR="00000000" w:rsidRDefault="00000000">
      <w:pPr>
        <w:pStyle w:val="SingleTxt"/>
      </w:pPr>
      <w:r>
        <w:t>Обращается внимание на информацию, содержащуюся в пункте 5.3.4 и касающуюся дальнейших международных мер, например, рамочных решений о борьбе с торговлей людьми и о борьбе с сексуальной эксплуатацией детей и детской порнографией.</w:t>
      </w:r>
    </w:p>
    <w:p w:rsidR="00000000" w:rsidRDefault="00000000">
      <w:pPr>
        <w:pStyle w:val="SingleTxt"/>
      </w:pPr>
      <w:r>
        <w:t>Другие меры в рамках ЕС включали разработку программы ЕС по оказ</w:t>
      </w:r>
      <w:r>
        <w:t>а</w:t>
      </w:r>
      <w:r>
        <w:t>нию помощи и обмену информацией для лиц, отвечающих за мероприятия по борьбе с торговлей людьми и сексуальной эксплуатацией детей, а также ра</w:t>
      </w:r>
      <w:r>
        <w:t>с</w:t>
      </w:r>
      <w:r>
        <w:t xml:space="preserve">ширение круга ведения </w:t>
      </w:r>
      <w:r>
        <w:rPr>
          <w:caps/>
        </w:rPr>
        <w:t>е</w:t>
      </w:r>
      <w:r>
        <w:t>вропола за счет наделения его полномочиями по борьбе с торговлей людьми.</w:t>
      </w:r>
    </w:p>
    <w:p w:rsidR="00000000" w:rsidRDefault="00000000">
      <w:pPr>
        <w:pStyle w:val="SingleTxt"/>
      </w:pPr>
      <w:r>
        <w:t xml:space="preserve">Федеральное правительство ежегодно информирует о своей деятельности по борьбе с торговлей женщинами и детьми </w:t>
      </w:r>
      <w:r>
        <w:rPr>
          <w:caps/>
        </w:rPr>
        <w:t>г</w:t>
      </w:r>
      <w:r>
        <w:t>енерального секретаря Организ</w:t>
      </w:r>
      <w:r>
        <w:t>а</w:t>
      </w:r>
      <w:r>
        <w:t xml:space="preserve">ции </w:t>
      </w:r>
      <w:r>
        <w:rPr>
          <w:caps/>
        </w:rPr>
        <w:t>о</w:t>
      </w:r>
      <w:r>
        <w:t xml:space="preserve">бъединенных </w:t>
      </w:r>
      <w:r>
        <w:rPr>
          <w:caps/>
        </w:rPr>
        <w:t>н</w:t>
      </w:r>
      <w:r>
        <w:t>аций, предоставляя информацию для его доклада Ген</w:t>
      </w:r>
      <w:r>
        <w:t>е</w:t>
      </w:r>
      <w:r>
        <w:t>ральной Ассамблее. Федеральное правительство располагает докладами Сп</w:t>
      </w:r>
      <w:r>
        <w:t>е</w:t>
      </w:r>
      <w:r>
        <w:t>циального докладчика ООН, озаглавленными «Насилие в отношении женщин», которые переведены на немецкий язык, опубликованы и предоставляются бе</w:t>
      </w:r>
      <w:r>
        <w:t>с</w:t>
      </w:r>
      <w:r>
        <w:t>платно всем заинт</w:t>
      </w:r>
      <w:r>
        <w:t>е</w:t>
      </w:r>
      <w:r>
        <w:t>ресованным сторонам.</w:t>
      </w:r>
    </w:p>
    <w:p w:rsidR="00000000" w:rsidRDefault="00000000">
      <w:pPr>
        <w:pStyle w:val="H23"/>
      </w:pPr>
      <w:bookmarkStart w:id="422" w:name="_Toc44113506"/>
      <w:bookmarkStart w:id="423" w:name="_Toc44113804"/>
      <w:bookmarkStart w:id="424" w:name="_Toc44114312"/>
      <w:bookmarkStart w:id="425" w:name="_Toc44115560"/>
      <w:bookmarkStart w:id="426" w:name="_Toc44115989"/>
      <w:r>
        <w:t>6.2 </w:t>
      </w:r>
      <w:r>
        <w:tab/>
        <w:t>Создание рабочей группы по борьбе с торговлей женщинами</w:t>
      </w:r>
      <w:bookmarkEnd w:id="422"/>
      <w:bookmarkEnd w:id="423"/>
      <w:bookmarkEnd w:id="424"/>
      <w:bookmarkEnd w:id="425"/>
      <w:bookmarkEnd w:id="426"/>
    </w:p>
    <w:p w:rsidR="00000000" w:rsidRDefault="00000000">
      <w:pPr>
        <w:pStyle w:val="SingleTxt"/>
      </w:pPr>
      <w:r>
        <w:t>В свете крайне сложных проблем, связанных с торговлей женщинами, з</w:t>
      </w:r>
      <w:r>
        <w:t>а</w:t>
      </w:r>
      <w:r>
        <w:t>трагивающих целый ряд политических сфер, адресов и уровней, федеральное правительство весной 1997 года создало общенациональную рабочую группу по борьбе с торговлей женщинами, которая проводит заседания приблизител</w:t>
      </w:r>
      <w:r>
        <w:t>ь</w:t>
      </w:r>
      <w:r>
        <w:t>но один раз в квартал. В ее состав входят представители федеральных мин</w:t>
      </w:r>
      <w:r>
        <w:t>и</w:t>
      </w:r>
      <w:r>
        <w:t>стерств, занимающихся конкретными вопросами, а также представители сп</w:t>
      </w:r>
      <w:r>
        <w:t>е</w:t>
      </w:r>
      <w:r>
        <w:t>циальных совещаний земельных министерств, Федерального управления уг</w:t>
      </w:r>
      <w:r>
        <w:t>о</w:t>
      </w:r>
      <w:r>
        <w:t>ловной полиции и неправительстве</w:t>
      </w:r>
      <w:r>
        <w:t>н</w:t>
      </w:r>
      <w:r>
        <w:t>ных организаций.</w:t>
      </w:r>
    </w:p>
    <w:p w:rsidR="00000000" w:rsidRDefault="00000000">
      <w:pPr>
        <w:pStyle w:val="SingleTxt"/>
      </w:pPr>
      <w:r>
        <w:t>К числу наиболее значимых результатов работы рабочей группы относя</w:t>
      </w:r>
      <w:r>
        <w:t>т</w:t>
      </w:r>
      <w:r>
        <w:t>ся:</w:t>
      </w:r>
    </w:p>
    <w:p w:rsidR="00000000" w:rsidRDefault="00000000">
      <w:pPr>
        <w:pStyle w:val="dot"/>
      </w:pPr>
      <w:r>
        <w:tab/>
      </w:r>
      <w:r>
        <w:tab/>
        <w:t>•</w:t>
      </w:r>
      <w:r>
        <w:tab/>
        <w:t>подготовка и опубликование информационного материала для женщин в странах их происхождения. Брошюра составлена на 13 языках и распр</w:t>
      </w:r>
      <w:r>
        <w:t>о</w:t>
      </w:r>
      <w:r>
        <w:t>страняется через неправительственные организации и посольства Герм</w:t>
      </w:r>
      <w:r>
        <w:t>а</w:t>
      </w:r>
      <w:r>
        <w:t>нии на ме</w:t>
      </w:r>
      <w:r>
        <w:t>с</w:t>
      </w:r>
      <w:r>
        <w:t>тах;</w:t>
      </w:r>
    </w:p>
    <w:p w:rsidR="00000000" w:rsidRDefault="00000000">
      <w:pPr>
        <w:pStyle w:val="dot"/>
      </w:pPr>
      <w:r>
        <w:tab/>
      </w:r>
      <w:r>
        <w:tab/>
        <w:t>•</w:t>
      </w:r>
      <w:r>
        <w:tab/>
        <w:t>представление предложений, касающихся административных положений вступившего в силу 9 октября 2000 года</w:t>
      </w:r>
      <w:r>
        <w:rPr>
          <w:caps/>
        </w:rPr>
        <w:t xml:space="preserve"> з</w:t>
      </w:r>
      <w:r>
        <w:t>акона об иностранцах, каса</w:t>
      </w:r>
      <w:r>
        <w:t>ю</w:t>
      </w:r>
      <w:r>
        <w:t>щихся жертв торговли людьми (например, минимального четырехнедел</w:t>
      </w:r>
      <w:r>
        <w:t>ь</w:t>
      </w:r>
      <w:r>
        <w:t>ного п</w:t>
      </w:r>
      <w:r>
        <w:t>е</w:t>
      </w:r>
      <w:r>
        <w:t>риода для осуществления депортации);</w:t>
      </w:r>
    </w:p>
    <w:p w:rsidR="00000000" w:rsidRDefault="00000000">
      <w:pPr>
        <w:pStyle w:val="dot"/>
      </w:pPr>
      <w:r>
        <w:tab/>
      </w:r>
      <w:r>
        <w:tab/>
        <w:t>•</w:t>
      </w:r>
      <w:r>
        <w:tab/>
        <w:t>разработка модели сотрудничества, касающейся специальной системы защиты жертв и рассчитанной на женщин, которые не могут или не жел</w:t>
      </w:r>
      <w:r>
        <w:t>а</w:t>
      </w:r>
      <w:r>
        <w:t>ют участвовать в программе защиты свидетелей. Концепция такого с</w:t>
      </w:r>
      <w:r>
        <w:t>о</w:t>
      </w:r>
      <w:r>
        <w:t>трудничества была представлена совещанием министров внутренних дел для принятия решения и уже стала основой для соответствующих моделей в отдельных ф</w:t>
      </w:r>
      <w:r>
        <w:t>е</w:t>
      </w:r>
      <w:r>
        <w:t>деральных землях;</w:t>
      </w:r>
    </w:p>
    <w:p w:rsidR="00000000" w:rsidRDefault="00000000">
      <w:pPr>
        <w:pStyle w:val="dot"/>
      </w:pPr>
      <w:r>
        <w:tab/>
      </w:r>
      <w:r>
        <w:tab/>
        <w:t>•</w:t>
      </w:r>
      <w:r>
        <w:tab/>
        <w:t>разработка пособия для органов власти в соответствии с Законом о пос</w:t>
      </w:r>
      <w:r>
        <w:t>о</w:t>
      </w:r>
      <w:r>
        <w:t>биях для лиц, ищущих убежище (</w:t>
      </w:r>
      <w:r>
        <w:rPr>
          <w:lang w:val="en-US"/>
        </w:rPr>
        <w:t>Asylbewerberleistungsgesetz</w:t>
      </w:r>
      <w:r>
        <w:t>), а также для организаций социальной помощи, занимающихся пособиями в соответс</w:t>
      </w:r>
      <w:r>
        <w:t>т</w:t>
      </w:r>
      <w:r>
        <w:t>вии с Законом о пособиях для лиц, ищущих убежище, и Федеральным з</w:t>
      </w:r>
      <w:r>
        <w:t>а</w:t>
      </w:r>
      <w:r>
        <w:t>коном о социальной помощи (</w:t>
      </w:r>
      <w:r>
        <w:rPr>
          <w:lang w:val="en-US"/>
        </w:rPr>
        <w:t>Bundessozialhilfegesetz</w:t>
      </w:r>
      <w:r>
        <w:t>) жертвам торговли людьми;</w:t>
      </w:r>
    </w:p>
    <w:p w:rsidR="00000000" w:rsidRDefault="00000000">
      <w:pPr>
        <w:pStyle w:val="dot"/>
      </w:pPr>
      <w:r>
        <w:tab/>
      </w:r>
      <w:r>
        <w:tab/>
        <w:t>•</w:t>
      </w:r>
      <w:r>
        <w:tab/>
        <w:t>разработка рекомендаций для федеральных земель по вопросу о сфере применения Закона о компенсации жертвам (</w:t>
      </w:r>
      <w:r>
        <w:rPr>
          <w:lang w:val="en-US"/>
        </w:rPr>
        <w:t>Opferentsch</w:t>
      </w:r>
      <w:r>
        <w:t>ä</w:t>
      </w:r>
      <w:r>
        <w:rPr>
          <w:lang w:val="en-US"/>
        </w:rPr>
        <w:t>digungsgesetz</w:t>
      </w:r>
      <w:r>
        <w:t>), в ча</w:t>
      </w:r>
      <w:r>
        <w:t>с</w:t>
      </w:r>
      <w:r>
        <w:t>ти, касающейся жертв торговли людьми;</w:t>
      </w:r>
    </w:p>
    <w:p w:rsidR="00000000" w:rsidRDefault="00000000">
      <w:pPr>
        <w:pStyle w:val="dot"/>
      </w:pPr>
      <w:r>
        <w:tab/>
      </w:r>
      <w:r>
        <w:tab/>
        <w:t>•</w:t>
      </w:r>
      <w:r>
        <w:tab/>
        <w:t>предварительная подготовка постановления федерального министерства труда и социальных вопросов для Федеральной службы занятости по в</w:t>
      </w:r>
      <w:r>
        <w:t>о</w:t>
      </w:r>
      <w:r>
        <w:t>просу о доступе иностранных рабочих-женщин на рынок труда в рамках земел</w:t>
      </w:r>
      <w:r>
        <w:t>ь</w:t>
      </w:r>
      <w:r>
        <w:t>ных программ защиты свидетелей;</w:t>
      </w:r>
    </w:p>
    <w:p w:rsidR="00000000" w:rsidRDefault="00000000">
      <w:pPr>
        <w:pStyle w:val="dot"/>
      </w:pPr>
      <w:r>
        <w:tab/>
      </w:r>
      <w:r>
        <w:tab/>
        <w:t>•</w:t>
      </w:r>
      <w:r>
        <w:tab/>
        <w:t>проведение дополнительной специальной подготовки сотрудников Фед</w:t>
      </w:r>
      <w:r>
        <w:t>е</w:t>
      </w:r>
      <w:r>
        <w:t>рального управления уголовной полиции в сфере полицейской деятельн</w:t>
      </w:r>
      <w:r>
        <w:t>о</w:t>
      </w:r>
      <w:r>
        <w:t>сти с участием отдельных членов рабочей группы.</w:t>
      </w:r>
    </w:p>
    <w:p w:rsidR="00000000" w:rsidRDefault="00000000">
      <w:pPr>
        <w:pStyle w:val="H23"/>
      </w:pPr>
      <w:bookmarkStart w:id="427" w:name="_Toc44113507"/>
      <w:bookmarkStart w:id="428" w:name="_Toc44113805"/>
      <w:bookmarkStart w:id="429" w:name="_Toc44114313"/>
      <w:bookmarkStart w:id="430" w:name="_Toc44115561"/>
      <w:bookmarkStart w:id="431" w:name="_Toc44115990"/>
      <w:r>
        <w:t>6.3 </w:t>
      </w:r>
      <w:r>
        <w:tab/>
        <w:t>Дальнейшие меры по борьбе с торговлей женщинами</w:t>
      </w:r>
      <w:bookmarkEnd w:id="427"/>
      <w:bookmarkEnd w:id="428"/>
      <w:bookmarkEnd w:id="429"/>
      <w:bookmarkEnd w:id="430"/>
      <w:bookmarkEnd w:id="431"/>
    </w:p>
    <w:p w:rsidR="00000000" w:rsidRDefault="00000000">
      <w:pPr>
        <w:pStyle w:val="SingleTxt"/>
      </w:pPr>
      <w:r>
        <w:t>Во все большем числе федеральных земель создаются аналогичные орг</w:t>
      </w:r>
      <w:r>
        <w:t>а</w:t>
      </w:r>
      <w:r>
        <w:t>ны с соответствующим кругом полномочий в целях совершенствования поря</w:t>
      </w:r>
      <w:r>
        <w:t>д</w:t>
      </w:r>
      <w:r>
        <w:t>ка преследования лиц, виновных в торговле людьми, и повышения эффекти</w:t>
      </w:r>
      <w:r>
        <w:t>в</w:t>
      </w:r>
      <w:r>
        <w:t>ности защиты и поддержки жертв.</w:t>
      </w:r>
    </w:p>
    <w:p w:rsidR="00000000" w:rsidRDefault="00000000">
      <w:pPr>
        <w:pStyle w:val="SingleTxt"/>
      </w:pPr>
      <w:r>
        <w:t>В числе других мер по борьбе с торговлей женщинами и детьми Фед</w:t>
      </w:r>
      <w:r>
        <w:t>е</w:t>
      </w:r>
      <w:r>
        <w:t>ральное управление уголовной полиции проводит ежегодные ситуативные оценки, в которых анализируются различные аспекты криминогенной ситуации в Германии и изменения в этой сфере. Благодаря созданию специальной раб</w:t>
      </w:r>
      <w:r>
        <w:t>о</w:t>
      </w:r>
      <w:r>
        <w:t>чей группы расширилось сотрудничество между Федеральным управлением уголовной полиции и полицейскими органами федеральных земель. Кроме т</w:t>
      </w:r>
      <w:r>
        <w:t>о</w:t>
      </w:r>
      <w:r>
        <w:t>го, для мужчин и женщин, работающих в полицейских подразделениях по борьбе с торговлей людьми, организуются специальные программы повышения квалификации и переподготовки. Международное сотрудничество между Ф</w:t>
      </w:r>
      <w:r>
        <w:t>е</w:t>
      </w:r>
      <w:r>
        <w:t>деральным управлением уголовной полиции и полицейскими органами стран прои</w:t>
      </w:r>
      <w:r>
        <w:t>с</w:t>
      </w:r>
      <w:r>
        <w:t>хождения также постоянно расширяется через Интерпол и Европол.</w:t>
      </w:r>
    </w:p>
    <w:p w:rsidR="00000000" w:rsidRDefault="00000000">
      <w:pPr>
        <w:pStyle w:val="SingleTxt"/>
      </w:pPr>
      <w:r>
        <w:t>Женщины, прибывающие в Германию и обращающиеся за убежищем в этой стране, в ряде случаев руководствуются причинами, отличными от причин у мужчин. Эти специфические женские причины для отъезда из страны прои</w:t>
      </w:r>
      <w:r>
        <w:t>с</w:t>
      </w:r>
      <w:r>
        <w:t>хождения во все большей степени становятся предметом международной ди</w:t>
      </w:r>
      <w:r>
        <w:t>с</w:t>
      </w:r>
      <w:r>
        <w:t>куссии: в частности, международные органы в области прав человека, прав женщин и вопросов, касающихся беженцев, все чаще обсуждают вопросы пр</w:t>
      </w:r>
      <w:r>
        <w:t>е</w:t>
      </w:r>
      <w:r>
        <w:t>следования по гендерному признаку и степень, в которой отдельные государс</w:t>
      </w:r>
      <w:r>
        <w:t>т</w:t>
      </w:r>
      <w:r>
        <w:t>ва предоставляют соответствующим женщинам защиту от такого рода наруш</w:t>
      </w:r>
      <w:r>
        <w:t>е</w:t>
      </w:r>
      <w:r>
        <w:t xml:space="preserve">ний прав человека (см. по данному вопросу также пункт 8.3 части </w:t>
      </w:r>
      <w:r>
        <w:rPr>
          <w:lang w:val="en-US"/>
        </w:rPr>
        <w:t>I</w:t>
      </w:r>
      <w:r>
        <w:t xml:space="preserve"> «Женщины, ищущие убежище в Германии»).</w:t>
      </w:r>
    </w:p>
    <w:p w:rsidR="00000000" w:rsidRDefault="00000000">
      <w:pPr>
        <w:pStyle w:val="H23"/>
      </w:pPr>
      <w:bookmarkStart w:id="432" w:name="_Toc44113508"/>
      <w:bookmarkStart w:id="433" w:name="_Toc44113806"/>
      <w:bookmarkStart w:id="434" w:name="_Toc44114314"/>
      <w:bookmarkStart w:id="435" w:name="_Toc44115562"/>
      <w:bookmarkStart w:id="436" w:name="_Toc44115991"/>
      <w:r>
        <w:t>6.4 </w:t>
      </w:r>
      <w:r>
        <w:tab/>
        <w:t>Порядок расследования дел германских граждан, подозреваемых в совершении сексуальных злоупотреблений за рубежом</w:t>
      </w:r>
      <w:bookmarkEnd w:id="432"/>
      <w:bookmarkEnd w:id="433"/>
      <w:bookmarkEnd w:id="434"/>
      <w:bookmarkEnd w:id="435"/>
      <w:bookmarkEnd w:id="436"/>
    </w:p>
    <w:p w:rsidR="00000000" w:rsidRDefault="00000000">
      <w:pPr>
        <w:pStyle w:val="SingleTxt"/>
      </w:pPr>
      <w:r>
        <w:t>В последнем докладе говорилось о том, что германские туристы, сове</w:t>
      </w:r>
      <w:r>
        <w:t>р</w:t>
      </w:r>
      <w:r>
        <w:t>шающие сексуальные злоупотребления в отношении детей за рубежом, должны нести ответственность по уголовному законодательству в Германии даже в том случае, если эти преступления не наказуемы в стране их совершения.</w:t>
      </w:r>
    </w:p>
    <w:p w:rsidR="00000000" w:rsidRDefault="00000000">
      <w:pPr>
        <w:pStyle w:val="SingleTxt"/>
      </w:pPr>
      <w:r>
        <w:t>Мы не располагаем точными данными об общем числе находящихся в производстве дел в отношении германских граждан, подозреваемых в соверш</w:t>
      </w:r>
      <w:r>
        <w:t>е</w:t>
      </w:r>
      <w:r>
        <w:t>нии сексуальных злоупотреблений в отношении детей за р</w:t>
      </w:r>
      <w:r>
        <w:t>у</w:t>
      </w:r>
      <w:r>
        <w:t>бежом.</w:t>
      </w:r>
    </w:p>
    <w:p w:rsidR="00000000" w:rsidRDefault="00000000">
      <w:pPr>
        <w:pStyle w:val="SingleTxt"/>
      </w:pPr>
      <w:r>
        <w:t>Некоторые данные были получены благодаря вопроснику, разосланному двумя частями федеральным министерством юстиции (19 ноября 1996 года и 28 января 1998 года) в земли и касающемуся вопросов расследования в их с</w:t>
      </w:r>
      <w:r>
        <w:t>о</w:t>
      </w:r>
      <w:r>
        <w:t>ответствующих сферах компетенции по делам о сексуальных злоупотреблен</w:t>
      </w:r>
      <w:r>
        <w:t>и</w:t>
      </w:r>
      <w:r>
        <w:t>ях, совершенных германскими гражданами за рубежом в отношении иностра</w:t>
      </w:r>
      <w:r>
        <w:t>н</w:t>
      </w:r>
      <w:r>
        <w:t>ных детей. Вопросник охватывал период протяженностью 4 года и 4 месяца, с октября 1993 года по январь 1998 года. Ответы на вторую часть вопросника (период с февраля 1997 года) пока еще поступили не из всех федеральных з</w:t>
      </w:r>
      <w:r>
        <w:t>е</w:t>
      </w:r>
      <w:r>
        <w:t>мель.</w:t>
      </w:r>
    </w:p>
    <w:p w:rsidR="00000000" w:rsidRDefault="00000000">
      <w:pPr>
        <w:pStyle w:val="SingleTxt"/>
      </w:pPr>
      <w:r>
        <w:t>Проведенная Центром криминологии в Висбадене оценка хода рассмотр</w:t>
      </w:r>
      <w:r>
        <w:t>е</w:t>
      </w:r>
      <w:r>
        <w:t>ния дел, затрагиваемых этими вопросниками, позволяет получить следующую картину.</w:t>
      </w:r>
    </w:p>
    <w:p w:rsidR="00000000" w:rsidRDefault="00000000">
      <w:pPr>
        <w:pStyle w:val="SingleTxt"/>
      </w:pPr>
      <w:r>
        <w:t>В рассматриваемый период было возбуждено в общей сложности 51 расследование, при этом по одному из них не было предоставлено никакой информации за исключением того, что данное расследование возбуждено. 59 лицам было предъявлено обвинение в совершении наказуемых действий в отношении 148 человек.</w:t>
      </w:r>
    </w:p>
    <w:p w:rsidR="00000000" w:rsidRDefault="00000000">
      <w:pPr>
        <w:pStyle w:val="SingleTxt"/>
      </w:pPr>
      <w:r>
        <w:t>К числу стран, на территории которых совершались преступления, отн</w:t>
      </w:r>
      <w:r>
        <w:t>о</w:t>
      </w:r>
      <w:r>
        <w:t xml:space="preserve">сятся (по числу возбужденных дел): Таиланд (15), Чешская </w:t>
      </w:r>
      <w:r>
        <w:rPr>
          <w:caps/>
        </w:rPr>
        <w:t>р</w:t>
      </w:r>
      <w:r>
        <w:t>еспублика (7), Филиппины (5), Шри-</w:t>
      </w:r>
      <w:r>
        <w:rPr>
          <w:caps/>
        </w:rPr>
        <w:t>л</w:t>
      </w:r>
      <w:r>
        <w:t>анка (5), Бразилия (4), а также Болгария, Камбоджа, К</w:t>
      </w:r>
      <w:r>
        <w:t>а</w:t>
      </w:r>
      <w:r>
        <w:t>нада, Кения, Куба, Мадагаскар, Мексика, Непал, Никарагуа, Парагвай, Рум</w:t>
      </w:r>
      <w:r>
        <w:t>ы</w:t>
      </w:r>
      <w:r>
        <w:t>ния и Южная Африка – по 1-2 случаям возбуждения расследования.</w:t>
      </w:r>
    </w:p>
    <w:p w:rsidR="00000000" w:rsidRDefault="00000000">
      <w:pPr>
        <w:pStyle w:val="SingleTxt"/>
      </w:pPr>
      <w:r>
        <w:t>Тридцати трем обвиняемым (55,9 %) было предъявлено (первоначальное) обвинение в сексуальных злоупотреблениях в отношении детей, еще в 17 случаях обвинение было предъявлено в связи с дополнительными уголо</w:t>
      </w:r>
      <w:r>
        <w:t>в</w:t>
      </w:r>
      <w:r>
        <w:t>ными правонарушениями (например, производством/распространением порн</w:t>
      </w:r>
      <w:r>
        <w:t>о</w:t>
      </w:r>
      <w:r>
        <w:t>графических надписей, сексуальными злоупотреблениями в отношении под</w:t>
      </w:r>
      <w:r>
        <w:t>о</w:t>
      </w:r>
      <w:r>
        <w:t>печных, нанесением тяжких физических увечий, сексуальными злоупотребл</w:t>
      </w:r>
      <w:r>
        <w:t>е</w:t>
      </w:r>
      <w:r>
        <w:t>ниями в отношении несовершеннолетних и изнасилованиями). Расследования, касающиеся исключительно сексуальных злоупотреблений в отношении нес</w:t>
      </w:r>
      <w:r>
        <w:t>о</w:t>
      </w:r>
      <w:r>
        <w:t>вершеннолетних или подопечных, проводились в отношении соответственно четырех и двух обвиняемых. Лишь два дела (3,4 %) первоначально касались не с сексуальных злоупотреблений, а производства/распространения порнограф</w:t>
      </w:r>
      <w:r>
        <w:t>и</w:t>
      </w:r>
      <w:r>
        <w:t xml:space="preserve">ческих надписей, причем каждое из этих дел было связано с наймом детей на работу. </w:t>
      </w:r>
    </w:p>
    <w:p w:rsidR="00000000" w:rsidRDefault="00000000">
      <w:pPr>
        <w:pStyle w:val="SingleTxt"/>
      </w:pPr>
      <w:r>
        <w:t>По состоянию расследований на момент рассылки вопросника 13 обвиняемых (22 %) к январю 1998 года были осуждены, а в отношении 16 обвиняемых (27 %) расследование было прекращено. Расследование в о</w:t>
      </w:r>
      <w:r>
        <w:t>т</w:t>
      </w:r>
      <w:r>
        <w:t>ношении большинства обвиняемых на момент рассылки вопросника продолж</w:t>
      </w:r>
      <w:r>
        <w:t>а</w:t>
      </w:r>
      <w:r>
        <w:t>лось. Из 13 случаев семь обвинительных приговоров было вынесено в Герм</w:t>
      </w:r>
      <w:r>
        <w:t>а</w:t>
      </w:r>
      <w:r>
        <w:t>нии и шесть в странах совершения преступления. Из семи случаев вынесения обвинительного приговора в Германии в трех случаях было получено чист</w:t>
      </w:r>
      <w:r>
        <w:t>о</w:t>
      </w:r>
      <w:r>
        <w:t>сердечное признание. Такого рода информации по обвинительным приговорам, вынесенным в странах совершения преступления, не имеется. Средняя пр</w:t>
      </w:r>
      <w:r>
        <w:t>о</w:t>
      </w:r>
      <w:r>
        <w:t>должительность срока наказания в семи случаях вынесения обвинительного приговора в Германии составляет 2 года и 4 месяца, а средняя продолжител</w:t>
      </w:r>
      <w:r>
        <w:t>ь</w:t>
      </w:r>
      <w:r>
        <w:t>ность наказания в шести случаях вынесения обвинительного приговора в стр</w:t>
      </w:r>
      <w:r>
        <w:t>а</w:t>
      </w:r>
      <w:r>
        <w:t>нах совершения преступления составляет 5 лет и 9 месяцев.</w:t>
      </w:r>
    </w:p>
    <w:p w:rsidR="00000000" w:rsidRDefault="00000000">
      <w:pPr>
        <w:pStyle w:val="H23"/>
      </w:pPr>
      <w:bookmarkStart w:id="437" w:name="_Toc44113509"/>
      <w:bookmarkStart w:id="438" w:name="_Toc44113807"/>
      <w:bookmarkStart w:id="439" w:name="_Toc44114315"/>
      <w:bookmarkStart w:id="440" w:name="_Toc44115563"/>
      <w:bookmarkStart w:id="441" w:name="_Toc44115992"/>
      <w:r>
        <w:t>6.5 </w:t>
      </w:r>
      <w:r>
        <w:tab/>
        <w:t>Меры, предусмотренные законодательством</w:t>
      </w:r>
      <w:bookmarkEnd w:id="437"/>
      <w:bookmarkEnd w:id="438"/>
      <w:bookmarkEnd w:id="439"/>
      <w:bookmarkEnd w:id="440"/>
      <w:bookmarkEnd w:id="441"/>
    </w:p>
    <w:p w:rsidR="00000000" w:rsidRDefault="00000000">
      <w:pPr>
        <w:pStyle w:val="SingleTxt"/>
      </w:pPr>
      <w:r>
        <w:t>На основании первого Закона об улучшении положения пострадавшей стороны в уголовном разбирательстве (Закон 1987 года о защите жертв), а та</w:t>
      </w:r>
      <w:r>
        <w:t>к</w:t>
      </w:r>
      <w:r>
        <w:t>же Закона о защите свидетелей, проходящих по уголовным делам, и об улу</w:t>
      </w:r>
      <w:r>
        <w:t>ч</w:t>
      </w:r>
      <w:r>
        <w:t>шении защиты жертв (</w:t>
      </w:r>
      <w:r>
        <w:rPr>
          <w:caps/>
          <w:lang w:val="en-US"/>
        </w:rPr>
        <w:t>g</w:t>
      </w:r>
      <w:r>
        <w:rPr>
          <w:lang w:val="en-US"/>
        </w:rPr>
        <w:t>esetz</w:t>
      </w:r>
      <w:r>
        <w:t xml:space="preserve"> </w:t>
      </w:r>
      <w:r>
        <w:rPr>
          <w:lang w:val="en-US"/>
        </w:rPr>
        <w:t>zum</w:t>
      </w:r>
      <w:r>
        <w:t xml:space="preserve"> </w:t>
      </w:r>
      <w:r>
        <w:rPr>
          <w:lang w:val="en-US"/>
        </w:rPr>
        <w:t>Schutz</w:t>
      </w:r>
      <w:r>
        <w:t xml:space="preserve"> </w:t>
      </w:r>
      <w:r>
        <w:rPr>
          <w:lang w:val="en-US"/>
        </w:rPr>
        <w:t>von</w:t>
      </w:r>
      <w:r>
        <w:t xml:space="preserve"> </w:t>
      </w:r>
      <w:r>
        <w:rPr>
          <w:lang w:val="en-US"/>
        </w:rPr>
        <w:t>Zeugen</w:t>
      </w:r>
      <w:r>
        <w:t xml:space="preserve"> </w:t>
      </w:r>
      <w:r>
        <w:rPr>
          <w:lang w:val="en-US"/>
        </w:rPr>
        <w:t>bei</w:t>
      </w:r>
      <w:r>
        <w:t xml:space="preserve"> </w:t>
      </w:r>
      <w:r>
        <w:rPr>
          <w:lang w:val="en-US"/>
        </w:rPr>
        <w:t>Vernehmungen</w:t>
      </w:r>
      <w:r>
        <w:t xml:space="preserve"> </w:t>
      </w:r>
      <w:r>
        <w:rPr>
          <w:lang w:val="en-US"/>
        </w:rPr>
        <w:t>im</w:t>
      </w:r>
      <w:r>
        <w:t xml:space="preserve"> </w:t>
      </w:r>
      <w:r>
        <w:rPr>
          <w:lang w:val="en-US"/>
        </w:rPr>
        <w:t>Strafverfahren</w:t>
      </w:r>
      <w:r>
        <w:t xml:space="preserve"> </w:t>
      </w:r>
      <w:r>
        <w:rPr>
          <w:lang w:val="en-US"/>
        </w:rPr>
        <w:t>und</w:t>
      </w:r>
      <w:r>
        <w:t xml:space="preserve"> </w:t>
      </w:r>
      <w:r>
        <w:rPr>
          <w:lang w:val="en-US"/>
        </w:rPr>
        <w:t>zur</w:t>
      </w:r>
      <w:r>
        <w:t xml:space="preserve"> </w:t>
      </w:r>
      <w:r>
        <w:rPr>
          <w:lang w:val="en-US"/>
        </w:rPr>
        <w:t>Verbesserung</w:t>
      </w:r>
      <w:r>
        <w:t xml:space="preserve"> </w:t>
      </w:r>
      <w:r>
        <w:rPr>
          <w:lang w:val="en-US"/>
        </w:rPr>
        <w:t>des</w:t>
      </w:r>
      <w:r>
        <w:t xml:space="preserve"> </w:t>
      </w:r>
      <w:r>
        <w:rPr>
          <w:lang w:val="en-US"/>
        </w:rPr>
        <w:t>Opferschutzes</w:t>
      </w:r>
      <w:r>
        <w:t>). Закон о защите свидет</w:t>
      </w:r>
      <w:r>
        <w:t>е</w:t>
      </w:r>
      <w:r>
        <w:t>лей, вступивший в силу 1 декабря 1998 года, предусматривает еще большее значение интер</w:t>
      </w:r>
      <w:r>
        <w:t>е</w:t>
      </w:r>
      <w:r>
        <w:t>сов жертв преступления в ходе уголовного разбирательства.</w:t>
      </w:r>
    </w:p>
    <w:p w:rsidR="00000000" w:rsidRDefault="00000000">
      <w:pPr>
        <w:pStyle w:val="SingleTxt"/>
      </w:pPr>
      <w:r>
        <w:t>Эти законодательные акты сделали более совершенным законодательство о преследовании соучастников совершения преступления в рамках уголовного разбирательства и о рассмотрении гражданских исков в ходе уголовного разб</w:t>
      </w:r>
      <w:r>
        <w:t>и</w:t>
      </w:r>
      <w:r>
        <w:t>рательства (параллельное разбирательство). Благодаря Закону о защите свид</w:t>
      </w:r>
      <w:r>
        <w:t>е</w:t>
      </w:r>
      <w:r>
        <w:t>телей фактором уголовного разбирательства стало использование видеотехн</w:t>
      </w:r>
      <w:r>
        <w:t>о</w:t>
      </w:r>
      <w:r>
        <w:t>логий. Эти технологии позволяют избежать утомительных повторных допросов и зачастую угнетающей атмосферы зала заседаний суда, а также встреч прав</w:t>
      </w:r>
      <w:r>
        <w:t>о</w:t>
      </w:r>
      <w:r>
        <w:t>нар</w:t>
      </w:r>
      <w:r>
        <w:t>у</w:t>
      </w:r>
      <w:r>
        <w:t>шителя и жертвы.</w:t>
      </w:r>
    </w:p>
    <w:p w:rsidR="00000000" w:rsidRDefault="00000000">
      <w:pPr>
        <w:pStyle w:val="SingleTxt"/>
      </w:pPr>
      <w:r>
        <w:t>Наконец, было предусмотрено назначение в определенных обстоятельс</w:t>
      </w:r>
      <w:r>
        <w:t>т</w:t>
      </w:r>
      <w:r>
        <w:t>вах защитника свидетелю на период допросов и защитника жертве за счет г</w:t>
      </w:r>
      <w:r>
        <w:t>о</w:t>
      </w:r>
      <w:r>
        <w:t>сударства на весь период разбирательства.</w:t>
      </w:r>
    </w:p>
    <w:p w:rsidR="00000000" w:rsidRDefault="00000000">
      <w:pPr>
        <w:pStyle w:val="SingleTxt"/>
      </w:pPr>
      <w:r>
        <w:t>Помимо уголовного законодательства следует отметить Закон о защите работника (</w:t>
      </w:r>
      <w:r>
        <w:rPr>
          <w:lang w:val="en-US"/>
        </w:rPr>
        <w:t>Besch</w:t>
      </w:r>
      <w:r>
        <w:t>ä</w:t>
      </w:r>
      <w:r>
        <w:rPr>
          <w:lang w:val="en-US"/>
        </w:rPr>
        <w:t>ftigtenschutzgesetz</w:t>
      </w:r>
      <w:r>
        <w:t>), который предусматривает законодател</w:t>
      </w:r>
      <w:r>
        <w:t>ь</w:t>
      </w:r>
      <w:r>
        <w:t>ную защиту всех работников государственной службы и частного сектора от сексуальных домогательств на рабочем месте. Закон обязывает всех работод</w:t>
      </w:r>
      <w:r>
        <w:t>а</w:t>
      </w:r>
      <w:r>
        <w:t>телей безотлагательно принимать все необходимые защитные меры в тех сл</w:t>
      </w:r>
      <w:r>
        <w:t>у</w:t>
      </w:r>
      <w:r>
        <w:t>чаях, когда по мнению работника он подвергается сексуальным домогательс</w:t>
      </w:r>
      <w:r>
        <w:t>т</w:t>
      </w:r>
      <w:r>
        <w:t>вам. Здесь же можно отметить дисциплинарные меры в отношении правонар</w:t>
      </w:r>
      <w:r>
        <w:t>у</w:t>
      </w:r>
      <w:r>
        <w:t>шителей и меры, предусмотренные в трудовом законодательстве.</w:t>
      </w:r>
    </w:p>
    <w:p w:rsidR="00000000" w:rsidRDefault="00000000">
      <w:pPr>
        <w:pStyle w:val="SingleTxt"/>
      </w:pPr>
      <w:r>
        <w:t>Усилены положения о защите женщин-иностранцев в Законе об иностра</w:t>
      </w:r>
      <w:r>
        <w:t>н</w:t>
      </w:r>
      <w:r>
        <w:t>цах (см. пункт 5.3.2).</w:t>
      </w:r>
    </w:p>
    <w:p w:rsidR="00000000" w:rsidRDefault="00000000">
      <w:pPr>
        <w:pStyle w:val="SingleTxt"/>
      </w:pPr>
      <w:r>
        <w:t>Международный кодекс уголовно-правовых норм, вступивший в силу 30 июня 2002 года, позволил предусмотреть специальное положение уголовн</w:t>
      </w:r>
      <w:r>
        <w:t>о</w:t>
      </w:r>
      <w:r>
        <w:t>го законодательства, касающееся торговли людьми, в частности женщинами и детьми, и квалифицирующее такую торговлю как преступление против челов</w:t>
      </w:r>
      <w:r>
        <w:t>е</w:t>
      </w:r>
      <w:r>
        <w:t>чества, когда оно совершается в течение длительного периода или на систем</w:t>
      </w:r>
      <w:r>
        <w:t>а</w:t>
      </w:r>
      <w:r>
        <w:t>тической основе против гражданского населения. То же положение применяе</w:t>
      </w:r>
      <w:r>
        <w:t>т</w:t>
      </w:r>
      <w:r>
        <w:t>ся и в случае эксплуатации проституции и других уголовных преступлений сексуального характера, которые также влекут теперь наказание при соверш</w:t>
      </w:r>
      <w:r>
        <w:t>е</w:t>
      </w:r>
      <w:r>
        <w:t>нии в условиях международного или внутреннего вооруженного конфликта, б</w:t>
      </w:r>
      <w:r>
        <w:t>у</w:t>
      </w:r>
      <w:r>
        <w:t>дучи квал</w:t>
      </w:r>
      <w:r>
        <w:t>и</w:t>
      </w:r>
      <w:r>
        <w:t>фицированы как военное преступление.</w:t>
      </w:r>
    </w:p>
    <w:p w:rsidR="00000000" w:rsidRDefault="00000000">
      <w:pPr>
        <w:pStyle w:val="H1"/>
      </w:pPr>
      <w:bookmarkStart w:id="442" w:name="_Toc44113510"/>
      <w:bookmarkStart w:id="443" w:name="_Toc44113808"/>
      <w:bookmarkStart w:id="444" w:name="_Toc44114316"/>
      <w:bookmarkStart w:id="445" w:name="_Toc44115564"/>
      <w:bookmarkStart w:id="446" w:name="_Toc44115993"/>
      <w:r>
        <w:t>7.</w:t>
      </w:r>
      <w:r>
        <w:tab/>
        <w:t>Статья 7: Участие женщин в политической и общественной жизни</w:t>
      </w:r>
      <w:bookmarkEnd w:id="442"/>
      <w:bookmarkEnd w:id="443"/>
      <w:bookmarkEnd w:id="444"/>
      <w:bookmarkEnd w:id="445"/>
      <w:bookmarkEnd w:id="446"/>
    </w:p>
    <w:p w:rsidR="00000000" w:rsidRDefault="00000000">
      <w:pPr>
        <w:pStyle w:val="SingleTxt"/>
        <w:ind w:left="1740" w:hanging="476"/>
        <w:rPr>
          <w:i/>
        </w:rPr>
      </w:pPr>
      <w:r>
        <w:rPr>
          <w:i/>
        </w:rPr>
        <w:tab/>
      </w:r>
      <w:r>
        <w:rPr>
          <w:i/>
        </w:rPr>
        <w:tab/>
        <w:t>Статья 7</w:t>
      </w:r>
    </w:p>
    <w:p w:rsidR="00000000" w:rsidRDefault="00000000">
      <w:pPr>
        <w:pStyle w:val="SingleTxt"/>
        <w:ind w:left="1740" w:hanging="476"/>
        <w:rPr>
          <w:i/>
        </w:rPr>
      </w:pPr>
      <w:r>
        <w:rPr>
          <w:i/>
        </w:rPr>
        <w:tab/>
      </w:r>
      <w:r>
        <w:rPr>
          <w:i/>
        </w:rPr>
        <w:tab/>
        <w:t>Государства-участники принимают все соответствующие меры по ли</w:t>
      </w:r>
      <w:r>
        <w:rPr>
          <w:i/>
        </w:rPr>
        <w:t>к</w:t>
      </w:r>
      <w:r>
        <w:rPr>
          <w:i/>
        </w:rPr>
        <w:t>видации дискриминации в отношении женщин в политической и общес</w:t>
      </w:r>
      <w:r>
        <w:rPr>
          <w:i/>
        </w:rPr>
        <w:t>т</w:t>
      </w:r>
      <w:r>
        <w:rPr>
          <w:i/>
        </w:rPr>
        <w:t>венной жизни страны и, в частности, обеспечивают женщинам на ра</w:t>
      </w:r>
      <w:r>
        <w:rPr>
          <w:i/>
        </w:rPr>
        <w:t>в</w:t>
      </w:r>
      <w:r>
        <w:rPr>
          <w:i/>
        </w:rPr>
        <w:t>ных условиях с мужчинами право:</w:t>
      </w:r>
    </w:p>
    <w:p w:rsidR="00000000" w:rsidRDefault="00000000">
      <w:pPr>
        <w:pStyle w:val="SingleTxt"/>
        <w:ind w:left="1740" w:hanging="476"/>
        <w:rPr>
          <w:i/>
        </w:rPr>
      </w:pPr>
      <w:r>
        <w:rPr>
          <w:i/>
        </w:rPr>
        <w:tab/>
      </w:r>
      <w:r>
        <w:rPr>
          <w:i/>
        </w:rPr>
        <w:tab/>
        <w:t>а) голосовать на всех выборах и публичных референдумах и избираться во все публично изб</w:t>
      </w:r>
      <w:r>
        <w:rPr>
          <w:i/>
        </w:rPr>
        <w:t>и</w:t>
      </w:r>
      <w:r>
        <w:rPr>
          <w:i/>
        </w:rPr>
        <w:t>раемые органы;</w:t>
      </w:r>
    </w:p>
    <w:p w:rsidR="00000000" w:rsidRDefault="00000000">
      <w:pPr>
        <w:pStyle w:val="SingleTxt"/>
        <w:ind w:left="1740" w:hanging="476"/>
        <w:rPr>
          <w:i/>
        </w:rPr>
      </w:pPr>
      <w:r>
        <w:rPr>
          <w:i/>
        </w:rPr>
        <w:tab/>
      </w:r>
      <w:r>
        <w:rPr>
          <w:i/>
        </w:rPr>
        <w:tab/>
      </w:r>
      <w:r>
        <w:rPr>
          <w:i/>
          <w:lang w:val="en-US"/>
        </w:rPr>
        <w:t>b</w:t>
      </w:r>
      <w:r>
        <w:rPr>
          <w:i/>
        </w:rPr>
        <w:t>) участвовать в формулировании и осуществлении политики правител</w:t>
      </w:r>
      <w:r>
        <w:rPr>
          <w:i/>
        </w:rPr>
        <w:t>ь</w:t>
      </w:r>
      <w:r>
        <w:rPr>
          <w:i/>
        </w:rPr>
        <w:t>ства и занимать государственные посты, а также осуществлять все государственные функции ни всех уровнях государстве</w:t>
      </w:r>
      <w:r>
        <w:rPr>
          <w:i/>
        </w:rPr>
        <w:t>н</w:t>
      </w:r>
      <w:r>
        <w:rPr>
          <w:i/>
        </w:rPr>
        <w:t>ного управления;</w:t>
      </w:r>
    </w:p>
    <w:p w:rsidR="00000000" w:rsidRDefault="00000000">
      <w:pPr>
        <w:pStyle w:val="SingleTxt"/>
        <w:ind w:left="1740" w:hanging="476"/>
        <w:rPr>
          <w:i/>
        </w:rPr>
      </w:pPr>
      <w:r>
        <w:rPr>
          <w:i/>
        </w:rPr>
        <w:tab/>
      </w:r>
      <w:r>
        <w:rPr>
          <w:i/>
        </w:rPr>
        <w:tab/>
        <w:t>с) принимать участие в деятельности неправительственных организ</w:t>
      </w:r>
      <w:r>
        <w:rPr>
          <w:i/>
        </w:rPr>
        <w:t>а</w:t>
      </w:r>
      <w:r>
        <w:rPr>
          <w:i/>
        </w:rPr>
        <w:t>ций и ассоциаций, занимающихся проблемами общественной и политич</w:t>
      </w:r>
      <w:r>
        <w:rPr>
          <w:i/>
        </w:rPr>
        <w:t>е</w:t>
      </w:r>
      <w:r>
        <w:rPr>
          <w:i/>
        </w:rPr>
        <w:t>ской жизни страны.</w:t>
      </w:r>
    </w:p>
    <w:p w:rsidR="00000000" w:rsidRDefault="00000000">
      <w:pPr>
        <w:pStyle w:val="SingleTxt"/>
      </w:pPr>
      <w:r>
        <w:t>В дополнение к предыдущему докладу можно отметить следующее.</w:t>
      </w:r>
    </w:p>
    <w:p w:rsidR="00000000" w:rsidRDefault="00000000">
      <w:pPr>
        <w:pStyle w:val="SingleTxt"/>
      </w:pPr>
      <w:r>
        <w:t>Как указывалось в предыдущем докладе, женщинам в полной мере пр</w:t>
      </w:r>
      <w:r>
        <w:t>е</w:t>
      </w:r>
      <w:r>
        <w:t>доставляются все права для участия в политической и общественной жизни, которые предусмотрены в пунктах а) – с) статьи 7 Конвенции. Тем не менее женщины не представлены надлежащим образом в большинстве областей п</w:t>
      </w:r>
      <w:r>
        <w:t>о</w:t>
      </w:r>
      <w:r>
        <w:t>литической и общественной жизни. Однако в последние годы произошли с</w:t>
      </w:r>
      <w:r>
        <w:t>у</w:t>
      </w:r>
      <w:r>
        <w:t>ществе</w:t>
      </w:r>
      <w:r>
        <w:t>н</w:t>
      </w:r>
      <w:r>
        <w:t>ные изменения к лучшему.</w:t>
      </w:r>
    </w:p>
    <w:p w:rsidR="00000000" w:rsidRDefault="00000000">
      <w:pPr>
        <w:pStyle w:val="H23"/>
      </w:pPr>
      <w:bookmarkStart w:id="447" w:name="_Toc44113511"/>
      <w:bookmarkStart w:id="448" w:name="_Toc44113809"/>
      <w:bookmarkStart w:id="449" w:name="_Toc44114317"/>
      <w:bookmarkStart w:id="450" w:name="_Toc44115565"/>
      <w:bookmarkStart w:id="451" w:name="_Toc44115994"/>
      <w:r>
        <w:t>7.1 </w:t>
      </w:r>
      <w:r>
        <w:tab/>
        <w:t>Федеральный закон о назначениях в органы власти (</w:t>
      </w:r>
      <w:r>
        <w:rPr>
          <w:lang w:val="en-US"/>
        </w:rPr>
        <w:t>Bundesgremienbesetzungsgesetz</w:t>
      </w:r>
      <w:r>
        <w:t>)</w:t>
      </w:r>
      <w:bookmarkEnd w:id="447"/>
      <w:bookmarkEnd w:id="448"/>
      <w:bookmarkEnd w:id="449"/>
      <w:bookmarkEnd w:id="450"/>
      <w:bookmarkEnd w:id="451"/>
    </w:p>
    <w:p w:rsidR="00000000" w:rsidRDefault="00000000">
      <w:pPr>
        <w:pStyle w:val="SingleTxt"/>
      </w:pPr>
      <w:r>
        <w:t xml:space="preserve">Согласно Федеральному закону о назначениях в федеральные органы 1994 года Федерация и другие инстанции, связанные с порядком назначения в органы в соответствии с данным </w:t>
      </w:r>
      <w:r>
        <w:rPr>
          <w:caps/>
        </w:rPr>
        <w:t>з</w:t>
      </w:r>
      <w:r>
        <w:t>аконом, должны стремиться к созданию у</w:t>
      </w:r>
      <w:r>
        <w:t>с</w:t>
      </w:r>
      <w:r>
        <w:t>ловий, в которых достигается и поддерживается равноправное участие в этих органах женщин и мужчин. Кроме того, Федеральный закон о назначениях в федеральные органы обязывает федеральное правительство представлять в к</w:t>
      </w:r>
      <w:r>
        <w:t>а</w:t>
      </w:r>
      <w:r>
        <w:t>ждом законодательном периоде сообщение о доле женщин в основных органах федерации и о выдвижении женщин в основные органы нефедерального уро</w:t>
      </w:r>
      <w:r>
        <w:t>в</w:t>
      </w:r>
      <w:r>
        <w:t>ня.</w:t>
      </w:r>
    </w:p>
    <w:p w:rsidR="00000000" w:rsidRDefault="00000000">
      <w:pPr>
        <w:pStyle w:val="SingleTxt"/>
      </w:pPr>
      <w:r>
        <w:t>В конце мая 2002 года федеральное правительство утвердило доклад, оз</w:t>
      </w:r>
      <w:r>
        <w:t>а</w:t>
      </w:r>
      <w:r>
        <w:t>главленный «Третий доклад федерального правительства о доле женщин в о</w:t>
      </w:r>
      <w:r>
        <w:t>с</w:t>
      </w:r>
      <w:r>
        <w:t>новных органах в сфере федерального влияния”. В нем отмечается некоторое увеличение доли женщин в органах, входящих в сферу влияния Федерации, по состоянию на контрольную дату 30 июня 2001 года.</w:t>
      </w:r>
    </w:p>
    <w:p w:rsidR="00000000" w:rsidRDefault="00000000">
      <w:pPr>
        <w:pStyle w:val="SingleTxt"/>
      </w:pPr>
      <w:r>
        <w:t>По сравнению с данными, содержащимися во втором докладе о доле женщин в федеральных органах, в котором отражена ситуация на июнь 1997 года,</w:t>
      </w:r>
    </w:p>
    <w:p w:rsidR="00000000" w:rsidRDefault="00000000">
      <w:pPr>
        <w:pStyle w:val="dot"/>
      </w:pPr>
      <w:r>
        <w:tab/>
      </w:r>
      <w:r>
        <w:tab/>
        <w:t>•</w:t>
      </w:r>
      <w:r>
        <w:tab/>
        <w:t>средняя доля женщин в основных органах, входящих в сферу влияния Ф</w:t>
      </w:r>
      <w:r>
        <w:t>е</w:t>
      </w:r>
      <w:r>
        <w:t>дерации, увеличилась на 3,7 %– с 12,2 % до 15,9 %. В 2001 году в 318 органах, насчитывающих 7 794 члена, было 1 242 женщины, в то вр</w:t>
      </w:r>
      <w:r>
        <w:t>е</w:t>
      </w:r>
      <w:r>
        <w:t>мя как в 1997 году из 8 639 членов 355 органов было лишь 1 058 женщин;</w:t>
      </w:r>
    </w:p>
    <w:p w:rsidR="00000000" w:rsidRDefault="00000000">
      <w:pPr>
        <w:pStyle w:val="dot"/>
      </w:pPr>
      <w:r>
        <w:tab/>
      </w:r>
      <w:r>
        <w:tab/>
        <w:t>•</w:t>
      </w:r>
      <w:r>
        <w:tab/>
        <w:t>доля органов, членами которых являются исключительно мужчины, с</w:t>
      </w:r>
      <w:r>
        <w:t>о</w:t>
      </w:r>
      <w:r>
        <w:t>крат</w:t>
      </w:r>
      <w:r>
        <w:t>и</w:t>
      </w:r>
      <w:r>
        <w:t>лась с 28,7 % до 21,4 %;</w:t>
      </w:r>
    </w:p>
    <w:p w:rsidR="00000000" w:rsidRDefault="00000000">
      <w:pPr>
        <w:pStyle w:val="dot"/>
      </w:pPr>
      <w:r>
        <w:tab/>
      </w:r>
      <w:r>
        <w:tab/>
        <w:t>•</w:t>
      </w:r>
      <w:r>
        <w:tab/>
        <w:t>в 10 органах из 318 (3,1 %) доля женщин составляет не менее 50 %, вкл</w:t>
      </w:r>
      <w:r>
        <w:t>ю</w:t>
      </w:r>
      <w:r>
        <w:t>чая, в частности, комитет по делам потребителей, где она составляет 75 %, рабочую группу по борьбе с торговлей женщинами – 68,8 % и Н</w:t>
      </w:r>
      <w:r>
        <w:t>а</w:t>
      </w:r>
      <w:r>
        <w:t>циональный консультативный комитет по программе ЕС «Молодежь для Евр</w:t>
      </w:r>
      <w:r>
        <w:t>о</w:t>
      </w:r>
      <w:r>
        <w:t>пы» – 50 %.</w:t>
      </w:r>
    </w:p>
    <w:p w:rsidR="00000000" w:rsidRDefault="00000000">
      <w:pPr>
        <w:pStyle w:val="SingleTxt"/>
      </w:pPr>
      <w:r>
        <w:t>Федеральное правительство уже принимает в сфере своего непосредс</w:t>
      </w:r>
      <w:r>
        <w:t>т</w:t>
      </w:r>
      <w:r>
        <w:t>венного влияния и посредством федерального законодательства меры по укр</w:t>
      </w:r>
      <w:r>
        <w:t>е</w:t>
      </w:r>
      <w:r>
        <w:t>плению основы для назначения в органы на более сбалансированной с генде</w:t>
      </w:r>
      <w:r>
        <w:t>р</w:t>
      </w:r>
      <w:r>
        <w:t>ной точки зрения основе: Федеральный закон о равных возможностях при на</w:t>
      </w:r>
      <w:r>
        <w:t>й</w:t>
      </w:r>
      <w:r>
        <w:t>ме на федеральную службу расширил возможности женщин в плане продвиж</w:t>
      </w:r>
      <w:r>
        <w:t>е</w:t>
      </w:r>
      <w:r>
        <w:t>ния на руководящие должности. По этой причине расширились возможности для назначения большего числа женщин в высокие руководящие органы, с</w:t>
      </w:r>
      <w:r>
        <w:t>о</w:t>
      </w:r>
      <w:r>
        <w:t>стоящие большей частью из руководящих сотрудников. Кроме того, укреплены права комиссаров по вопросам гендерного равноправия. С декабря 2001 года действует положение о необходимости консультироваться при таких назнач</w:t>
      </w:r>
      <w:r>
        <w:t>е</w:t>
      </w:r>
      <w:r>
        <w:t>ниях с комиссарами по вопросам равноправия в федеральных органах или в специально созданных подразделениях по вопросам равноправия (раздел 2 статьи 9 Федерального закона о равных возможностях).</w:t>
      </w:r>
    </w:p>
    <w:p w:rsidR="00000000" w:rsidRDefault="00000000">
      <w:pPr>
        <w:pStyle w:val="SingleTxt"/>
      </w:pPr>
      <w:r>
        <w:t>Для достижения цели, поставленной данным Законом, необходимо также на постоянной основе и в полной мере следовать процедурным положениям, предусмотренным в Федеральном законе о назначении в федеральные органы власти, в каждом случае назначения в эти органы.</w:t>
      </w:r>
    </w:p>
    <w:p w:rsidR="00000000" w:rsidRDefault="00000000">
      <w:pPr>
        <w:pStyle w:val="H23"/>
      </w:pPr>
      <w:bookmarkStart w:id="452" w:name="_Toc44113512"/>
      <w:bookmarkStart w:id="453" w:name="_Toc44113810"/>
      <w:bookmarkStart w:id="454" w:name="_Toc44114318"/>
      <w:bookmarkStart w:id="455" w:name="_Toc44115566"/>
      <w:bookmarkStart w:id="456" w:name="_Toc44115995"/>
      <w:r>
        <w:t>7.2 </w:t>
      </w:r>
      <w:r>
        <w:tab/>
      </w:r>
      <w:r>
        <w:rPr>
          <w:caps/>
        </w:rPr>
        <w:t>п</w:t>
      </w:r>
      <w:r>
        <w:t>рограммы действий ЕС по обеспечению равноправия между мужчинами и женщинами</w:t>
      </w:r>
      <w:bookmarkEnd w:id="452"/>
      <w:bookmarkEnd w:id="453"/>
      <w:bookmarkEnd w:id="454"/>
      <w:bookmarkEnd w:id="455"/>
      <w:bookmarkEnd w:id="456"/>
    </w:p>
    <w:p w:rsidR="00000000" w:rsidRDefault="00000000">
      <w:pPr>
        <w:pStyle w:val="SingleTxt"/>
      </w:pPr>
      <w:r>
        <w:t>В рамках четвертой программы общественных действий по обеспечению равных возможностей для женщин и мужчин (1996-2000 годы) федеральное министерство по делам семьи, престарелых, женщин и молодежи содействов</w:t>
      </w:r>
      <w:r>
        <w:t>а</w:t>
      </w:r>
      <w:r>
        <w:t>ло путем долевого финансирования осуществлению ряда германских проектов, нацеленных на повышение доли женщин на руководящих должностях.</w:t>
      </w:r>
    </w:p>
    <w:p w:rsidR="00000000" w:rsidRDefault="00000000">
      <w:pPr>
        <w:pStyle w:val="SingleTxt"/>
      </w:pPr>
      <w:r>
        <w:t xml:space="preserve">За пятилетний период женский компьютерный центр в Берлине собрал в масштабах всей Европы данные об изменении доли женщин на руководящих должностях в политике и отдельных областях экономики, таких как банковское дело и финансы и информационно-коммуникационные технологии. Результаты его работы были использованы </w:t>
      </w:r>
      <w:r>
        <w:rPr>
          <w:caps/>
        </w:rPr>
        <w:t>к</w:t>
      </w:r>
      <w:r>
        <w:t>омиссией ЕС и его государствами-членами для повышения информированности общественности и разработки стратегий улучшения полож</w:t>
      </w:r>
      <w:r>
        <w:t>е</w:t>
      </w:r>
      <w:r>
        <w:t>ния в этой области.</w:t>
      </w:r>
    </w:p>
    <w:p w:rsidR="00000000" w:rsidRDefault="00000000">
      <w:pPr>
        <w:pStyle w:val="SingleTxt"/>
      </w:pPr>
      <w:r>
        <w:t>Основное внимание в рамках проекта Германского института молодежи и Берлинского технического университета уделялось программам обучения как средству продвижения женщин на должности руководящего уровня. Герма</w:t>
      </w:r>
      <w:r>
        <w:t>н</w:t>
      </w:r>
      <w:r>
        <w:t>ский институт молодежи проводил оценку нынешних программ обучения в г</w:t>
      </w:r>
      <w:r>
        <w:t>о</w:t>
      </w:r>
      <w:r>
        <w:t>сударствах-членах Европейского союза, а Берлинский технический универс</w:t>
      </w:r>
      <w:r>
        <w:t>и</w:t>
      </w:r>
      <w:r>
        <w:t>тет осуществлял учебную программу для женщин, в рамках которой опытные руководящие работники, представляющие политическую и экономическую сферы, рассказывали молодым руководителям-женщинам о своей каждодне</w:t>
      </w:r>
      <w:r>
        <w:t>в</w:t>
      </w:r>
      <w:r>
        <w:t>ной работе. В рамках этого проекта в 1999 году была основана Европейская академия в Берлине для женщин в политике и экономике, задача которой с</w:t>
      </w:r>
      <w:r>
        <w:t>о</w:t>
      </w:r>
      <w:r>
        <w:t>стоит в исследовании новых путей содействия карьерному росту молодых р</w:t>
      </w:r>
      <w:r>
        <w:t>у</w:t>
      </w:r>
      <w:r>
        <w:t>ководит</w:t>
      </w:r>
      <w:r>
        <w:t>е</w:t>
      </w:r>
      <w:r>
        <w:t xml:space="preserve">лей-женщин. </w:t>
      </w:r>
    </w:p>
    <w:p w:rsidR="00000000" w:rsidRDefault="00000000">
      <w:pPr>
        <w:pStyle w:val="SingleTxt"/>
      </w:pPr>
      <w:r>
        <w:t>Вопрос занятия женщинами руководящих должностей находится также в центре внимания пятой Программы действий ЕС по обеспечению равных во</w:t>
      </w:r>
      <w:r>
        <w:t>з</w:t>
      </w:r>
      <w:r>
        <w:t>можностей для женщин и мужчин (2001-2005 год). Она направлена на осущ</w:t>
      </w:r>
      <w:r>
        <w:t>е</w:t>
      </w:r>
      <w:r>
        <w:t>ствление рамочной общественной стратегии в вопросах гендерного равенства. Программа содержит тематические разделы по вопросам равной оплаты (2001 год), сбалансированного участия женщин и мужчин в семейной жизни и производстве (2002 год), сбалансированного участия женщин и мужчин в пр</w:t>
      </w:r>
      <w:r>
        <w:t>о</w:t>
      </w:r>
      <w:r>
        <w:t>цессе принятия решений (2003 год) и изменения гендерных ролей и стереот</w:t>
      </w:r>
      <w:r>
        <w:t>и</w:t>
      </w:r>
      <w:r>
        <w:t>пов (2004 год). По этим вопросам осуществляются транснациональные прое</w:t>
      </w:r>
      <w:r>
        <w:t>к</w:t>
      </w:r>
      <w:r>
        <w:t>ты, в рамках которых проводится анализ, повышается осведомленность и с</w:t>
      </w:r>
      <w:r>
        <w:t>о</w:t>
      </w:r>
      <w:r>
        <w:t>вершенствуются профессиональные навыки работы на национальном и общ</w:t>
      </w:r>
      <w:r>
        <w:t>е</w:t>
      </w:r>
      <w:r>
        <w:t>европейском уровнях.</w:t>
      </w:r>
    </w:p>
    <w:p w:rsidR="00000000" w:rsidRDefault="00000000">
      <w:pPr>
        <w:pStyle w:val="H23"/>
      </w:pPr>
      <w:bookmarkStart w:id="457" w:name="_Toc44113513"/>
      <w:bookmarkStart w:id="458" w:name="_Toc44113811"/>
      <w:bookmarkStart w:id="459" w:name="_Toc44114319"/>
      <w:bookmarkStart w:id="460" w:name="_Toc44115567"/>
      <w:bookmarkStart w:id="461" w:name="_Toc44115996"/>
      <w:r>
        <w:t>7.3 </w:t>
      </w:r>
      <w:r>
        <w:tab/>
        <w:t>Посещение церквей женщинами</w:t>
      </w:r>
      <w:bookmarkEnd w:id="457"/>
      <w:bookmarkEnd w:id="458"/>
      <w:bookmarkEnd w:id="459"/>
      <w:bookmarkEnd w:id="460"/>
      <w:bookmarkEnd w:id="461"/>
    </w:p>
    <w:p w:rsidR="00000000" w:rsidRDefault="00000000">
      <w:pPr>
        <w:pStyle w:val="SingleTxt"/>
      </w:pPr>
      <w:r>
        <w:t>Женщины составляют большинство среди активных прихожан, особенно добровольцев. В протестантских церквях предпринимаются усилия по улучш</w:t>
      </w:r>
      <w:r>
        <w:t>е</w:t>
      </w:r>
      <w:r>
        <w:t>нию положения женщин в рамках церкви. В 17 из 24 земельных церквей, а также в Евангелической церкви Германии в настоящее время работают шта</w:t>
      </w:r>
      <w:r>
        <w:t>т</w:t>
      </w:r>
      <w:r>
        <w:t>ные комиссары по проблемам женщин, а четыре земельные церкви располаг</w:t>
      </w:r>
      <w:r>
        <w:t>а</w:t>
      </w:r>
      <w:r>
        <w:t>ют статутами о равноправии, разработанными по аналогии со статутами гос</w:t>
      </w:r>
      <w:r>
        <w:t>у</w:t>
      </w:r>
      <w:r>
        <w:t>дарственной службы. Почти у половины земельных церквей есть планы улу</w:t>
      </w:r>
      <w:r>
        <w:t>ч</w:t>
      </w:r>
      <w:r>
        <w:t>шения положения женщин. Женщины составляют около 40 % членов синода, три женщины и</w:t>
      </w:r>
      <w:r>
        <w:t>з</w:t>
      </w:r>
      <w:r>
        <w:t>браны епископами.</w:t>
      </w:r>
    </w:p>
    <w:p w:rsidR="00000000" w:rsidRDefault="00000000">
      <w:pPr>
        <w:pStyle w:val="SingleTxt"/>
      </w:pPr>
      <w:r>
        <w:t>В то же время среди действующих теологов женщины составляют менее 25 %, а их представленность в церковном руководстве и во многих органах и комиссиях увеличивается крайне медленно. В начале 2002 года началось ос</w:t>
      </w:r>
      <w:r>
        <w:t>у</w:t>
      </w:r>
      <w:r>
        <w:t>ществление проекта «Наставничество для же</w:t>
      </w:r>
      <w:r>
        <w:t>н</w:t>
      </w:r>
      <w:r>
        <w:t>щин в церкви».</w:t>
      </w:r>
    </w:p>
    <w:p w:rsidR="00000000" w:rsidRDefault="00000000">
      <w:pPr>
        <w:pStyle w:val="SingleTxt"/>
      </w:pPr>
      <w:r>
        <w:t>Женщины-католики все активнее проявляют себя на ответственных дол</w:t>
      </w:r>
      <w:r>
        <w:t>ж</w:t>
      </w:r>
      <w:r>
        <w:t>ностях в рамках церковной жизни, теологии и церковного управления помимо классических сфер социальной и просветительской работы. Касающиеся же</w:t>
      </w:r>
      <w:r>
        <w:t>н</w:t>
      </w:r>
      <w:r>
        <w:t>щин вопросы в настоящее время занимают более приоритетное место в повес</w:t>
      </w:r>
      <w:r>
        <w:t>т</w:t>
      </w:r>
      <w:r>
        <w:t>ке дня внутренних органов католической цер</w:t>
      </w:r>
      <w:r>
        <w:t>к</w:t>
      </w:r>
      <w:r>
        <w:t>ви.</w:t>
      </w:r>
    </w:p>
    <w:p w:rsidR="00000000" w:rsidRDefault="00000000">
      <w:pPr>
        <w:pStyle w:val="H23"/>
      </w:pPr>
      <w:bookmarkStart w:id="462" w:name="_Toc44113514"/>
      <w:bookmarkStart w:id="463" w:name="_Toc44113812"/>
      <w:bookmarkStart w:id="464" w:name="_Toc44114320"/>
      <w:bookmarkStart w:id="465" w:name="_Toc44115568"/>
      <w:bookmarkStart w:id="466" w:name="_Toc44115997"/>
      <w:r>
        <w:t>7.4 </w:t>
      </w:r>
      <w:r>
        <w:tab/>
        <w:t>Женские организации</w:t>
      </w:r>
      <w:bookmarkEnd w:id="462"/>
      <w:bookmarkEnd w:id="463"/>
      <w:bookmarkEnd w:id="464"/>
      <w:bookmarkEnd w:id="465"/>
      <w:bookmarkEnd w:id="466"/>
    </w:p>
    <w:p w:rsidR="00000000" w:rsidRDefault="00000000">
      <w:pPr>
        <w:pStyle w:val="SingleTxt"/>
      </w:pPr>
      <w:r>
        <w:t>Женские ассоциации, группы и инициативы объединяют в настоящее вр</w:t>
      </w:r>
      <w:r>
        <w:t>е</w:t>
      </w:r>
      <w:r>
        <w:t>мя почти 15 млн. женщин. Совет женщин Германии является крупнейшей зо</w:t>
      </w:r>
      <w:r>
        <w:t>н</w:t>
      </w:r>
      <w:r>
        <w:t>тичной организацией женских ассоциаций. Он объединяет почти 60 членских организаций (женских ассоциаций и групп смешанных организаций по состо</w:t>
      </w:r>
      <w:r>
        <w:t>я</w:t>
      </w:r>
      <w:r>
        <w:t xml:space="preserve">нию на 2002 год). </w:t>
      </w:r>
      <w:r>
        <w:rPr>
          <w:caps/>
        </w:rPr>
        <w:t>м</w:t>
      </w:r>
      <w:r>
        <w:t>ногие из них, в свою очередь, являются зонтичными орг</w:t>
      </w:r>
      <w:r>
        <w:t>а</w:t>
      </w:r>
      <w:r>
        <w:t>низациями. Организации, входящие в Совет женщин Германии, представляют интересы многих женских организаций страны. К их числу относятся профе</w:t>
      </w:r>
      <w:r>
        <w:t>с</w:t>
      </w:r>
      <w:r>
        <w:t>сиональные женские ассоциации, религиозные женские организации, парти</w:t>
      </w:r>
      <w:r>
        <w:t>й</w:t>
      </w:r>
      <w:r>
        <w:t>ные женские организации, профсоюзные женские орган</w:t>
      </w:r>
      <w:r>
        <w:t>и</w:t>
      </w:r>
      <w:r>
        <w:t>зации и национально-этнические женские ассоциации. Совет женщин Германии объединяет интер</w:t>
      </w:r>
      <w:r>
        <w:t>е</w:t>
      </w:r>
      <w:r>
        <w:t>сы своих членских организаций и представляет их в политических дебатах и процессах пр</w:t>
      </w:r>
      <w:r>
        <w:t>и</w:t>
      </w:r>
      <w:r>
        <w:t>нятия решений.</w:t>
      </w:r>
    </w:p>
    <w:p w:rsidR="00000000" w:rsidRDefault="00000000">
      <w:pPr>
        <w:pStyle w:val="H23"/>
      </w:pPr>
      <w:bookmarkStart w:id="467" w:name="_Toc44113515"/>
      <w:bookmarkStart w:id="468" w:name="_Toc44113813"/>
      <w:bookmarkStart w:id="469" w:name="_Toc44114321"/>
      <w:bookmarkStart w:id="470" w:name="_Toc44115569"/>
      <w:bookmarkStart w:id="471" w:name="_Toc44115998"/>
      <w:r>
        <w:t>7.5 </w:t>
      </w:r>
      <w:r>
        <w:tab/>
        <w:t>Женщины в средствах массовой информации</w:t>
      </w:r>
      <w:bookmarkEnd w:id="467"/>
      <w:bookmarkEnd w:id="468"/>
      <w:bookmarkEnd w:id="469"/>
      <w:bookmarkEnd w:id="470"/>
      <w:bookmarkEnd w:id="471"/>
    </w:p>
    <w:p w:rsidR="00000000" w:rsidRDefault="00000000">
      <w:pPr>
        <w:pStyle w:val="SingleTxt"/>
      </w:pPr>
      <w:r>
        <w:t>Что касается описания и рассмотрения вопросов, касающихся положения женщин в средствах массовой информации, то следует обратить внимание на информацию, содержащуюся в этой связи в разделах 37 и 38 главы «Рассмо</w:t>
      </w:r>
      <w:r>
        <w:t>т</w:t>
      </w:r>
      <w:r>
        <w:t xml:space="preserve">рение докладов». К этому можно добавить, что в рамках проекта глобального мониторинга </w:t>
      </w:r>
      <w:r>
        <w:rPr>
          <w:caps/>
        </w:rPr>
        <w:t>г</w:t>
      </w:r>
      <w:r>
        <w:t>ерманская ассоциация женщин-журналистов подвела итоги пр</w:t>
      </w:r>
      <w:r>
        <w:t>о</w:t>
      </w:r>
      <w:r>
        <w:t>веденного ею исследования в брошюре «Кто создает новости?». В брошюре рассматриваются изменения, происшедшие в отображении женщин в газетах, по радио и телевидению в период после четвертой Всемирной конференции Организации Объединенных Наций по проблемам женщин в Пекине в 1995 году</w:t>
      </w:r>
    </w:p>
    <w:p w:rsidR="00000000" w:rsidRDefault="00000000">
      <w:pPr>
        <w:pStyle w:val="SingleTxt"/>
      </w:pPr>
      <w:r>
        <w:t>Что касается частоты упоминания женских имен по телевидению, радио и в печатных СМИ, то с 1995 года произошло лишь незначительное увеличение – с 17 % до 18 %. Наиболее часто женщины упоминаются в роли жертвы (18,7 %). Их доля (21 %) превышает долю мужчин (5 %) лишь в случае упом</w:t>
      </w:r>
      <w:r>
        <w:t>и</w:t>
      </w:r>
      <w:r>
        <w:t>нания их социального положения. С другой стороны, возросла доля женщин среди работников СМИ, особенно работников телевидения. Они преобладают в возрастной группе от 20 до 34 лет. Равные доли мужчин и женщин отмечаются в возрастных группах от 35 до 40 лет, а в группе старше 50 лет по-прежнему преобладают мужчины.</w:t>
      </w:r>
    </w:p>
    <w:p w:rsidR="00000000" w:rsidRDefault="00000000">
      <w:pPr>
        <w:pStyle w:val="H1"/>
      </w:pPr>
      <w:bookmarkStart w:id="472" w:name="_Toc44113516"/>
      <w:bookmarkStart w:id="473" w:name="_Toc44113814"/>
      <w:bookmarkStart w:id="474" w:name="_Toc44114322"/>
      <w:bookmarkStart w:id="475" w:name="_Toc44115570"/>
      <w:bookmarkStart w:id="476" w:name="_Toc44115999"/>
      <w:r>
        <w:t xml:space="preserve">8. </w:t>
      </w:r>
      <w:r>
        <w:tab/>
        <w:t>Статья 8: Участие женщин в международной деятельности</w:t>
      </w:r>
      <w:bookmarkEnd w:id="472"/>
      <w:bookmarkEnd w:id="473"/>
      <w:bookmarkEnd w:id="474"/>
      <w:bookmarkEnd w:id="475"/>
      <w:bookmarkEnd w:id="476"/>
    </w:p>
    <w:p w:rsidR="00000000" w:rsidRDefault="00000000">
      <w:pPr>
        <w:pStyle w:val="SingleTxt"/>
        <w:ind w:left="1740" w:hanging="476"/>
        <w:rPr>
          <w:i/>
        </w:rPr>
      </w:pPr>
      <w:r>
        <w:rPr>
          <w:i/>
        </w:rPr>
        <w:tab/>
      </w:r>
      <w:r>
        <w:rPr>
          <w:i/>
        </w:rPr>
        <w:tab/>
        <w:t>Статья 8</w:t>
      </w:r>
    </w:p>
    <w:p w:rsidR="00000000" w:rsidRDefault="00000000">
      <w:pPr>
        <w:pStyle w:val="SingleTxt"/>
        <w:ind w:left="1740" w:hanging="476"/>
        <w:rPr>
          <w:i/>
        </w:rPr>
      </w:pPr>
      <w:r>
        <w:rPr>
          <w:i/>
        </w:rPr>
        <w:tab/>
      </w:r>
      <w:r>
        <w:rPr>
          <w:i/>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w:t>
      </w:r>
      <w:r>
        <w:rPr>
          <w:i/>
        </w:rPr>
        <w:t>е</w:t>
      </w:r>
      <w:r>
        <w:rPr>
          <w:i/>
        </w:rPr>
        <w:t>ждународном уровне и участвовать в работе международных организ</w:t>
      </w:r>
      <w:r>
        <w:rPr>
          <w:i/>
        </w:rPr>
        <w:t>а</w:t>
      </w:r>
      <w:r>
        <w:rPr>
          <w:i/>
        </w:rPr>
        <w:t>ций.</w:t>
      </w:r>
    </w:p>
    <w:p w:rsidR="00000000" w:rsidRDefault="00000000">
      <w:pPr>
        <w:pStyle w:val="SingleTxt"/>
      </w:pPr>
      <w:r>
        <w:t>Федеральное правительство придает большое значение информированию женщин, в частности, о возможностях карьеры в международных организац</w:t>
      </w:r>
      <w:r>
        <w:t>и</w:t>
      </w:r>
      <w:r>
        <w:t>ях, например, путем включения Совета женщин Германии в реестр общих об</w:t>
      </w:r>
      <w:r>
        <w:t>ъ</w:t>
      </w:r>
      <w:r>
        <w:t>явлений для назначения на международные должности. Таким образом, а также через контакты со СМИ и интервью с ними заинтересованные женщины могут, в частности, получить информацию на подготовительных семинарах, провод</w:t>
      </w:r>
      <w:r>
        <w:t>и</w:t>
      </w:r>
      <w:r>
        <w:t>мых министерством иностранных дел по вопросам отборочных конкурсов на продолжение карьеры в Комиссии европейского союза. Это позволяет также получить информацию о так называемом пуле международных должностей – банке данных об имеющихся в настоящее время вакансиях в международных организациях. Усилия федерального правительства по увеличению доли же</w:t>
      </w:r>
      <w:r>
        <w:t>н</w:t>
      </w:r>
      <w:r>
        <w:t>щин из числа германских граждан среди сотрудников международных орган</w:t>
      </w:r>
      <w:r>
        <w:t>и</w:t>
      </w:r>
      <w:r>
        <w:t>заций в рассматриваемый в докладе период принесли свои результаты. Вместе с тем необходимо продолжать усилия для достижения гендерного равенства среди германских граждан, работающих в международных о</w:t>
      </w:r>
      <w:r>
        <w:t>р</w:t>
      </w:r>
      <w:r>
        <w:t>ганизациях.</w:t>
      </w:r>
    </w:p>
    <w:p w:rsidR="00000000" w:rsidRDefault="00000000">
      <w:pPr>
        <w:pStyle w:val="H23"/>
      </w:pPr>
      <w:bookmarkStart w:id="477" w:name="_Toc44113517"/>
      <w:bookmarkStart w:id="478" w:name="_Toc44113815"/>
      <w:bookmarkStart w:id="479" w:name="_Toc44114323"/>
      <w:bookmarkStart w:id="480" w:name="_Toc44115571"/>
      <w:bookmarkStart w:id="481" w:name="_Toc44116000"/>
      <w:r>
        <w:t>8.1 </w:t>
      </w:r>
      <w:r>
        <w:tab/>
        <w:t>Система Организации Объединенных Наций</w:t>
      </w:r>
      <w:bookmarkEnd w:id="477"/>
      <w:bookmarkEnd w:id="478"/>
      <w:bookmarkEnd w:id="479"/>
      <w:bookmarkEnd w:id="480"/>
      <w:bookmarkEnd w:id="481"/>
    </w:p>
    <w:p w:rsidR="00000000" w:rsidRDefault="00000000">
      <w:pPr>
        <w:pStyle w:val="SingleTxt"/>
      </w:pPr>
      <w:r>
        <w:t>В соответствии с бюллетенем Секретариата ООН по вопросам найма от 24 сентября 2001 года в Секретариате ООН работает 129 сотрудников герма</w:t>
      </w:r>
      <w:r>
        <w:t>н</w:t>
      </w:r>
      <w:r>
        <w:t>ской национальности, из них должности в сопоставимой административной службе занимают 46 женщин. Коэффициент, таким образом, составляет 35,66 процента. Соответствующая доля в 1996 году составляла 30,7 процента, а в 1994 году – 29,7 процента.</w:t>
      </w:r>
    </w:p>
    <w:p w:rsidR="00000000" w:rsidRDefault="00000000">
      <w:pPr>
        <w:pStyle w:val="SingleTxt"/>
      </w:pPr>
      <w:r>
        <w:t>На руководящих должностях Секретариата ООН, т.е. в классе Д-2 и выше, работает одна женщина из четырех граждан Германии (должность класса Д-2 в ДПВ). Если рассматривать все карьерные должности, то в Секретариате ООН работают 296 граждан германской национальности, из которых 124 – женщ</w:t>
      </w:r>
      <w:r>
        <w:t>и</w:t>
      </w:r>
      <w:r>
        <w:t>ны. Соотношение составляет 41,89 процента.</w:t>
      </w:r>
    </w:p>
    <w:p w:rsidR="00000000" w:rsidRDefault="00000000">
      <w:pPr>
        <w:pStyle w:val="SingleTxt"/>
      </w:pPr>
      <w:r>
        <w:t>В Бюро по вопросам персонала международных организаций (</w:t>
      </w:r>
      <w:r>
        <w:rPr>
          <w:lang w:val="en-US"/>
        </w:rPr>
        <w:t>B</w:t>
      </w:r>
      <w:r>
        <w:t>ü</w:t>
      </w:r>
      <w:r>
        <w:rPr>
          <w:lang w:val="en-US"/>
        </w:rPr>
        <w:t>ro</w:t>
      </w:r>
      <w:r>
        <w:t xml:space="preserve"> </w:t>
      </w:r>
      <w:r>
        <w:rPr>
          <w:lang w:val="en-US"/>
        </w:rPr>
        <w:t>F</w:t>
      </w:r>
      <w:r>
        <w:t>ü</w:t>
      </w:r>
      <w:r>
        <w:rPr>
          <w:lang w:val="en-US"/>
        </w:rPr>
        <w:t>hrungskr</w:t>
      </w:r>
      <w:r>
        <w:t>ä</w:t>
      </w:r>
      <w:r>
        <w:rPr>
          <w:lang w:val="en-US"/>
        </w:rPr>
        <w:t>fte</w:t>
      </w:r>
      <w:r>
        <w:t xml:space="preserve"> </w:t>
      </w:r>
      <w:r>
        <w:rPr>
          <w:lang w:val="en-US"/>
        </w:rPr>
        <w:t>zu</w:t>
      </w:r>
      <w:r>
        <w:t xml:space="preserve"> </w:t>
      </w:r>
      <w:r>
        <w:rPr>
          <w:lang w:val="en-US"/>
        </w:rPr>
        <w:t>Internationalen</w:t>
      </w:r>
      <w:r>
        <w:t xml:space="preserve"> </w:t>
      </w:r>
      <w:r>
        <w:rPr>
          <w:lang w:val="en-US"/>
        </w:rPr>
        <w:t>Organisationen</w:t>
      </w:r>
      <w:r>
        <w:t>) в Бонне – агентстве Федерал</w:t>
      </w:r>
      <w:r>
        <w:t>ь</w:t>
      </w:r>
      <w:r>
        <w:t>ной службы занятости по трудоустройству в международных организациях в рамках всей системы ООН, т.е. в Секретариате ООН и организациях по оказ</w:t>
      </w:r>
      <w:r>
        <w:t>а</w:t>
      </w:r>
      <w:r>
        <w:t>нию помощи, специализированных учреждениях, специальных организациях и автономных организациях, зарегистрировано 870 германских сотрудников (включая командированных экспертов, консультантов и непостоянный перс</w:t>
      </w:r>
      <w:r>
        <w:t>о</w:t>
      </w:r>
      <w:r>
        <w:t>нал) компаративной административной службы. Из этого числа 295 человек, т.е. 33,91 процента, – женщины. Доля женщин в группе Всемирного банка ан</w:t>
      </w:r>
      <w:r>
        <w:t>а</w:t>
      </w:r>
      <w:r>
        <w:t>логична: Бюро по трудоустройство зарегистрировало 181 германского сотру</w:t>
      </w:r>
      <w:r>
        <w:t>д</w:t>
      </w:r>
      <w:r>
        <w:t>ника, 64 из которых – женщины. Таким образом, их доля составляет 35,36 процента.</w:t>
      </w:r>
    </w:p>
    <w:p w:rsidR="00000000" w:rsidRDefault="00000000">
      <w:pPr>
        <w:pStyle w:val="H23"/>
      </w:pPr>
      <w:bookmarkStart w:id="482" w:name="_Toc44113518"/>
      <w:bookmarkStart w:id="483" w:name="_Toc44113816"/>
      <w:bookmarkStart w:id="484" w:name="_Toc44114324"/>
      <w:bookmarkStart w:id="485" w:name="_Toc44115572"/>
      <w:bookmarkStart w:id="486" w:name="_Toc44116001"/>
      <w:r>
        <w:t>8.2</w:t>
      </w:r>
      <w:r>
        <w:tab/>
        <w:t>Система Европейского союза</w:t>
      </w:r>
      <w:bookmarkEnd w:id="482"/>
      <w:bookmarkEnd w:id="483"/>
      <w:bookmarkEnd w:id="484"/>
      <w:bookmarkEnd w:id="485"/>
      <w:bookmarkEnd w:id="486"/>
    </w:p>
    <w:p w:rsidR="00000000" w:rsidRDefault="00000000">
      <w:pPr>
        <w:pStyle w:val="SingleTxt"/>
      </w:pPr>
      <w:r>
        <w:t>При предоставлении информации и выдвижении германских кандидатов на отборочные конкурсы ЕС, состоявшиеся в этом году, министерство ин</w:t>
      </w:r>
      <w:r>
        <w:t>о</w:t>
      </w:r>
      <w:r>
        <w:t>странных дел, в частности, принимало во внимание активную политику Евр</w:t>
      </w:r>
      <w:r>
        <w:t>о</w:t>
      </w:r>
      <w:r>
        <w:t>пейской комиссии по продвижению женщин, прежде всего поощрению женщин к подаче заявлений на участие в процедуре конкурсного отбора кандидатов. В подготовительных семинарах ЕС, проводимых министерством иностранных дел, квота женщин вполне удовлетворительна: в восьми состоявшихся на сег</w:t>
      </w:r>
      <w:r>
        <w:t>о</w:t>
      </w:r>
      <w:r>
        <w:t>дняшний день семинарах участвовало 958 человек, 41 процент которых соста</w:t>
      </w:r>
      <w:r>
        <w:t>в</w:t>
      </w:r>
      <w:r>
        <w:t>ляли женщины. Для участия в предстоящих семинарах в Гамбурге зарегистр</w:t>
      </w:r>
      <w:r>
        <w:t>и</w:t>
      </w:r>
      <w:r>
        <w:t>ровался 131 человек, из которых 41,2 процента – женщины, для участия в с</w:t>
      </w:r>
      <w:r>
        <w:t>е</w:t>
      </w:r>
      <w:r>
        <w:t>минарах в Брюсселе зарегистрировался 81 человек, из которых женщины с</w:t>
      </w:r>
      <w:r>
        <w:t>о</w:t>
      </w:r>
      <w:r>
        <w:t>ставляют 61,8 процента.</w:t>
      </w:r>
    </w:p>
    <w:p w:rsidR="00000000" w:rsidRDefault="00000000">
      <w:pPr>
        <w:pStyle w:val="SingleTxt"/>
      </w:pPr>
      <w:r>
        <w:t>Среди персонала Комиссии ЕС германские граждане (по состоянию на о</w:t>
      </w:r>
      <w:r>
        <w:t>к</w:t>
      </w:r>
      <w:r>
        <w:t>тябрь 2001 года) распределены следующим образом: в должностных категориях А1 – А8 (сопоставимых с высшими административными должностями) насч</w:t>
      </w:r>
      <w:r>
        <w:t>и</w:t>
      </w:r>
      <w:r>
        <w:t>тывается 568 мужчин и 108 женщин, т.е., доля женщин составляет 15,98 процента. На высших должностях классов А1 и А2 женщин нет. Должн</w:t>
      </w:r>
      <w:r>
        <w:t>о</w:t>
      </w:r>
      <w:r>
        <w:t>сти класса А3 занимают три женщины. Сравнительной статистикой по мужч</w:t>
      </w:r>
      <w:r>
        <w:t>и</w:t>
      </w:r>
      <w:r>
        <w:t>нам могут служить следующие цифры: 9 человек занимают должности класса А1, 23 человека – должности класса А2 и 61 человек – должности класса А3.</w:t>
      </w:r>
    </w:p>
    <w:p w:rsidR="00000000" w:rsidRDefault="00000000">
      <w:pPr>
        <w:pStyle w:val="SingleTxt"/>
      </w:pPr>
      <w:r>
        <w:t>В категории должностей В (в общем сопоставимых с административной службой) доля женщин среди сотрудников германской национальности соста</w:t>
      </w:r>
      <w:r>
        <w:t>в</w:t>
      </w:r>
      <w:r>
        <w:t>ляет 52,94 процента (117 женщин и 104 мужчины), а среди должностей катег</w:t>
      </w:r>
      <w:r>
        <w:t>о</w:t>
      </w:r>
      <w:r>
        <w:t>рии С (в целом сопоставимой с промежуточным уровнем службы) – 53,72 процента (375 женщин и 323 мужчины).</w:t>
      </w:r>
    </w:p>
    <w:p w:rsidR="00000000" w:rsidRDefault="00000000">
      <w:pPr>
        <w:pStyle w:val="SingleTxt"/>
      </w:pPr>
      <w:r>
        <w:t>При создании в 1999 году новой Комиссии на должности в кабинетах б</w:t>
      </w:r>
      <w:r>
        <w:t>ы</w:t>
      </w:r>
      <w:r>
        <w:t xml:space="preserve">ли также произведены новые назначения. </w:t>
      </w:r>
      <w:r>
        <w:rPr>
          <w:caps/>
        </w:rPr>
        <w:t>и</w:t>
      </w:r>
      <w:r>
        <w:t xml:space="preserve">з 18 членов кабинетов от Германии, назначенных в тот момент было 10 женщин. </w:t>
      </w:r>
    </w:p>
    <w:p w:rsidR="00000000" w:rsidRDefault="00000000">
      <w:pPr>
        <w:pStyle w:val="SingleTxt"/>
      </w:pPr>
      <w:r>
        <w:t>Среди назначений федерального правительства на высшие должности в системе ЕС необходимо отметить следующие:</w:t>
      </w:r>
    </w:p>
    <w:p w:rsidR="00000000" w:rsidRDefault="00000000">
      <w:pPr>
        <w:pStyle w:val="dot"/>
      </w:pPr>
      <w:r>
        <w:tab/>
      </w:r>
      <w:r>
        <w:tab/>
        <w:t>–</w:t>
      </w:r>
      <w:r>
        <w:tab/>
        <w:t>комиссар Шрайер (1999 год)</w:t>
      </w:r>
    </w:p>
    <w:p w:rsidR="00000000" w:rsidRDefault="00000000">
      <w:pPr>
        <w:pStyle w:val="dot"/>
      </w:pPr>
      <w:r>
        <w:tab/>
      </w:r>
      <w:r>
        <w:tab/>
        <w:t>–</w:t>
      </w:r>
      <w:r>
        <w:tab/>
        <w:t>германский судья Колнерик в Европейском суде (2000 год)</w:t>
      </w:r>
    </w:p>
    <w:p w:rsidR="00000000" w:rsidRDefault="00000000">
      <w:pPr>
        <w:pStyle w:val="dot"/>
      </w:pPr>
      <w:r>
        <w:tab/>
      </w:r>
      <w:r>
        <w:tab/>
        <w:t>–</w:t>
      </w:r>
      <w:r>
        <w:tab/>
        <w:t>член Европейского ревизионного суда от Германии фон Ведель (с 1 января 2002 года)</w:t>
      </w:r>
    </w:p>
    <w:p w:rsidR="00000000" w:rsidRDefault="00000000">
      <w:pPr>
        <w:pStyle w:val="H23"/>
      </w:pPr>
      <w:bookmarkStart w:id="487" w:name="_Toc44113519"/>
      <w:bookmarkStart w:id="488" w:name="_Toc44113817"/>
      <w:bookmarkStart w:id="489" w:name="_Toc44114325"/>
      <w:bookmarkStart w:id="490" w:name="_Toc44115573"/>
      <w:bookmarkStart w:id="491" w:name="_Toc44116002"/>
      <w:r>
        <w:t>8.3</w:t>
      </w:r>
      <w:r>
        <w:tab/>
        <w:t xml:space="preserve">Дипломатическая служба Федеративной </w:t>
      </w:r>
      <w:r>
        <w:rPr>
          <w:caps/>
        </w:rPr>
        <w:t>р</w:t>
      </w:r>
      <w:r>
        <w:t>еспублики Германии</w:t>
      </w:r>
      <w:bookmarkEnd w:id="487"/>
      <w:bookmarkEnd w:id="488"/>
      <w:bookmarkEnd w:id="489"/>
      <w:bookmarkEnd w:id="490"/>
      <w:bookmarkEnd w:id="491"/>
    </w:p>
    <w:p w:rsidR="00000000" w:rsidRDefault="00000000">
      <w:pPr>
        <w:pStyle w:val="SingleTxt"/>
      </w:pPr>
      <w:r>
        <w:t xml:space="preserve">В масштабах всей дипломатической службы </w:t>
      </w:r>
      <w:r>
        <w:rPr>
          <w:caps/>
        </w:rPr>
        <w:t>ф</w:t>
      </w:r>
      <w:r>
        <w:t xml:space="preserve">едеративной </w:t>
      </w:r>
      <w:r>
        <w:rPr>
          <w:caps/>
        </w:rPr>
        <w:t>р</w:t>
      </w:r>
      <w:r>
        <w:t>еспублики по состоянию на 9 ноября 2001 года доля женщин составляла 41 5; на высших а</w:t>
      </w:r>
      <w:r>
        <w:t>д</w:t>
      </w:r>
      <w:r>
        <w:t>министративных должностях службы – 19 процентов. На руководящих должн</w:t>
      </w:r>
      <w:r>
        <w:t>о</w:t>
      </w:r>
      <w:r>
        <w:t>стях в загранпредставительствах она составляла 9,2 процента (по сравнению с 7,6 процента в 1997 году и 5,2 процента в 1995 году). По состоянию на 9 ноября 2001 года женщины занимали 6,5 процента руководящих должностей в центральном аппарате (сравнительные данные отсутствуют). В 2001 году среди новых назначений на руководящие административные должности в д</w:t>
      </w:r>
      <w:r>
        <w:t>и</w:t>
      </w:r>
      <w:r>
        <w:t>пломатической службе женщины составляли 42,5 процента (25 процентов в 1999 году и 27 процентов в 1997 году).</w:t>
      </w:r>
    </w:p>
    <w:p w:rsidR="00000000" w:rsidRDefault="00000000">
      <w:pPr>
        <w:pStyle w:val="H1"/>
      </w:pPr>
      <w:bookmarkStart w:id="492" w:name="_Toc44113520"/>
      <w:bookmarkStart w:id="493" w:name="_Toc44113818"/>
      <w:bookmarkStart w:id="494" w:name="_Toc44114326"/>
      <w:bookmarkStart w:id="495" w:name="_Toc44115574"/>
      <w:bookmarkStart w:id="496" w:name="_Toc44116003"/>
      <w:r>
        <w:t xml:space="preserve">9. </w:t>
      </w:r>
      <w:r>
        <w:tab/>
        <w:t>Статья 9: Гражданство женщин и детей</w:t>
      </w:r>
      <w:bookmarkEnd w:id="492"/>
      <w:bookmarkEnd w:id="493"/>
      <w:bookmarkEnd w:id="494"/>
      <w:bookmarkEnd w:id="495"/>
      <w:bookmarkEnd w:id="496"/>
    </w:p>
    <w:p w:rsidR="00000000" w:rsidRDefault="00000000">
      <w:pPr>
        <w:pStyle w:val="SingleTxt"/>
        <w:ind w:left="1740" w:hanging="476"/>
        <w:rPr>
          <w:i/>
        </w:rPr>
      </w:pPr>
      <w:r>
        <w:rPr>
          <w:i/>
        </w:rPr>
        <w:tab/>
      </w:r>
      <w:r>
        <w:rPr>
          <w:i/>
        </w:rPr>
        <w:tab/>
        <w:t>Статья 9</w:t>
      </w:r>
    </w:p>
    <w:p w:rsidR="00000000" w:rsidRDefault="00000000">
      <w:pPr>
        <w:pStyle w:val="SingleTxt"/>
        <w:ind w:left="1740" w:hanging="476"/>
        <w:rPr>
          <w:i/>
        </w:rPr>
      </w:pPr>
      <w:r>
        <w:rPr>
          <w:i/>
        </w:rPr>
        <w:tab/>
      </w:r>
      <w:r>
        <w:rPr>
          <w:i/>
        </w:rPr>
        <w:tab/>
        <w:t>(1) Государства-участники предоставляют женщинам равные с мужч</w:t>
      </w:r>
      <w:r>
        <w:rPr>
          <w:i/>
        </w:rPr>
        <w:t>и</w:t>
      </w:r>
      <w:r>
        <w:rPr>
          <w:i/>
        </w:rPr>
        <w:t>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w:t>
      </w:r>
      <w:r>
        <w:rPr>
          <w:i/>
        </w:rPr>
        <w:t>е</w:t>
      </w:r>
      <w:r>
        <w:rPr>
          <w:i/>
        </w:rPr>
        <w:t>вращают ее в лицо без гражданства и не могут заставить ее принять гражда</w:t>
      </w:r>
      <w:r>
        <w:rPr>
          <w:i/>
        </w:rPr>
        <w:t>н</w:t>
      </w:r>
      <w:r>
        <w:rPr>
          <w:i/>
        </w:rPr>
        <w:t>ство мужа.</w:t>
      </w:r>
    </w:p>
    <w:p w:rsidR="00000000" w:rsidRDefault="00000000">
      <w:pPr>
        <w:pStyle w:val="SingleTxt"/>
        <w:ind w:left="1740" w:hanging="476"/>
        <w:rPr>
          <w:i/>
        </w:rPr>
      </w:pPr>
      <w:r>
        <w:rPr>
          <w:i/>
        </w:rPr>
        <w:tab/>
      </w:r>
      <w:r>
        <w:rPr>
          <w:i/>
        </w:rPr>
        <w:tab/>
        <w:t>(2) Государства-участники предоставляют женщинам равные с мужч</w:t>
      </w:r>
      <w:r>
        <w:rPr>
          <w:i/>
        </w:rPr>
        <w:t>и</w:t>
      </w:r>
      <w:r>
        <w:rPr>
          <w:i/>
        </w:rPr>
        <w:t>нами права в отношении гражданства их детей.</w:t>
      </w:r>
    </w:p>
    <w:p w:rsidR="00000000" w:rsidRDefault="00000000">
      <w:pPr>
        <w:pStyle w:val="SingleTxt"/>
      </w:pPr>
      <w:r>
        <w:t>По сравнению с предыдущим докладом какие-либо изменения или доба</w:t>
      </w:r>
      <w:r>
        <w:t>в</w:t>
      </w:r>
      <w:r>
        <w:t>ления отсутствуют.</w:t>
      </w:r>
    </w:p>
    <w:p w:rsidR="00000000" w:rsidRDefault="00000000">
      <w:pPr>
        <w:pStyle w:val="H1"/>
      </w:pPr>
      <w:bookmarkStart w:id="497" w:name="_Toc44113521"/>
      <w:bookmarkStart w:id="498" w:name="_Toc44113819"/>
      <w:bookmarkStart w:id="499" w:name="_Toc44114327"/>
      <w:bookmarkStart w:id="500" w:name="_Toc44115575"/>
      <w:bookmarkStart w:id="501" w:name="_Toc44116004"/>
      <w:r>
        <w:t xml:space="preserve">10. </w:t>
      </w:r>
      <w:r>
        <w:tab/>
        <w:t>Статья 10: Равноправие мужчин и женщин в области образования и спорта</w:t>
      </w:r>
      <w:bookmarkEnd w:id="497"/>
      <w:bookmarkEnd w:id="498"/>
      <w:bookmarkEnd w:id="499"/>
      <w:bookmarkEnd w:id="500"/>
      <w:bookmarkEnd w:id="501"/>
    </w:p>
    <w:p w:rsidR="00000000" w:rsidRDefault="00000000">
      <w:pPr>
        <w:pStyle w:val="SingleTxt"/>
        <w:ind w:left="1740" w:hanging="476"/>
        <w:rPr>
          <w:i/>
        </w:rPr>
      </w:pPr>
      <w:r>
        <w:rPr>
          <w:i/>
        </w:rPr>
        <w:tab/>
      </w:r>
      <w:r>
        <w:rPr>
          <w:i/>
        </w:rPr>
        <w:tab/>
        <w:t>Статья 10</w:t>
      </w:r>
    </w:p>
    <w:p w:rsidR="00000000" w:rsidRDefault="00000000">
      <w:pPr>
        <w:pStyle w:val="SingleTxt"/>
        <w:ind w:left="1740" w:hanging="476"/>
        <w:rPr>
          <w:i/>
        </w:rPr>
      </w:pPr>
      <w:r>
        <w:rPr>
          <w:i/>
        </w:rPr>
        <w:tab/>
      </w:r>
      <w:r>
        <w:rPr>
          <w:i/>
        </w:rPr>
        <w:tab/>
        <w:t>Государства-участники принимают все соответствующие меры для т</w:t>
      </w:r>
      <w:r>
        <w:rPr>
          <w:i/>
        </w:rPr>
        <w:t>о</w:t>
      </w:r>
      <w:r>
        <w:rPr>
          <w:i/>
        </w:rPr>
        <w:t>го, чтобы ликвидировать дискриминацию в отношении женщин, с тем, чтобы обеспечить им равные права с мужчинами в области образования и, в частн</w:t>
      </w:r>
      <w:r>
        <w:rPr>
          <w:i/>
        </w:rPr>
        <w:t>о</w:t>
      </w:r>
      <w:r>
        <w:rPr>
          <w:i/>
        </w:rPr>
        <w:t>сти, обеспечить на основе равенства мужчин и женщин:</w:t>
      </w:r>
    </w:p>
    <w:p w:rsidR="00000000" w:rsidRDefault="00000000">
      <w:pPr>
        <w:pStyle w:val="SingleTxt"/>
        <w:ind w:left="1740" w:hanging="476"/>
        <w:rPr>
          <w:i/>
        </w:rPr>
      </w:pPr>
      <w:r>
        <w:rPr>
          <w:i/>
        </w:rPr>
        <w:tab/>
      </w:r>
      <w:r>
        <w:rPr>
          <w:i/>
        </w:rPr>
        <w:tab/>
        <w:t>а) одинаковые условия для ориентации в выборе профессии или специал</w:t>
      </w:r>
      <w:r>
        <w:rPr>
          <w:i/>
        </w:rPr>
        <w:t>ь</w:t>
      </w:r>
      <w:r>
        <w:rPr>
          <w:i/>
        </w:rPr>
        <w:t>ности, для доступа к образованию и получению дипломов в учебных зав</w:t>
      </w:r>
      <w:r>
        <w:rPr>
          <w:i/>
        </w:rPr>
        <w:t>е</w:t>
      </w:r>
      <w:r>
        <w:rPr>
          <w:i/>
        </w:rPr>
        <w:t>дениях всех категорий как в сельских, так и в городских районах; это р</w:t>
      </w:r>
      <w:r>
        <w:rPr>
          <w:i/>
        </w:rPr>
        <w:t>а</w:t>
      </w:r>
      <w:r>
        <w:rPr>
          <w:i/>
        </w:rPr>
        <w:t>венство обеспечивается в дошкольном, общем, специальном и высшем техническом образовании, а также во всех видах профессиональной по</w:t>
      </w:r>
      <w:r>
        <w:rPr>
          <w:i/>
        </w:rPr>
        <w:t>д</w:t>
      </w:r>
      <w:r>
        <w:rPr>
          <w:i/>
        </w:rPr>
        <w:t>готовки;</w:t>
      </w:r>
    </w:p>
    <w:p w:rsidR="00000000" w:rsidRDefault="00000000">
      <w:pPr>
        <w:pStyle w:val="SingleTxt"/>
        <w:ind w:left="1740" w:hanging="476"/>
        <w:rPr>
          <w:i/>
        </w:rPr>
      </w:pPr>
      <w:r>
        <w:rPr>
          <w:i/>
        </w:rPr>
        <w:tab/>
      </w:r>
      <w:r>
        <w:rPr>
          <w:i/>
        </w:rPr>
        <w:tab/>
      </w:r>
      <w:r>
        <w:rPr>
          <w:i/>
          <w:lang w:val="en-US"/>
        </w:rPr>
        <w:t>b</w:t>
      </w:r>
      <w:r>
        <w:rPr>
          <w:i/>
        </w:rPr>
        <w:t xml:space="preserve">) </w:t>
      </w:r>
      <w:r>
        <w:rPr>
          <w:i/>
          <w:caps/>
        </w:rPr>
        <w:t>д</w:t>
      </w:r>
      <w:r>
        <w:rPr>
          <w:i/>
        </w:rPr>
        <w:t>оступ к одинаковым программам обучения, одинаковым экзаменам, преподавательскому составу одинаковой квалификации, школьным пом</w:t>
      </w:r>
      <w:r>
        <w:rPr>
          <w:i/>
        </w:rPr>
        <w:t>е</w:t>
      </w:r>
      <w:r>
        <w:rPr>
          <w:i/>
        </w:rPr>
        <w:t>щен</w:t>
      </w:r>
      <w:r>
        <w:rPr>
          <w:i/>
        </w:rPr>
        <w:t>и</w:t>
      </w:r>
      <w:r>
        <w:rPr>
          <w:i/>
        </w:rPr>
        <w:t>ям и оборудованию равного качества;</w:t>
      </w:r>
    </w:p>
    <w:p w:rsidR="00000000" w:rsidRDefault="00000000">
      <w:pPr>
        <w:pStyle w:val="SingleTxt"/>
        <w:ind w:left="1740" w:hanging="476"/>
        <w:rPr>
          <w:i/>
        </w:rPr>
      </w:pPr>
      <w:r>
        <w:rPr>
          <w:i/>
        </w:rPr>
        <w:tab/>
      </w:r>
      <w:r>
        <w:rPr>
          <w:i/>
        </w:rPr>
        <w:tab/>
        <w:t>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w:t>
      </w:r>
      <w:r>
        <w:rPr>
          <w:i/>
        </w:rPr>
        <w:t>с</w:t>
      </w:r>
      <w:r>
        <w:rPr>
          <w:i/>
        </w:rPr>
        <w:t>тижению этой цели, и, в частности, путем пересмотра учебных пособий и школьных программ и адаптации методов обуч</w:t>
      </w:r>
      <w:r>
        <w:rPr>
          <w:i/>
        </w:rPr>
        <w:t>е</w:t>
      </w:r>
      <w:r>
        <w:rPr>
          <w:i/>
        </w:rPr>
        <w:t>ния;</w:t>
      </w:r>
    </w:p>
    <w:p w:rsidR="00000000" w:rsidRDefault="00000000">
      <w:pPr>
        <w:pStyle w:val="SingleTxt"/>
        <w:ind w:left="1740" w:hanging="476"/>
        <w:rPr>
          <w:i/>
        </w:rPr>
      </w:pPr>
      <w:r>
        <w:rPr>
          <w:i/>
        </w:rPr>
        <w:tab/>
      </w:r>
      <w:r>
        <w:rPr>
          <w:i/>
        </w:rPr>
        <w:tab/>
      </w:r>
      <w:r>
        <w:rPr>
          <w:i/>
          <w:lang w:val="en-US"/>
        </w:rPr>
        <w:t>d</w:t>
      </w:r>
      <w:r>
        <w:rPr>
          <w:i/>
        </w:rPr>
        <w:t>) одинаковые возможности получения стипендий и других пособий на образ</w:t>
      </w:r>
      <w:r>
        <w:rPr>
          <w:i/>
        </w:rPr>
        <w:t>о</w:t>
      </w:r>
      <w:r>
        <w:rPr>
          <w:i/>
        </w:rPr>
        <w:t>вание;</w:t>
      </w:r>
    </w:p>
    <w:p w:rsidR="00000000" w:rsidRDefault="00000000">
      <w:pPr>
        <w:pStyle w:val="SingleTxt"/>
        <w:ind w:left="1740" w:hanging="476"/>
        <w:rPr>
          <w:i/>
        </w:rPr>
      </w:pPr>
      <w:r>
        <w:rPr>
          <w:i/>
        </w:rPr>
        <w:tab/>
      </w:r>
      <w:r>
        <w:rPr>
          <w:i/>
        </w:rPr>
        <w:tab/>
      </w:r>
      <w:r>
        <w:rPr>
          <w:i/>
          <w:lang w:val="en-US"/>
        </w:rPr>
        <w:t>e</w:t>
      </w:r>
      <w:r>
        <w:rPr>
          <w:i/>
        </w:rPr>
        <w:t>) одинаковые возможности доступа к программам продолжения образ</w:t>
      </w:r>
      <w:r>
        <w:rPr>
          <w:i/>
        </w:rPr>
        <w:t>о</w:t>
      </w:r>
      <w:r>
        <w:rPr>
          <w:i/>
        </w:rPr>
        <w:t>вания, включая программы распространения грамотности среди взро</w:t>
      </w:r>
      <w:r>
        <w:rPr>
          <w:i/>
        </w:rPr>
        <w:t>с</w:t>
      </w:r>
      <w:r>
        <w:rPr>
          <w:i/>
        </w:rPr>
        <w:t>лых и программы функциональной грамотности, направленные, в частн</w:t>
      </w:r>
      <w:r>
        <w:rPr>
          <w:i/>
        </w:rPr>
        <w:t>о</w:t>
      </w:r>
      <w:r>
        <w:rPr>
          <w:i/>
        </w:rPr>
        <w:t>сти, на сокращение как можно скорее любого разрыва в знаниях мужчин и женщин;</w:t>
      </w:r>
    </w:p>
    <w:p w:rsidR="00000000" w:rsidRDefault="00000000">
      <w:pPr>
        <w:pStyle w:val="SingleTxt"/>
        <w:ind w:left="1740" w:hanging="476"/>
        <w:rPr>
          <w:i/>
        </w:rPr>
      </w:pPr>
      <w:r>
        <w:rPr>
          <w:i/>
        </w:rPr>
        <w:tab/>
      </w:r>
      <w:r>
        <w:rPr>
          <w:i/>
        </w:rPr>
        <w:tab/>
      </w:r>
      <w:r>
        <w:rPr>
          <w:i/>
          <w:lang w:val="en-US"/>
        </w:rPr>
        <w:t>f</w:t>
      </w:r>
      <w:r>
        <w:rPr>
          <w:i/>
        </w:rPr>
        <w:t>) 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pStyle w:val="SingleTxt"/>
        <w:ind w:left="1740" w:hanging="476"/>
        <w:rPr>
          <w:i/>
        </w:rPr>
      </w:pPr>
      <w:r>
        <w:rPr>
          <w:i/>
        </w:rPr>
        <w:tab/>
      </w:r>
      <w:r>
        <w:rPr>
          <w:i/>
        </w:rPr>
        <w:tab/>
      </w:r>
      <w:r>
        <w:rPr>
          <w:i/>
          <w:lang w:val="en-US"/>
        </w:rPr>
        <w:t>g</w:t>
      </w:r>
      <w:r>
        <w:rPr>
          <w:i/>
        </w:rPr>
        <w:t>) одинаковые возможности активно участвовать в занятиях спортом и физической подг</w:t>
      </w:r>
      <w:r>
        <w:rPr>
          <w:i/>
        </w:rPr>
        <w:t>о</w:t>
      </w:r>
      <w:r>
        <w:rPr>
          <w:i/>
        </w:rPr>
        <w:t>товкой;</w:t>
      </w:r>
    </w:p>
    <w:p w:rsidR="00000000" w:rsidRDefault="00000000">
      <w:pPr>
        <w:pStyle w:val="SingleTxt"/>
        <w:ind w:left="1740" w:hanging="476"/>
        <w:rPr>
          <w:i/>
        </w:rPr>
      </w:pPr>
      <w:r>
        <w:rPr>
          <w:i/>
        </w:rPr>
        <w:tab/>
      </w:r>
      <w:r>
        <w:rPr>
          <w:i/>
        </w:rPr>
        <w:tab/>
      </w:r>
      <w:r>
        <w:rPr>
          <w:i/>
          <w:lang w:val="en-US"/>
        </w:rPr>
        <w:t>h</w:t>
      </w:r>
      <w:r>
        <w:rPr>
          <w:i/>
        </w:rPr>
        <w:t>) доступ к специальной информации образовательного характера в целях содействия обеспечению здоровья и благосостояния семей, включая и</w:t>
      </w:r>
      <w:r>
        <w:rPr>
          <w:i/>
        </w:rPr>
        <w:t>н</w:t>
      </w:r>
      <w:r>
        <w:rPr>
          <w:i/>
        </w:rPr>
        <w:t>формацию о консультации о планиров</w:t>
      </w:r>
      <w:r>
        <w:rPr>
          <w:i/>
        </w:rPr>
        <w:t>а</w:t>
      </w:r>
      <w:r>
        <w:rPr>
          <w:i/>
        </w:rPr>
        <w:t>нии размера семьи.</w:t>
      </w:r>
    </w:p>
    <w:p w:rsidR="00000000" w:rsidRDefault="00000000">
      <w:pPr>
        <w:pStyle w:val="SingleTxt"/>
      </w:pPr>
      <w:r>
        <w:t>В качестве дополнения к предыдущему докладу обращается внимание на изменения в положении женщин и девушек в данной области, которые излож</w:t>
      </w:r>
      <w:r>
        <w:t>е</w:t>
      </w:r>
      <w:r>
        <w:t xml:space="preserve">ны в пункте 3.2 части </w:t>
      </w:r>
      <w:r>
        <w:rPr>
          <w:lang w:val="en-US"/>
        </w:rPr>
        <w:t>I</w:t>
      </w:r>
      <w:r>
        <w:t xml:space="preserve"> и пункте 3.3 части </w:t>
      </w:r>
      <w:r>
        <w:rPr>
          <w:lang w:val="en-US"/>
        </w:rPr>
        <w:t>I</w:t>
      </w:r>
      <w:r>
        <w:t xml:space="preserve">. </w:t>
      </w:r>
      <w:r>
        <w:rPr>
          <w:caps/>
        </w:rPr>
        <w:t>к</w:t>
      </w:r>
      <w:r>
        <w:t>роме того, можно добавить сл</w:t>
      </w:r>
      <w:r>
        <w:t>е</w:t>
      </w:r>
      <w:r>
        <w:t>дующее.</w:t>
      </w:r>
    </w:p>
    <w:p w:rsidR="00000000" w:rsidRDefault="00000000">
      <w:pPr>
        <w:pStyle w:val="H23"/>
      </w:pPr>
      <w:bookmarkStart w:id="502" w:name="_Toc44113522"/>
      <w:bookmarkStart w:id="503" w:name="_Toc44113820"/>
      <w:bookmarkStart w:id="504" w:name="_Toc44114328"/>
      <w:bookmarkStart w:id="505" w:name="_Toc44115576"/>
      <w:bookmarkStart w:id="506" w:name="_Toc44116005"/>
      <w:r>
        <w:t>10.1 </w:t>
      </w:r>
      <w:r>
        <w:tab/>
        <w:t>Женщины и спорт</w:t>
      </w:r>
      <w:bookmarkEnd w:id="502"/>
      <w:bookmarkEnd w:id="503"/>
      <w:bookmarkEnd w:id="504"/>
      <w:bookmarkEnd w:id="505"/>
      <w:bookmarkEnd w:id="506"/>
    </w:p>
    <w:p w:rsidR="00000000" w:rsidRDefault="00000000">
      <w:pPr>
        <w:pStyle w:val="SingleTxt"/>
      </w:pPr>
      <w:r>
        <w:t>В области спорта имеют место существенные различия между полами. Женщины и девушки предпочитают более популярные и требующие меньших нагрузок виды спорта, такие как гимнастика, верховая езда, теннис и танцы, в то время как мужчины и юноши тяготеют к командным и соревновательным видам спорта, таким как футбол, гандбол, баскетбол и легкая атлетика. В 2000 году Германская ассоциация спорта насчитывала среди своих членов 10,3 млн. женщин, доля которых с</w:t>
      </w:r>
      <w:r>
        <w:t>о</w:t>
      </w:r>
      <w:r>
        <w:t>ставляла соответственно 38,6 процента.</w:t>
      </w:r>
    </w:p>
    <w:p w:rsidR="00000000" w:rsidRDefault="00000000">
      <w:pPr>
        <w:pStyle w:val="SingleTxt"/>
      </w:pPr>
      <w:r>
        <w:t>Хотя на долю женщин в спортивных клубах приходится почти 40 процентов, их руководящие органы, как в добровольной, так и в професси</w:t>
      </w:r>
      <w:r>
        <w:t>о</w:t>
      </w:r>
      <w:r>
        <w:t xml:space="preserve">нальной сфере состоят главным образом из мужчин. Женщины занимают лишь 25 процентов должностей в спортивных клубах. Среди президентов клубов на долю женщин приходится лишь 9 процентов. </w:t>
      </w:r>
      <w:r>
        <w:rPr>
          <w:caps/>
        </w:rPr>
        <w:t>п</w:t>
      </w:r>
      <w:r>
        <w:t>ричины этого заключаются в частности в том, что женщины проявляют сдержанность при устройстве на р</w:t>
      </w:r>
      <w:r>
        <w:t>а</w:t>
      </w:r>
      <w:r>
        <w:t>боту в традиционные организации, где главенствующее положение занимают мужчины. В порядке поддержки спортивных ассоциаций земель центральных ассоциаций и других спортивных органов, проводящих политику уделения п</w:t>
      </w:r>
      <w:r>
        <w:t>о</w:t>
      </w:r>
      <w:r>
        <w:t>вышенного внимания гендерным вопросам и стремящихся добиться увелич</w:t>
      </w:r>
      <w:r>
        <w:t>е</w:t>
      </w:r>
      <w:r>
        <w:t>ния доли женщин в руководящих спортивных органах, федеральное министе</w:t>
      </w:r>
      <w:r>
        <w:t>р</w:t>
      </w:r>
      <w:r>
        <w:t>ство по делам семьи, престарелых, женщин и молодежи в сотрудничестве с Национальным олимпийским комитетом выступило с инициативой модельного проекта «Женщины в руководстве». В рамках проекта ведется изучение пол</w:t>
      </w:r>
      <w:r>
        <w:t>о</w:t>
      </w:r>
      <w:r>
        <w:t>жения дел в трех проблемных областях: женщины на руководящих должностях в спорте, добровольные центры и общественная работа в спорте, социальная динамика спорта – создается синергический эффект, используются знания и опыт женщин при заполнении вакансий среди руководящего персонала, оказ</w:t>
      </w:r>
      <w:r>
        <w:t>ы</w:t>
      </w:r>
      <w:r>
        <w:t xml:space="preserve">вается содействие равному доступу женщин к влиятельным и руководящим должностям в спорте. </w:t>
      </w:r>
      <w:r>
        <w:rPr>
          <w:caps/>
        </w:rPr>
        <w:t>в</w:t>
      </w:r>
      <w:r>
        <w:t xml:space="preserve"> этой связи в сотрудничестве с ассоциациями создан общий фонд для поддержки перспективных долгосрочных мер по улучшению положения женщин и дальнейшего развития всего спорта в целом.</w:t>
      </w:r>
    </w:p>
    <w:p w:rsidR="00000000" w:rsidRDefault="00000000">
      <w:pPr>
        <w:pStyle w:val="SingleTxt"/>
      </w:pPr>
      <w:r>
        <w:t>Тема «Продвижение женщин на руководящие должности в спорте» вызв</w:t>
      </w:r>
      <w:r>
        <w:t>а</w:t>
      </w:r>
      <w:r>
        <w:t xml:space="preserve">ла широкий резонанс на пятой </w:t>
      </w:r>
      <w:r>
        <w:rPr>
          <w:caps/>
        </w:rPr>
        <w:t>е</w:t>
      </w:r>
      <w:r>
        <w:t>вропейской женской спортивной конференции «Женщины, спорт и новаторство», состоявшейся в Берлине 19-21 апреля 2002 года.</w:t>
      </w:r>
    </w:p>
    <w:p w:rsidR="00000000" w:rsidRDefault="00000000">
      <w:pPr>
        <w:pStyle w:val="SingleTxt"/>
      </w:pPr>
      <w:r>
        <w:t xml:space="preserve">В этой связи особого упоминания заслуживает проект «Давайте, девушки, играть в баскетбол». В рамках проекта девушкам из школ и клубов в 1999-2000 годах предлагалось создавать новые баскетбольные команды и вступать в имеющиеся. Проект Германской баскетбольной федерации и </w:t>
      </w:r>
      <w:r>
        <w:rPr>
          <w:caps/>
        </w:rPr>
        <w:t>ж</w:t>
      </w:r>
      <w:r>
        <w:t>енской фед</w:t>
      </w:r>
      <w:r>
        <w:t>е</w:t>
      </w:r>
      <w:r>
        <w:t>ральной баскетбольной лиги получил поддержку федерального министерства по делам семьи, престарелых, женщин и молодежи и впервые предполагал м</w:t>
      </w:r>
      <w:r>
        <w:t>о</w:t>
      </w:r>
      <w:r>
        <w:t>тивацию для привлечения девушек к серьезным занятиям спортом в тех видах, где ранее доминировали юноши. В рамках данного проекта опробовалась ко</w:t>
      </w:r>
      <w:r>
        <w:t>н</w:t>
      </w:r>
      <w:r>
        <w:t>цепция тренировок, игр и соревнований, рассчитанных на девушек, при этом цель такой апробации состояла в возможном использовании ее в других видах спорта.</w:t>
      </w:r>
    </w:p>
    <w:p w:rsidR="00000000" w:rsidRDefault="00000000">
      <w:pPr>
        <w:pStyle w:val="H23"/>
      </w:pPr>
      <w:bookmarkStart w:id="507" w:name="_Toc44113523"/>
      <w:bookmarkStart w:id="508" w:name="_Toc44113821"/>
      <w:bookmarkStart w:id="509" w:name="_Toc44114329"/>
      <w:bookmarkStart w:id="510" w:name="_Toc44115577"/>
      <w:bookmarkStart w:id="511" w:name="_Toc44116006"/>
      <w:r>
        <w:t>10.2 </w:t>
      </w:r>
      <w:r>
        <w:tab/>
        <w:t>Планирование, образование и консультирование по вопросам семьи</w:t>
      </w:r>
      <w:bookmarkEnd w:id="507"/>
      <w:bookmarkEnd w:id="508"/>
      <w:bookmarkEnd w:id="509"/>
      <w:bookmarkEnd w:id="510"/>
      <w:bookmarkEnd w:id="511"/>
    </w:p>
    <w:p w:rsidR="00000000" w:rsidRDefault="00000000">
      <w:pPr>
        <w:pStyle w:val="SingleTxt"/>
      </w:pPr>
      <w:r>
        <w:t>В силу статьи 1 Закона о помощи беременным женщинам и членам их с</w:t>
      </w:r>
      <w:r>
        <w:t>е</w:t>
      </w:r>
      <w:r>
        <w:t>мей задача по разработке концепции, мер и путей полового воспитания и пл</w:t>
      </w:r>
      <w:r>
        <w:t>а</w:t>
      </w:r>
      <w:r>
        <w:t xml:space="preserve">нирования семьи законодательно возложена на </w:t>
      </w:r>
      <w:r>
        <w:rPr>
          <w:caps/>
        </w:rPr>
        <w:t>ф</w:t>
      </w:r>
      <w:r>
        <w:t>едеральный центр медици</w:t>
      </w:r>
      <w:r>
        <w:t>н</w:t>
      </w:r>
      <w:r>
        <w:t>ского просвещения. Главная цель всех этих мер заключается в предупреждении конфликтов, связанных с беременностью.</w:t>
      </w:r>
    </w:p>
    <w:p w:rsidR="00000000" w:rsidRDefault="00000000">
      <w:pPr>
        <w:pStyle w:val="SingleTxt"/>
      </w:pPr>
      <w:r>
        <w:t>В рамках координации мероприятий, проводимых компетентными фед</w:t>
      </w:r>
      <w:r>
        <w:t>е</w:t>
      </w:r>
      <w:r>
        <w:t>ральными и земельными органами, имеет место широкое законодательно оформленное сотрудничество между Федеральным центром медицинского пр</w:t>
      </w:r>
      <w:r>
        <w:t>о</w:t>
      </w:r>
      <w:r>
        <w:t>свещения и земельными органами в сферах сексуальных исследований, план</w:t>
      </w:r>
      <w:r>
        <w:t>и</w:t>
      </w:r>
      <w:r>
        <w:t>рования семьи и применения противозачато</w:t>
      </w:r>
      <w:r>
        <w:t>ч</w:t>
      </w:r>
      <w:r>
        <w:t>ных средств.</w:t>
      </w:r>
    </w:p>
    <w:p w:rsidR="00000000" w:rsidRDefault="00000000">
      <w:pPr>
        <w:pStyle w:val="SingleTxt"/>
      </w:pPr>
      <w:r>
        <w:t>Одной из главных задач Федерального центра является разработка орие</w:t>
      </w:r>
      <w:r>
        <w:t>н</w:t>
      </w:r>
      <w:r>
        <w:t>тированных на целевые группы концепций целостного полового воспитания и планирования семьи в контексте планирования жизни. Разработка этих конце</w:t>
      </w:r>
      <w:r>
        <w:t>п</w:t>
      </w:r>
      <w:r>
        <w:t>ций ведется на основе подходов, предусматривающих сосредоточение усилий на развитии коммуникативных навыков посредством информирования, мотив</w:t>
      </w:r>
      <w:r>
        <w:t>а</w:t>
      </w:r>
      <w:r>
        <w:t>ции и повышения уровня знаний.</w:t>
      </w:r>
    </w:p>
    <w:p w:rsidR="00000000" w:rsidRDefault="00000000">
      <w:pPr>
        <w:pStyle w:val="SingleTxt"/>
      </w:pPr>
      <w:r>
        <w:t>Помимо выработки стандартных общенациональных мер и средств Фед</w:t>
      </w:r>
      <w:r>
        <w:t>е</w:t>
      </w:r>
      <w:r>
        <w:t>ральный центр медицинского просвещения содействует осуществлению орие</w:t>
      </w:r>
      <w:r>
        <w:t>н</w:t>
      </w:r>
      <w:r>
        <w:t>тированных на практические результаты модельных проектов и мер по сове</w:t>
      </w:r>
      <w:r>
        <w:t>р</w:t>
      </w:r>
      <w:r>
        <w:t>шенствованию навыков, а также организует проведение исследований. Основу для разработки средств и определения тематики мер составляют повторные представительные вопросники, которые позволяют вносить необходимые изм</w:t>
      </w:r>
      <w:r>
        <w:t>е</w:t>
      </w:r>
      <w:r>
        <w:t>нения в су</w:t>
      </w:r>
      <w:r>
        <w:t>б</w:t>
      </w:r>
      <w:r>
        <w:t>стантивные задачи в свете изменений в социальных условиях.</w:t>
      </w:r>
    </w:p>
    <w:p w:rsidR="00000000" w:rsidRDefault="00000000">
      <w:pPr>
        <w:pStyle w:val="SingleTxt"/>
      </w:pPr>
      <w:r>
        <w:t>Разрабатываемые проекты и меры, как правило, учитывают различные специфические с точки зрения пола условия и предназначены для конкретной аудитории девушек/юношей и женщин/мужчин. При разработке мер и прое</w:t>
      </w:r>
      <w:r>
        <w:t>к</w:t>
      </w:r>
      <w:r>
        <w:t>тов, которые уже предполагают гендерный подход, их рассмотрение и соотве</w:t>
      </w:r>
      <w:r>
        <w:t>т</w:t>
      </w:r>
      <w:r>
        <w:t>ствующее применение происходит с учетом задач повышения роли гендерного фактора.</w:t>
      </w:r>
    </w:p>
    <w:p w:rsidR="00000000" w:rsidRDefault="00000000">
      <w:pPr>
        <w:pStyle w:val="SingleTxt"/>
      </w:pPr>
      <w:r>
        <w:t>На этой рабочей основе Федеральный центр медицинского просвещения оказывает содействие осуществлению проектов и экспериментов. В качестве примеров можно назвать следующие:</w:t>
      </w:r>
    </w:p>
    <w:p w:rsidR="00000000" w:rsidRDefault="00000000">
      <w:pPr>
        <w:pStyle w:val="dot"/>
      </w:pPr>
      <w:r>
        <w:tab/>
      </w:r>
      <w:r>
        <w:tab/>
        <w:t>•</w:t>
      </w:r>
      <w:r>
        <w:tab/>
        <w:t>Отражение юношеского творчества в рамках проекта федеральных земель Ринеланд-Палатинате и Саарская область, посвященного юношескому творч</w:t>
      </w:r>
      <w:r>
        <w:t>е</w:t>
      </w:r>
      <w:r>
        <w:t>ству с учетом гендерного фактора</w:t>
      </w:r>
    </w:p>
    <w:p w:rsidR="00000000" w:rsidRDefault="00000000">
      <w:pPr>
        <w:pStyle w:val="dot"/>
      </w:pPr>
      <w:r>
        <w:tab/>
      </w:r>
      <w:r>
        <w:tab/>
        <w:t>•</w:t>
      </w:r>
      <w:r>
        <w:tab/>
        <w:t>Такова жизнь женщины</w:t>
      </w:r>
    </w:p>
    <w:p w:rsidR="00000000" w:rsidRDefault="00000000">
      <w:pPr>
        <w:pStyle w:val="dot"/>
      </w:pPr>
      <w:r>
        <w:tab/>
      </w:r>
      <w:r>
        <w:tab/>
        <w:t>•</w:t>
      </w:r>
      <w:r>
        <w:tab/>
        <w:t>Исследование вопросов карьеры и планирования семьи</w:t>
      </w:r>
    </w:p>
    <w:p w:rsidR="00000000" w:rsidRDefault="00000000">
      <w:pPr>
        <w:pStyle w:val="dot"/>
      </w:pPr>
      <w:r>
        <w:tab/>
      </w:r>
      <w:r>
        <w:tab/>
        <w:t>•</w:t>
      </w:r>
      <w:r>
        <w:tab/>
        <w:t>Круг качества при дородовой диагностике</w:t>
      </w:r>
    </w:p>
    <w:p w:rsidR="00000000" w:rsidRDefault="00000000">
      <w:pPr>
        <w:pStyle w:val="dot"/>
      </w:pPr>
      <w:r>
        <w:tab/>
      </w:r>
      <w:r>
        <w:tab/>
        <w:t>•</w:t>
      </w:r>
      <w:r>
        <w:tab/>
        <w:t>Экспериментальный проект для врачей и консультантов по данному в</w:t>
      </w:r>
      <w:r>
        <w:t>о</w:t>
      </w:r>
      <w:r>
        <w:t>просу</w:t>
      </w:r>
    </w:p>
    <w:p w:rsidR="00000000" w:rsidRDefault="00000000">
      <w:pPr>
        <w:pStyle w:val="dot"/>
      </w:pPr>
      <w:r>
        <w:tab/>
      </w:r>
      <w:r>
        <w:tab/>
        <w:t>•</w:t>
      </w:r>
      <w:r>
        <w:tab/>
        <w:t xml:space="preserve"> «Она сама наполовину ребенок»</w:t>
      </w:r>
    </w:p>
    <w:p w:rsidR="00000000" w:rsidRDefault="00000000">
      <w:pPr>
        <w:pStyle w:val="dot"/>
      </w:pPr>
      <w:r>
        <w:tab/>
      </w:r>
      <w:r>
        <w:tab/>
        <w:t>•</w:t>
      </w:r>
      <w:r>
        <w:tab/>
        <w:t>Обследование жилищных условий, мнений и отношения к противозач</w:t>
      </w:r>
      <w:r>
        <w:t>а</w:t>
      </w:r>
      <w:r>
        <w:t>точным средствам м</w:t>
      </w:r>
      <w:r>
        <w:t>о</w:t>
      </w:r>
      <w:r>
        <w:t>лодых беременных женщин и матерей</w:t>
      </w:r>
    </w:p>
    <w:p w:rsidR="00000000" w:rsidRDefault="00000000">
      <w:pPr>
        <w:pStyle w:val="dot"/>
      </w:pPr>
      <w:r>
        <w:tab/>
      </w:r>
      <w:r>
        <w:tab/>
        <w:t>•</w:t>
      </w:r>
      <w:r>
        <w:tab/>
        <w:t>Сексуальность и противозачаточные средства с точки зрения молодых л</w:t>
      </w:r>
      <w:r>
        <w:t>ю</w:t>
      </w:r>
      <w:r>
        <w:t>дей и их родителей, повторное исследование 1994/1996/1998/2001 годы</w:t>
      </w:r>
    </w:p>
    <w:p w:rsidR="00000000" w:rsidRDefault="00000000">
      <w:pPr>
        <w:pStyle w:val="dot"/>
      </w:pPr>
      <w:r>
        <w:tab/>
      </w:r>
      <w:r>
        <w:tab/>
        <w:t>•</w:t>
      </w:r>
      <w:r>
        <w:tab/>
        <w:t>Самостоятельные девушки действуют по-своему</w:t>
      </w:r>
    </w:p>
    <w:p w:rsidR="00000000" w:rsidRDefault="00000000">
      <w:pPr>
        <w:pStyle w:val="dot"/>
      </w:pPr>
      <w:r>
        <w:tab/>
      </w:r>
      <w:r>
        <w:tab/>
        <w:t>•</w:t>
      </w:r>
      <w:r>
        <w:tab/>
        <w:t>Документы совещания специалистов по вопросам просветительской раб</w:t>
      </w:r>
      <w:r>
        <w:t>о</w:t>
      </w:r>
      <w:r>
        <w:t>ты с девушками по вопросам полового просвещения, состоявшегося в и</w:t>
      </w:r>
      <w:r>
        <w:t>ю</w:t>
      </w:r>
      <w:r>
        <w:t>не 2000 года</w:t>
      </w:r>
    </w:p>
    <w:p w:rsidR="00000000" w:rsidRDefault="00000000">
      <w:pPr>
        <w:pStyle w:val="SingleTxt"/>
      </w:pPr>
      <w:r>
        <w:t>Имеется перечень всех опубликованных изданий Федерального центра медицинского просвещения, ежеквартальное периодическое издание, «Форум полового воспитания и планирования семьи» содержит информацию о резул</w:t>
      </w:r>
      <w:r>
        <w:t>ь</w:t>
      </w:r>
      <w:r>
        <w:t>татах основных исследований, практических задачах и средствах. В рамках с</w:t>
      </w:r>
      <w:r>
        <w:t>е</w:t>
      </w:r>
      <w:r>
        <w:t>рии «Исследования и практика полового воспитания и планирования семьи» Федеральный центр медицинского просвещения организует дискуссии и обе</w:t>
      </w:r>
      <w:r>
        <w:t>с</w:t>
      </w:r>
      <w:r>
        <w:t>печивает взаимосвязь между научной теорией и практикой.</w:t>
      </w:r>
    </w:p>
    <w:p w:rsidR="00000000" w:rsidRDefault="00000000">
      <w:pPr>
        <w:pStyle w:val="H1"/>
      </w:pPr>
      <w:bookmarkStart w:id="512" w:name="_Toc44113524"/>
      <w:bookmarkStart w:id="513" w:name="_Toc44113822"/>
      <w:bookmarkStart w:id="514" w:name="_Toc44114330"/>
      <w:bookmarkStart w:id="515" w:name="_Toc44115578"/>
      <w:bookmarkStart w:id="516" w:name="_Toc44116007"/>
      <w:r>
        <w:t xml:space="preserve">11. </w:t>
      </w:r>
      <w:r>
        <w:tab/>
        <w:t>Статья 11: Равноправие мужчин и женщин в области занятости</w:t>
      </w:r>
      <w:bookmarkEnd w:id="512"/>
      <w:bookmarkEnd w:id="513"/>
      <w:bookmarkEnd w:id="514"/>
      <w:bookmarkEnd w:id="515"/>
      <w:bookmarkEnd w:id="516"/>
    </w:p>
    <w:p w:rsidR="00000000" w:rsidRDefault="00000000">
      <w:pPr>
        <w:pStyle w:val="SingleTxt"/>
        <w:ind w:left="1740" w:hanging="476"/>
        <w:rPr>
          <w:i/>
        </w:rPr>
      </w:pPr>
      <w:r>
        <w:rPr>
          <w:i/>
        </w:rPr>
        <w:tab/>
      </w:r>
      <w:r>
        <w:rPr>
          <w:i/>
        </w:rPr>
        <w:tab/>
        <w:t>Статья 11</w:t>
      </w:r>
    </w:p>
    <w:p w:rsidR="00000000" w:rsidRDefault="00000000">
      <w:pPr>
        <w:pStyle w:val="SingleTxt"/>
        <w:ind w:left="1740" w:hanging="476"/>
        <w:rPr>
          <w:i/>
        </w:rPr>
      </w:pPr>
      <w:r>
        <w:rPr>
          <w:i/>
        </w:rPr>
        <w:tab/>
      </w:r>
      <w:r>
        <w:rPr>
          <w:i/>
        </w:rPr>
        <w:tab/>
        <w:t>(1) 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w:t>
      </w:r>
      <w:r>
        <w:rPr>
          <w:i/>
        </w:rPr>
        <w:t>а</w:t>
      </w:r>
      <w:r>
        <w:rPr>
          <w:i/>
        </w:rPr>
        <w:t>стности:</w:t>
      </w:r>
    </w:p>
    <w:p w:rsidR="00000000" w:rsidRDefault="00000000">
      <w:pPr>
        <w:pStyle w:val="SingleTxt"/>
        <w:ind w:left="2217" w:hanging="953"/>
        <w:rPr>
          <w:i/>
        </w:rPr>
      </w:pPr>
      <w:r>
        <w:rPr>
          <w:i/>
        </w:rPr>
        <w:tab/>
      </w:r>
      <w:r>
        <w:rPr>
          <w:i/>
        </w:rPr>
        <w:tab/>
      </w:r>
      <w:r>
        <w:rPr>
          <w:i/>
        </w:rPr>
        <w:tab/>
        <w:t>а) право на труд как неотъемлемое право всех людей;</w:t>
      </w:r>
    </w:p>
    <w:p w:rsidR="00000000" w:rsidRDefault="00000000">
      <w:pPr>
        <w:pStyle w:val="SingleTxt"/>
        <w:ind w:left="2217" w:hanging="953"/>
        <w:rPr>
          <w:i/>
        </w:rPr>
      </w:pPr>
      <w:r>
        <w:rPr>
          <w:i/>
        </w:rPr>
        <w:tab/>
      </w:r>
      <w:r>
        <w:rPr>
          <w:i/>
        </w:rPr>
        <w:tab/>
      </w:r>
      <w:r>
        <w:rPr>
          <w:i/>
        </w:rPr>
        <w:tab/>
      </w:r>
      <w:r>
        <w:rPr>
          <w:i/>
          <w:lang w:val="en-US"/>
        </w:rPr>
        <w:t>b</w:t>
      </w:r>
      <w:r>
        <w:rPr>
          <w:i/>
        </w:rPr>
        <w:t>) право на одинаковые возможности при найме на работу, в том числе применение одинак</w:t>
      </w:r>
      <w:r>
        <w:rPr>
          <w:i/>
        </w:rPr>
        <w:t>о</w:t>
      </w:r>
      <w:r>
        <w:rPr>
          <w:i/>
        </w:rPr>
        <w:t>вых критериев отбора при найме;</w:t>
      </w:r>
    </w:p>
    <w:p w:rsidR="00000000" w:rsidRDefault="00000000">
      <w:pPr>
        <w:pStyle w:val="SingleTxt"/>
        <w:ind w:left="2217" w:hanging="953"/>
        <w:rPr>
          <w:i/>
        </w:rPr>
      </w:pPr>
      <w:r>
        <w:rPr>
          <w:i/>
        </w:rPr>
        <w:tab/>
      </w:r>
      <w:r>
        <w:rPr>
          <w:i/>
        </w:rPr>
        <w:tab/>
      </w:r>
      <w:r>
        <w:rPr>
          <w:i/>
        </w:rPr>
        <w:tab/>
      </w:r>
      <w:r>
        <w:rPr>
          <w:i/>
          <w:lang w:val="en-US"/>
        </w:rPr>
        <w:t>c</w:t>
      </w:r>
      <w:r>
        <w:rPr>
          <w:i/>
        </w:rPr>
        <w:t>) право на свободный выбор профессии или рода работы, на пр</w:t>
      </w:r>
      <w:r>
        <w:rPr>
          <w:i/>
        </w:rPr>
        <w:t>о</w:t>
      </w:r>
      <w:r>
        <w:rPr>
          <w:i/>
        </w:rPr>
        <w:t>движение в должности и гарантию занятости, а также на польз</w:t>
      </w:r>
      <w:r>
        <w:rPr>
          <w:i/>
        </w:rPr>
        <w:t>о</w:t>
      </w:r>
      <w:r>
        <w:rPr>
          <w:i/>
        </w:rPr>
        <w:t>вание всеми льготами и условиями работы, на получение професси</w:t>
      </w:r>
      <w:r>
        <w:rPr>
          <w:i/>
        </w:rPr>
        <w:t>о</w:t>
      </w:r>
      <w:r>
        <w:rPr>
          <w:i/>
        </w:rPr>
        <w:t>нальной подготовки и переподготовки, включая ученичество, пр</w:t>
      </w:r>
      <w:r>
        <w:rPr>
          <w:i/>
        </w:rPr>
        <w:t>о</w:t>
      </w:r>
      <w:r>
        <w:rPr>
          <w:i/>
        </w:rPr>
        <w:t>фессиональную подготовку повышенного уровня и регулярную пер</w:t>
      </w:r>
      <w:r>
        <w:rPr>
          <w:i/>
        </w:rPr>
        <w:t>е</w:t>
      </w:r>
      <w:r>
        <w:rPr>
          <w:i/>
        </w:rPr>
        <w:t>подг</w:t>
      </w:r>
      <w:r>
        <w:rPr>
          <w:i/>
        </w:rPr>
        <w:t>о</w:t>
      </w:r>
      <w:r>
        <w:rPr>
          <w:i/>
        </w:rPr>
        <w:t>товку;</w:t>
      </w:r>
    </w:p>
    <w:p w:rsidR="00000000" w:rsidRDefault="00000000">
      <w:pPr>
        <w:pStyle w:val="SingleTxt"/>
        <w:ind w:left="2217" w:hanging="953"/>
        <w:rPr>
          <w:i/>
        </w:rPr>
      </w:pPr>
      <w:r>
        <w:rPr>
          <w:i/>
        </w:rPr>
        <w:tab/>
      </w:r>
      <w:r>
        <w:rPr>
          <w:i/>
        </w:rPr>
        <w:tab/>
      </w:r>
      <w:r>
        <w:rPr>
          <w:i/>
        </w:rPr>
        <w:tab/>
      </w:r>
      <w:r>
        <w:rPr>
          <w:i/>
          <w:lang w:val="en-US"/>
        </w:rPr>
        <w:t>d</w:t>
      </w:r>
      <w:r>
        <w:rPr>
          <w:i/>
        </w:rPr>
        <w:t>) право на равное вознаграждение, включая получение льгот, на равные условия в отношении труда равной ценности, а также на ра</w:t>
      </w:r>
      <w:r>
        <w:rPr>
          <w:i/>
        </w:rPr>
        <w:t>в</w:t>
      </w:r>
      <w:r>
        <w:rPr>
          <w:i/>
        </w:rPr>
        <w:t>ный подход к оценке качества работы;</w:t>
      </w:r>
    </w:p>
    <w:p w:rsidR="00000000" w:rsidRDefault="00000000">
      <w:pPr>
        <w:pStyle w:val="SingleTxt"/>
        <w:ind w:left="2217" w:hanging="953"/>
        <w:rPr>
          <w:i/>
        </w:rPr>
      </w:pPr>
      <w:r>
        <w:rPr>
          <w:i/>
        </w:rPr>
        <w:tab/>
      </w:r>
      <w:r>
        <w:rPr>
          <w:i/>
        </w:rPr>
        <w:tab/>
      </w:r>
      <w:r>
        <w:rPr>
          <w:i/>
        </w:rPr>
        <w:tab/>
        <w:t>е) право на социальное обеспечение, в частности в случае ухода на пенсию, безработицы, болезни, инвалидности, по старости и в др</w:t>
      </w:r>
      <w:r>
        <w:rPr>
          <w:i/>
        </w:rPr>
        <w:t>у</w:t>
      </w:r>
      <w:r>
        <w:rPr>
          <w:i/>
        </w:rPr>
        <w:t>гих случаях потери трудоспособности, а также право на оплач</w:t>
      </w:r>
      <w:r>
        <w:rPr>
          <w:i/>
        </w:rPr>
        <w:t>и</w:t>
      </w:r>
      <w:r>
        <w:rPr>
          <w:i/>
        </w:rPr>
        <w:t>ваемый отпуск;</w:t>
      </w:r>
    </w:p>
    <w:p w:rsidR="00000000" w:rsidRDefault="00000000">
      <w:pPr>
        <w:pStyle w:val="SingleTxt"/>
        <w:ind w:left="2217" w:hanging="953"/>
        <w:rPr>
          <w:i/>
        </w:rPr>
      </w:pPr>
      <w:r>
        <w:rPr>
          <w:i/>
        </w:rPr>
        <w:tab/>
      </w:r>
      <w:r>
        <w:rPr>
          <w:i/>
        </w:rPr>
        <w:tab/>
      </w:r>
      <w:r>
        <w:rPr>
          <w:i/>
        </w:rPr>
        <w:tab/>
      </w:r>
      <w:r>
        <w:rPr>
          <w:i/>
          <w:lang w:val="en-US"/>
        </w:rPr>
        <w:t>f</w:t>
      </w:r>
      <w:r>
        <w:rPr>
          <w:i/>
        </w:rPr>
        <w:t>) право на охрану здоровья и безопасные условия труда, в том числе по сохр</w:t>
      </w:r>
      <w:r>
        <w:rPr>
          <w:i/>
        </w:rPr>
        <w:t>а</w:t>
      </w:r>
      <w:r>
        <w:rPr>
          <w:i/>
        </w:rPr>
        <w:t>нению функции продолжения рода.</w:t>
      </w:r>
    </w:p>
    <w:p w:rsidR="00000000" w:rsidRDefault="00000000">
      <w:pPr>
        <w:pStyle w:val="SingleTxt"/>
        <w:ind w:left="1740" w:hanging="476"/>
        <w:rPr>
          <w:i/>
        </w:rPr>
      </w:pPr>
      <w:r>
        <w:rPr>
          <w:i/>
        </w:rPr>
        <w:tab/>
      </w:r>
      <w:r>
        <w:rPr>
          <w:i/>
        </w:rPr>
        <w:tab/>
        <w:t>(2) 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SingleTxt"/>
        <w:ind w:left="2217" w:hanging="953"/>
        <w:rPr>
          <w:i/>
        </w:rPr>
      </w:pPr>
      <w:r>
        <w:rPr>
          <w:i/>
        </w:rPr>
        <w:tab/>
      </w:r>
      <w:r>
        <w:rPr>
          <w:i/>
        </w:rPr>
        <w:tab/>
      </w:r>
      <w:r>
        <w:rPr>
          <w:i/>
        </w:rPr>
        <w:tab/>
        <w:t>а) запретить, под угрозой применения санкций, увольнение с работы на основании беременности или отпуска по беременности и родам или дискр</w:t>
      </w:r>
      <w:r>
        <w:rPr>
          <w:i/>
        </w:rPr>
        <w:t>и</w:t>
      </w:r>
      <w:r>
        <w:rPr>
          <w:i/>
        </w:rPr>
        <w:t>минацию ввиду семейного положения при увольнении;</w:t>
      </w:r>
    </w:p>
    <w:p w:rsidR="00000000" w:rsidRDefault="00000000">
      <w:pPr>
        <w:pStyle w:val="SingleTxt"/>
        <w:ind w:left="2217" w:hanging="953"/>
        <w:rPr>
          <w:i/>
        </w:rPr>
      </w:pPr>
      <w:r>
        <w:rPr>
          <w:i/>
        </w:rPr>
        <w:tab/>
      </w:r>
      <w:r>
        <w:rPr>
          <w:i/>
        </w:rPr>
        <w:tab/>
      </w:r>
      <w:r>
        <w:rPr>
          <w:i/>
        </w:rPr>
        <w:tab/>
        <w:t>b) ввести оплачиваемые отпуска или отпуска с сопоставимыми с</w:t>
      </w:r>
      <w:r>
        <w:rPr>
          <w:i/>
        </w:rPr>
        <w:t>о</w:t>
      </w:r>
      <w:r>
        <w:rPr>
          <w:i/>
        </w:rPr>
        <w:t>циальными пособиями по беременности и родам без утраты пре</w:t>
      </w:r>
      <w:r>
        <w:rPr>
          <w:i/>
        </w:rPr>
        <w:t>ж</w:t>
      </w:r>
      <w:r>
        <w:rPr>
          <w:i/>
        </w:rPr>
        <w:t>него места раб</w:t>
      </w:r>
      <w:r>
        <w:rPr>
          <w:i/>
        </w:rPr>
        <w:t>о</w:t>
      </w:r>
      <w:r>
        <w:rPr>
          <w:i/>
        </w:rPr>
        <w:t>ты, старшинства или социальных пособий;</w:t>
      </w:r>
    </w:p>
    <w:p w:rsidR="00000000" w:rsidRDefault="00000000">
      <w:pPr>
        <w:pStyle w:val="SingleTxt"/>
        <w:ind w:left="2217" w:hanging="953"/>
        <w:rPr>
          <w:i/>
        </w:rPr>
      </w:pPr>
      <w:r>
        <w:rPr>
          <w:i/>
        </w:rPr>
        <w:tab/>
      </w:r>
      <w:r>
        <w:rPr>
          <w:i/>
        </w:rPr>
        <w:tab/>
      </w:r>
      <w:r>
        <w:rPr>
          <w:i/>
        </w:rPr>
        <w:tab/>
        <w:t>c) поощрять предоставление необходимых дополнительных социал</w:t>
      </w:r>
      <w:r>
        <w:rPr>
          <w:i/>
        </w:rPr>
        <w:t>ь</w:t>
      </w:r>
      <w:r>
        <w:rPr>
          <w:i/>
        </w:rPr>
        <w:t>ных услуг, с тем чтобы позволить родителям совмещать выполн</w:t>
      </w:r>
      <w:r>
        <w:rPr>
          <w:i/>
        </w:rPr>
        <w:t>е</w:t>
      </w:r>
      <w:r>
        <w:rPr>
          <w:i/>
        </w:rPr>
        <w:t>ние семейных обязанностей с трудовой деятельностью и участием в общественной жизни, в частности посредством создания и ра</w:t>
      </w:r>
      <w:r>
        <w:rPr>
          <w:i/>
        </w:rPr>
        <w:t>с</w:t>
      </w:r>
      <w:r>
        <w:rPr>
          <w:i/>
        </w:rPr>
        <w:t>ширения сети учр</w:t>
      </w:r>
      <w:r>
        <w:rPr>
          <w:i/>
        </w:rPr>
        <w:t>е</w:t>
      </w:r>
      <w:r>
        <w:rPr>
          <w:i/>
        </w:rPr>
        <w:t>ждений по уходу за детьми;</w:t>
      </w:r>
    </w:p>
    <w:p w:rsidR="00000000" w:rsidRDefault="00000000">
      <w:pPr>
        <w:pStyle w:val="SingleTxt"/>
        <w:ind w:left="2217" w:hanging="953"/>
        <w:rPr>
          <w:i/>
        </w:rPr>
      </w:pPr>
      <w:r>
        <w:rPr>
          <w:i/>
        </w:rPr>
        <w:tab/>
      </w:r>
      <w:r>
        <w:rPr>
          <w:i/>
        </w:rPr>
        <w:tab/>
      </w:r>
      <w:r>
        <w:rPr>
          <w:i/>
        </w:rPr>
        <w:tab/>
        <w:t>d) обеспечивать женщинам особую защиту в период беременности на тех видах работ, вредность которых для их здоровья доказ</w:t>
      </w:r>
      <w:r>
        <w:rPr>
          <w:i/>
        </w:rPr>
        <w:t>а</w:t>
      </w:r>
      <w:r>
        <w:rPr>
          <w:i/>
        </w:rPr>
        <w:t>на.</w:t>
      </w:r>
    </w:p>
    <w:p w:rsidR="00000000" w:rsidRDefault="00000000">
      <w:pPr>
        <w:pStyle w:val="SingleTxt"/>
        <w:ind w:left="1740" w:hanging="476"/>
        <w:rPr>
          <w:i/>
        </w:rPr>
      </w:pPr>
      <w:r>
        <w:rPr>
          <w:i/>
        </w:rPr>
        <w:tab/>
      </w:r>
      <w:r>
        <w:rPr>
          <w:i/>
        </w:rPr>
        <w:tab/>
        <w:t>(3) Законодательство, касающееся защиты прав, затрагиваемых в н</w:t>
      </w:r>
      <w:r>
        <w:rPr>
          <w:i/>
        </w:rPr>
        <w:t>а</w:t>
      </w:r>
      <w:r>
        <w:rPr>
          <w:i/>
        </w:rPr>
        <w:t>стоящей статье, периодически рассматривается в свете научно-технических знаний, а также пересматривается, отменяется или ра</w:t>
      </w:r>
      <w:r>
        <w:rPr>
          <w:i/>
        </w:rPr>
        <w:t>с</w:t>
      </w:r>
      <w:r>
        <w:rPr>
          <w:i/>
        </w:rPr>
        <w:t>ширяется, наскол</w:t>
      </w:r>
      <w:r>
        <w:rPr>
          <w:i/>
        </w:rPr>
        <w:t>ь</w:t>
      </w:r>
      <w:r>
        <w:rPr>
          <w:i/>
        </w:rPr>
        <w:t xml:space="preserve">ко это необходимо. </w:t>
      </w:r>
    </w:p>
    <w:p w:rsidR="00000000" w:rsidRDefault="00000000">
      <w:pPr>
        <w:pStyle w:val="SingleTxt"/>
      </w:pPr>
      <w:r>
        <w:t xml:space="preserve">В дополнение к предыдущему докладу следует обратить внимание на пункт 3.4 части </w:t>
      </w:r>
      <w:r>
        <w:rPr>
          <w:lang w:val="en-US"/>
        </w:rPr>
        <w:t>I</w:t>
      </w:r>
      <w:r>
        <w:t>.</w:t>
      </w:r>
    </w:p>
    <w:p w:rsidR="00000000" w:rsidRDefault="00000000">
      <w:pPr>
        <w:pStyle w:val="H23"/>
      </w:pPr>
      <w:bookmarkStart w:id="517" w:name="_Toc44113525"/>
      <w:bookmarkStart w:id="518" w:name="_Toc44113823"/>
      <w:bookmarkStart w:id="519" w:name="_Toc44114331"/>
      <w:bookmarkStart w:id="520" w:name="_Toc44115579"/>
      <w:bookmarkStart w:id="521" w:name="_Toc44116008"/>
      <w:r>
        <w:t>11.1 </w:t>
      </w:r>
      <w:r>
        <w:tab/>
        <w:t>Гражданский кодекс и другие законодательные акты</w:t>
      </w:r>
      <w:bookmarkEnd w:id="517"/>
      <w:bookmarkEnd w:id="518"/>
      <w:bookmarkEnd w:id="519"/>
      <w:bookmarkEnd w:id="520"/>
      <w:bookmarkEnd w:id="521"/>
    </w:p>
    <w:p w:rsidR="00000000" w:rsidRDefault="00000000">
      <w:pPr>
        <w:pStyle w:val="SingleTxt"/>
      </w:pPr>
      <w:r>
        <w:t>Закон о поправках к Гражданскому кодексу и Закону о судах по трудовым спорам (</w:t>
      </w:r>
      <w:r>
        <w:rPr>
          <w:lang w:val="en-US"/>
        </w:rPr>
        <w:t>Gesetz</w:t>
      </w:r>
      <w:r>
        <w:t xml:space="preserve"> </w:t>
      </w:r>
      <w:r>
        <w:rPr>
          <w:lang w:val="en-US"/>
        </w:rPr>
        <w:t>zur</w:t>
      </w:r>
      <w:r>
        <w:t xml:space="preserve"> Ä</w:t>
      </w:r>
      <w:r>
        <w:rPr>
          <w:lang w:val="en-US"/>
        </w:rPr>
        <w:t>nderung</w:t>
      </w:r>
      <w:r>
        <w:t xml:space="preserve"> </w:t>
      </w:r>
      <w:r>
        <w:rPr>
          <w:lang w:val="en-US"/>
        </w:rPr>
        <w:t>des</w:t>
      </w:r>
      <w:r>
        <w:t xml:space="preserve"> </w:t>
      </w:r>
      <w:r>
        <w:rPr>
          <w:lang w:val="en-US"/>
        </w:rPr>
        <w:t>B</w:t>
      </w:r>
      <w:r>
        <w:t>ü</w:t>
      </w:r>
      <w:r>
        <w:rPr>
          <w:lang w:val="en-US"/>
        </w:rPr>
        <w:t>rgerlichen</w:t>
      </w:r>
      <w:r>
        <w:t xml:space="preserve"> </w:t>
      </w:r>
      <w:r>
        <w:rPr>
          <w:lang w:val="en-US"/>
        </w:rPr>
        <w:t>Gesetzbuches</w:t>
      </w:r>
      <w:r>
        <w:t xml:space="preserve"> </w:t>
      </w:r>
      <w:r>
        <w:rPr>
          <w:lang w:val="en-US"/>
        </w:rPr>
        <w:t>und</w:t>
      </w:r>
      <w:r>
        <w:t xml:space="preserve"> </w:t>
      </w:r>
      <w:r>
        <w:rPr>
          <w:lang w:val="en-US"/>
        </w:rPr>
        <w:t>des</w:t>
      </w:r>
      <w:r>
        <w:t xml:space="preserve"> </w:t>
      </w:r>
      <w:r>
        <w:rPr>
          <w:lang w:val="en-US"/>
        </w:rPr>
        <w:t>Arbeit</w:t>
      </w:r>
      <w:r>
        <w:rPr>
          <w:lang w:val="en-US"/>
        </w:rPr>
        <w:t>s</w:t>
      </w:r>
      <w:r>
        <w:rPr>
          <w:lang w:val="en-US"/>
        </w:rPr>
        <w:t>gerichtsgesetzes</w:t>
      </w:r>
      <w:r>
        <w:t>), вступивший в силу 3 июля 1998 года, установил ответстве</w:t>
      </w:r>
      <w:r>
        <w:t>н</w:t>
      </w:r>
      <w:r>
        <w:t>ность работодателя за дискриминацию по признаку пола в виде второго Закона о равных правах. Закон является ответом на судебное решение Европейского суда от 22 апреля 1997 года (дело № С 180/95), в котором Суд пришел к выводу о том, что Европейская директива о равном обращении с мужчинами и женщ</w:t>
      </w:r>
      <w:r>
        <w:t>и</w:t>
      </w:r>
      <w:r>
        <w:t>нами противоречит положениям законодательства Германии о равном отнош</w:t>
      </w:r>
      <w:r>
        <w:t>е</w:t>
      </w:r>
      <w:r>
        <w:t>нии к мужчинам и женщинам при найме. Закон о поправках к Гражданскому кодексу и к Закону о судах по трудовым спорам в полной мере учитывает с</w:t>
      </w:r>
      <w:r>
        <w:t>у</w:t>
      </w:r>
      <w:r>
        <w:t>дебную практику Европейского суда.</w:t>
      </w:r>
    </w:p>
    <w:p w:rsidR="00000000" w:rsidRDefault="00000000">
      <w:pPr>
        <w:pStyle w:val="SingleTxt"/>
      </w:pPr>
      <w:r>
        <w:t>Согласно германскому законодательству, работодатель в случае дискр</w:t>
      </w:r>
      <w:r>
        <w:t>и</w:t>
      </w:r>
      <w:r>
        <w:t>минационного поведения при найме работника обязан предоставить компенс</w:t>
      </w:r>
      <w:r>
        <w:t>а</w:t>
      </w:r>
      <w:r>
        <w:t>цию. Положения о компенсации, содержащееся в пункте 2 статьи 611а Гра</w:t>
      </w:r>
      <w:r>
        <w:t>ж</w:t>
      </w:r>
      <w:r>
        <w:t>данского кодекса, не устанавливает связи с виновностью. Работодатель также несет ответственность за противоправное поведение лиц, действующих от его имени при заполнении вакансий.</w:t>
      </w:r>
    </w:p>
    <w:p w:rsidR="00000000" w:rsidRDefault="00000000">
      <w:pPr>
        <w:pStyle w:val="SingleTxt"/>
      </w:pPr>
      <w:r>
        <w:t>В соответствии с пунктом 2 статьи 611а Гражданского кодекса потреб</w:t>
      </w:r>
      <w:r>
        <w:t>о</w:t>
      </w:r>
      <w:r>
        <w:t>вать надлежащую компенсацию в денежной форме могут как женщины, так и мужчины, обратившиеся с просьбой о найме и подвергшиеся дискриминации. В отношении наиболее квалифицированной женщины-соискателя (соискателя, который получил бы данную должность, если бы отбор проводился без ди</w:t>
      </w:r>
      <w:r>
        <w:t>с</w:t>
      </w:r>
      <w:r>
        <w:t>криминации) предельная сумма компенсации не устанавливается. В случае за</w:t>
      </w:r>
      <w:r>
        <w:t>я</w:t>
      </w:r>
      <w:r>
        <w:t>вителей, которые по доказательному утверждению работодателя не получили бы данную должность в силу более высокой квалификации у назначенного на нее соискателя-мужчины даже в том случае, если бы проводился отбор без ди</w:t>
      </w:r>
      <w:r>
        <w:t>с</w:t>
      </w:r>
      <w:r>
        <w:t>криминации, предельный размер компенсации по аналогии с судебной практ</w:t>
      </w:r>
      <w:r>
        <w:t>и</w:t>
      </w:r>
      <w:r>
        <w:t>кой Европейского суда составляет три месячные зарплаты.</w:t>
      </w:r>
    </w:p>
    <w:p w:rsidR="00000000" w:rsidRDefault="00000000">
      <w:pPr>
        <w:pStyle w:val="SingleTxt"/>
      </w:pPr>
      <w:r>
        <w:t>Приняв решение о праве на компенсацию в соответствии со статьей 611а Гражданского кодекса, парламент выступил против права на назначение, кот</w:t>
      </w:r>
      <w:r>
        <w:t>о</w:t>
      </w:r>
      <w:r>
        <w:t>рое было бы несовместимо с применимым трудовым законодательством. В данном случае защита касается не возможности назначения наиболее подход</w:t>
      </w:r>
      <w:r>
        <w:t>я</w:t>
      </w:r>
      <w:r>
        <w:t>щей женщины или мужчины, а права каждой женщины или мужчины на пр</w:t>
      </w:r>
      <w:r>
        <w:t>и</w:t>
      </w:r>
      <w:r>
        <w:t>менение в отношении их процедуры найма без дискриминации. В нынешней редакции статья 611а Гражданского кодекса, которая возлагает бремя доказ</w:t>
      </w:r>
      <w:r>
        <w:t>а</w:t>
      </w:r>
      <w:r>
        <w:t>тельств на противоположную сторону, в пользу пострадавшей женщины или мужчины-заявителей, учитывает европейскую директиву 97/80/ЕС.</w:t>
      </w:r>
    </w:p>
    <w:p w:rsidR="00000000" w:rsidRDefault="00000000">
      <w:pPr>
        <w:pStyle w:val="SingleTxt"/>
      </w:pPr>
      <w:r>
        <w:t>Положение о компенсации соответствующим образом применяется в сл</w:t>
      </w:r>
      <w:r>
        <w:t>у</w:t>
      </w:r>
      <w:r>
        <w:t>чаях дискриминации по признаку пола при рассмотрении вопроса продвижения по службе в отсутствие права на продв</w:t>
      </w:r>
      <w:r>
        <w:t>и</w:t>
      </w:r>
      <w:r>
        <w:t>жение.</w:t>
      </w:r>
    </w:p>
    <w:p w:rsidR="00000000" w:rsidRDefault="00000000">
      <w:pPr>
        <w:pStyle w:val="SingleTxt"/>
      </w:pPr>
      <w:r>
        <w:t>28 июля 2001 года вступил в силу Закон о внесении изменений в учред</w:t>
      </w:r>
      <w:r>
        <w:t>и</w:t>
      </w:r>
      <w:r>
        <w:t>тельное положение о предприятиях, предусматривающий существенные п</w:t>
      </w:r>
      <w:r>
        <w:t>о</w:t>
      </w:r>
      <w:r>
        <w:t>правки для обеспечения большего равенства возможностей у женщин и му</w:t>
      </w:r>
      <w:r>
        <w:t>ж</w:t>
      </w:r>
      <w:r>
        <w:t xml:space="preserve">чин, работающих на предприятиях. О нем подробно говорилось в пункте 2.3 части </w:t>
      </w:r>
      <w:r>
        <w:rPr>
          <w:lang w:val="en-US"/>
        </w:rPr>
        <w:t>I</w:t>
      </w:r>
      <w:r>
        <w:t>, который следует упомянуть в данном сл</w:t>
      </w:r>
      <w:r>
        <w:t>у</w:t>
      </w:r>
      <w:r>
        <w:t>чае.</w:t>
      </w:r>
    </w:p>
    <w:p w:rsidR="00000000" w:rsidRDefault="00000000">
      <w:pPr>
        <w:pStyle w:val="SingleTxt"/>
      </w:pPr>
      <w:r>
        <w:t>В соответствии с пунктом 2 статьи 19 Федерального закона о равных во</w:t>
      </w:r>
      <w:r>
        <w:t>з</w:t>
      </w:r>
      <w:r>
        <w:t>можностях на предприятии должен быть комиссар по вопросам равноправия, участвующий в рассмотрении вопросов при выдвижении кандидатур или н</w:t>
      </w:r>
      <w:r>
        <w:t>а</w:t>
      </w:r>
      <w:r>
        <w:t>значении в органы в соответствии с Федеральным законом о назначениях в ф</w:t>
      </w:r>
      <w:r>
        <w:t>е</w:t>
      </w:r>
      <w:r>
        <w:t xml:space="preserve">деральные органы, если только на предприятии нет подразделения по вопросам равноправия женщин и мужчин (см. также пункт 7.1 части </w:t>
      </w:r>
      <w:r>
        <w:rPr>
          <w:lang w:val="en-US"/>
        </w:rPr>
        <w:t>II</w:t>
      </w:r>
      <w:r>
        <w:t>).</w:t>
      </w:r>
    </w:p>
    <w:p w:rsidR="00000000" w:rsidRDefault="00000000">
      <w:pPr>
        <w:pStyle w:val="H23"/>
      </w:pPr>
      <w:bookmarkStart w:id="522" w:name="_Toc44113526"/>
      <w:bookmarkStart w:id="523" w:name="_Toc44113824"/>
      <w:bookmarkStart w:id="524" w:name="_Toc44114332"/>
      <w:bookmarkStart w:id="525" w:name="_Toc44115580"/>
      <w:bookmarkStart w:id="526" w:name="_Toc44116009"/>
      <w:r>
        <w:t>11.2 </w:t>
      </w:r>
      <w:r>
        <w:tab/>
        <w:t>Федеральная государственная служба</w:t>
      </w:r>
      <w:bookmarkEnd w:id="522"/>
      <w:bookmarkEnd w:id="523"/>
      <w:bookmarkEnd w:id="524"/>
      <w:bookmarkEnd w:id="525"/>
      <w:bookmarkEnd w:id="526"/>
    </w:p>
    <w:p w:rsidR="00000000" w:rsidRDefault="00000000">
      <w:pPr>
        <w:pStyle w:val="SingleTxt"/>
      </w:pPr>
      <w:r>
        <w:t>Одна из главных задач федерального правительства в отношении закон</w:t>
      </w:r>
      <w:r>
        <w:t>о</w:t>
      </w:r>
      <w:r>
        <w:t>дательства в области гражданской службы по-прежнему заключается в улучш</w:t>
      </w:r>
      <w:r>
        <w:t>е</w:t>
      </w:r>
      <w:r>
        <w:t>нии положения женщин с точки зрения занятости на гражданской службе. В частности, благодаря последовательному расширению возможностей для зан</w:t>
      </w:r>
      <w:r>
        <w:t>я</w:t>
      </w:r>
      <w:r>
        <w:t xml:space="preserve">тости неполный рабочий день учитываются особые потребности женщин (см. пункт 11.5 часть </w:t>
      </w:r>
      <w:r>
        <w:rPr>
          <w:lang w:val="en-US"/>
        </w:rPr>
        <w:t>II</w:t>
      </w:r>
      <w:r>
        <w:t>). Доля женщин среди сотрудников гражданской службы п</w:t>
      </w:r>
      <w:r>
        <w:t>о</w:t>
      </w:r>
      <w:r>
        <w:t>стоянно увеличивается. В 2000 году в государственном секторе согласно и</w:t>
      </w:r>
      <w:r>
        <w:t>н</w:t>
      </w:r>
      <w:r>
        <w:t>формации, предоставленной Федеральным статистическим управлением, раб</w:t>
      </w:r>
      <w:r>
        <w:t>о</w:t>
      </w:r>
      <w:r>
        <w:t>тало 2,5 млн. женщин. После этого доля женщин на гражданской службе еще более увеличилась и в 2000 году составила 51,4 процента.</w:t>
      </w:r>
    </w:p>
    <w:p w:rsidR="00000000" w:rsidRDefault="00000000">
      <w:pPr>
        <w:pStyle w:val="SingleTxt"/>
      </w:pPr>
      <w:r>
        <w:t>Статистические данные по федеральной гражданской службе кратко и</w:t>
      </w:r>
      <w:r>
        <w:t>з</w:t>
      </w:r>
      <w:r>
        <w:t>ложены в четвертом докладе федерального правительства об улучшении пол</w:t>
      </w:r>
      <w:r>
        <w:t>о</w:t>
      </w:r>
      <w:r>
        <w:t>жения женщин. За рассматриваемый в докладе период 1995-1998 годов доля женщин на федеральной службе возросла всего лишь на 1,1 процента – с 43,6 процента до 44,7 процента (250 986 женщин), в то время как общее число служащих сократилось на целых 6 процентов до 561 365 человек. По этой пр</w:t>
      </w:r>
      <w:r>
        <w:t>и</w:t>
      </w:r>
      <w:r>
        <w:t>чине доля женщин на федеральной службе составляла в 1998 году на 6 процентов меньше, чем их доля в общей численности населения.</w:t>
      </w:r>
    </w:p>
    <w:p w:rsidR="00000000" w:rsidRDefault="00000000">
      <w:pPr>
        <w:pStyle w:val="SingleTxt"/>
      </w:pPr>
      <w:r>
        <w:t>Вместе с тем расхождения в отдельных областях в основном сохранились: доля гражданских служащих-женщин, занятых в федеральной администрати</w:t>
      </w:r>
      <w:r>
        <w:t>в</w:t>
      </w:r>
      <w:r>
        <w:t>ной службе полный рабочий день, с середины 1995 года по середину 1998 года увеличилась лишь с 11,6 процента до 13,5 процента, а на административной службе высших федеральных органов – с 12,6 процента до 14,5 процента. С учетом должностей начальников отделов высших органов федеральной власти доля женщин возросла с 8,7 процента в 1994 году – последнем году периода, рассматривавшегося в третьем докладе об улучшении положения женщин, – до 10,6 процента к 1998 году – последнему году периода, рассматриваемого в н</w:t>
      </w:r>
      <w:r>
        <w:t>ы</w:t>
      </w:r>
      <w:r>
        <w:t>нешнем докладе, а с учетом должностей начальников подотделов – с 3,6 процента до 8,2 процента. Вместе с тем за тот же период среди глав отделов доля женщин сократилась с 4,1 процента до 2,1 процента.</w:t>
      </w:r>
    </w:p>
    <w:p w:rsidR="00000000" w:rsidRDefault="00000000">
      <w:pPr>
        <w:pStyle w:val="SingleTxt"/>
      </w:pPr>
      <w:r>
        <w:t>По сравнению со своими коллегами-мужчинами по-прежнему слишком много женщин работает на непрестижных низкооплачиваемых работах, в том числе в течение неполного рабочего дня: женщины составляли лишь 38,5 процента среди занятых полный рабочий день, и 92,8 процента среди ф</w:t>
      </w:r>
      <w:r>
        <w:t>е</w:t>
      </w:r>
      <w:r>
        <w:t>деральных гражданских служащих, занятых неполный рабочий день. Доля служащих, занятых неполный рабочий день, в общей численности персонала составляла в 1998 году 11,5 процента. Эти сотрудники – практически исключ</w:t>
      </w:r>
      <w:r>
        <w:t>и</w:t>
      </w:r>
      <w:r>
        <w:t>тельно женщины – занимали свои должности, в том числе штатные, одновр</w:t>
      </w:r>
      <w:r>
        <w:t>е</w:t>
      </w:r>
      <w:r>
        <w:t>менно с другими сотрудниками, также практически исключительно женщин</w:t>
      </w:r>
      <w:r>
        <w:t>а</w:t>
      </w:r>
      <w:r>
        <w:t>ми.</w:t>
      </w:r>
    </w:p>
    <w:p w:rsidR="00000000" w:rsidRDefault="00000000">
      <w:pPr>
        <w:pStyle w:val="SingleTxt"/>
      </w:pPr>
      <w:r>
        <w:t>Женщины составляли 91,4 процента от общей численности лиц, временно не состоящих на федеральной службе и по этой причине не имеющих собс</w:t>
      </w:r>
      <w:r>
        <w:t>т</w:t>
      </w:r>
      <w:r>
        <w:t>венного дохода.</w:t>
      </w:r>
    </w:p>
    <w:p w:rsidR="00000000" w:rsidRDefault="00000000">
      <w:pPr>
        <w:pStyle w:val="SingleTxt"/>
      </w:pPr>
      <w:r>
        <w:t>В 1998 году женщины находились в менее выгодном, чем их коллеги – мужчины, положении и с точки зрения статуса: из общего числа гражданских служащих, имеющих пожизненные контракты, женщины в 1994 году составл</w:t>
      </w:r>
      <w:r>
        <w:t>я</w:t>
      </w:r>
      <w:r>
        <w:t>ли лишь 23,7 процента, 19,2 процента по сравнению с 64,9 процента служащих на иных контрактах (66,5 процента в 1994 году). К их числу относятся также служащие на временных ко</w:t>
      </w:r>
      <w:r>
        <w:t>н</w:t>
      </w:r>
      <w:r>
        <w:t>трактах.</w:t>
      </w:r>
    </w:p>
    <w:p w:rsidR="00000000" w:rsidRDefault="00000000">
      <w:pPr>
        <w:pStyle w:val="SingleTxt"/>
      </w:pPr>
      <w:r>
        <w:t>Поскольку, как следует из четвертого доклада федерального правительс</w:t>
      </w:r>
      <w:r>
        <w:t>т</w:t>
      </w:r>
      <w:r>
        <w:t>ва об улучшении положения женщин на федеральной службе, в существова</w:t>
      </w:r>
      <w:r>
        <w:t>в</w:t>
      </w:r>
      <w:r>
        <w:t xml:space="preserve">ших нормативных положениях, касающихся улучшения положения женщин на федеральной службе и работающих в федеральных судах, был достигнут лишь незначительный прогресс, федеральное правительство разработало новый </w:t>
      </w:r>
      <w:r>
        <w:rPr>
          <w:caps/>
        </w:rPr>
        <w:t>ф</w:t>
      </w:r>
      <w:r>
        <w:t>е</w:t>
      </w:r>
      <w:r>
        <w:t xml:space="preserve">деральный закон о равных возможностях, вступивший в силу 5 декабря 2001 года. В этом </w:t>
      </w:r>
      <w:r>
        <w:rPr>
          <w:caps/>
        </w:rPr>
        <w:t>з</w:t>
      </w:r>
      <w:r>
        <w:t>аконе содержатся более конкретные нормативные полож</w:t>
      </w:r>
      <w:r>
        <w:t>е</w:t>
      </w:r>
      <w:r>
        <w:t xml:space="preserve">ния, предусматривающие условия для дальнейшего существенного прогресса в улучшении положения женщин (см. описание в пункте 2.5 части </w:t>
      </w:r>
      <w:r>
        <w:rPr>
          <w:lang w:val="en-US"/>
        </w:rPr>
        <w:t>I</w:t>
      </w:r>
      <w:r>
        <w:t>).</w:t>
      </w:r>
    </w:p>
    <w:p w:rsidR="00000000" w:rsidRDefault="00000000">
      <w:pPr>
        <w:pStyle w:val="SingleTxt"/>
      </w:pPr>
      <w:r>
        <w:t>Посредством Федерального закона о равных возможностях действие ранее существовавших положений о совмещении семейных и служебных обязанн</w:t>
      </w:r>
      <w:r>
        <w:t>о</w:t>
      </w:r>
      <w:r>
        <w:t>стей распространено и на весь персонал федеральной гражданской службы. Благодаря тем же положениям устранены некоторые препятствия для выполн</w:t>
      </w:r>
      <w:r>
        <w:t>е</w:t>
      </w:r>
      <w:r>
        <w:t xml:space="preserve">ния семейных обязанностей мужчинами (см. также пункт 5.1 части </w:t>
      </w:r>
      <w:r>
        <w:rPr>
          <w:lang w:val="en-US"/>
        </w:rPr>
        <w:t>II</w:t>
      </w:r>
      <w:r>
        <w:t>). Упр</w:t>
      </w:r>
      <w:r>
        <w:t>о</w:t>
      </w:r>
      <w:r>
        <w:t>щены условия для возобновления р</w:t>
      </w:r>
      <w:r>
        <w:t>а</w:t>
      </w:r>
      <w:r>
        <w:t xml:space="preserve">боты женщинами и мужчинами. </w:t>
      </w:r>
    </w:p>
    <w:p w:rsidR="00000000" w:rsidRDefault="00000000">
      <w:pPr>
        <w:pStyle w:val="H23"/>
      </w:pPr>
      <w:bookmarkStart w:id="527" w:name="_Toc44113527"/>
      <w:bookmarkStart w:id="528" w:name="_Toc44113825"/>
      <w:bookmarkStart w:id="529" w:name="_Toc44114333"/>
      <w:bookmarkStart w:id="530" w:name="_Toc44115581"/>
      <w:bookmarkStart w:id="531" w:name="_Toc44116010"/>
      <w:r>
        <w:t>11.3 </w:t>
      </w:r>
      <w:r>
        <w:tab/>
        <w:t>Закон об охране материнства</w:t>
      </w:r>
      <w:bookmarkEnd w:id="527"/>
      <w:bookmarkEnd w:id="528"/>
      <w:bookmarkEnd w:id="529"/>
      <w:bookmarkEnd w:id="530"/>
      <w:bookmarkEnd w:id="531"/>
    </w:p>
    <w:p w:rsidR="00000000" w:rsidRDefault="00000000">
      <w:pPr>
        <w:pStyle w:val="SingleTxt"/>
      </w:pPr>
      <w:r>
        <w:t>Закон об охране материнства является одним из наиболее важных норм</w:t>
      </w:r>
      <w:r>
        <w:t>а</w:t>
      </w:r>
      <w:r>
        <w:t>тивных актов трудового и социального законодательства. Он предусматривает защиту трудящихся – женщин и их детей от производственных рисков для зд</w:t>
      </w:r>
      <w:r>
        <w:t>о</w:t>
      </w:r>
      <w:r>
        <w:t>ровья, увольнения и потери источника дохода. Данный Закон хорошо зарек</w:t>
      </w:r>
      <w:r>
        <w:t>о</w:t>
      </w:r>
      <w:r>
        <w:t>мендовал себя, и в настоящее время поставлена важная общественно-политическая задача его дальнейшего развития. В соответствии со вторым з</w:t>
      </w:r>
      <w:r>
        <w:t>а</w:t>
      </w:r>
      <w:r>
        <w:t>коном о внесении изменений в Закон об охране материнства от 16 июня 2002 года все матери, включая тех, у которых произошли преждевременные р</w:t>
      </w:r>
      <w:r>
        <w:t>о</w:t>
      </w:r>
      <w:r>
        <w:t>ды, имеют право на период охраны материнства продолжительностью не менее 14 недель. Было дополнительно установлено, что периоды запрета на работу в соответствии с законом об охране материнства учитываются при расчете пр</w:t>
      </w:r>
      <w:r>
        <w:t>о</w:t>
      </w:r>
      <w:r>
        <w:t>должител</w:t>
      </w:r>
      <w:r>
        <w:t>ь</w:t>
      </w:r>
      <w:r>
        <w:t>ности отпуска. Закон вступил в силу 20 июня 2002 года.</w:t>
      </w:r>
    </w:p>
    <w:p w:rsidR="00000000" w:rsidRDefault="00000000">
      <w:pPr>
        <w:pStyle w:val="SingleTxt"/>
      </w:pPr>
      <w:r>
        <w:t>Закон об охране материнства тесно связан с Федеральным законом о п</w:t>
      </w:r>
      <w:r>
        <w:t>о</w:t>
      </w:r>
      <w:r>
        <w:t xml:space="preserve">собиях на воспитание детей (пособие на воспитание детей и отпуск по уходу за ребенком в первые годы жизни, см. в пункте11.5.1 части </w:t>
      </w:r>
      <w:r>
        <w:rPr>
          <w:lang w:val="en-US"/>
        </w:rPr>
        <w:t>II</w:t>
      </w:r>
      <w:r>
        <w:t>).</w:t>
      </w:r>
    </w:p>
    <w:p w:rsidR="00000000" w:rsidRDefault="00000000">
      <w:pPr>
        <w:pStyle w:val="SingleTxt"/>
      </w:pPr>
      <w:r>
        <w:t>С помощью упреждающего положения федеральное правительство ра</w:t>
      </w:r>
      <w:r>
        <w:t>с</w:t>
      </w:r>
      <w:r>
        <w:t>пространило действие решения о продлении периода защиты материнства по меньшей мере до 14 недель, которое применяется в случае преждевременных родов, и на гражданских служащих на федеральном уровне одновременно со вступлением в силу Закона о защите материнства с поправками, обеспечив тем самым одинаковый режим для служащих. Соответствующие поправки будут внесены и в положение об охране материнства применительно к гражданским служащим (</w:t>
      </w:r>
      <w:r>
        <w:rPr>
          <w:lang w:val="en-US"/>
        </w:rPr>
        <w:t>Mutterschut</w:t>
      </w:r>
      <w:r>
        <w:rPr>
          <w:lang w:val="en-US"/>
        </w:rPr>
        <w:t>z</w:t>
      </w:r>
      <w:r>
        <w:rPr>
          <w:lang w:val="en-US"/>
        </w:rPr>
        <w:t>verordnung</w:t>
      </w:r>
      <w:r>
        <w:t xml:space="preserve"> </w:t>
      </w:r>
      <w:r>
        <w:rPr>
          <w:lang w:val="en-US"/>
        </w:rPr>
        <w:t>der</w:t>
      </w:r>
      <w:r>
        <w:t xml:space="preserve"> </w:t>
      </w:r>
      <w:r>
        <w:rPr>
          <w:lang w:val="en-US"/>
        </w:rPr>
        <w:t>Beamtinnen</w:t>
      </w:r>
      <w:r>
        <w:t>).</w:t>
      </w:r>
    </w:p>
    <w:p w:rsidR="00000000" w:rsidRDefault="00000000">
      <w:pPr>
        <w:pStyle w:val="H23"/>
      </w:pPr>
      <w:bookmarkStart w:id="532" w:name="_Toc44113528"/>
      <w:bookmarkStart w:id="533" w:name="_Toc44113826"/>
      <w:bookmarkStart w:id="534" w:name="_Toc44114334"/>
      <w:bookmarkStart w:id="535" w:name="_Toc44115582"/>
      <w:bookmarkStart w:id="536" w:name="_Toc44116011"/>
      <w:r>
        <w:t>11.4 </w:t>
      </w:r>
      <w:r>
        <w:tab/>
        <w:t>Разница в оплате труда. обусловленная гендерным фактором</w:t>
      </w:r>
      <w:bookmarkEnd w:id="532"/>
      <w:bookmarkEnd w:id="533"/>
      <w:bookmarkEnd w:id="534"/>
      <w:bookmarkEnd w:id="535"/>
      <w:bookmarkEnd w:id="536"/>
    </w:p>
    <w:p w:rsidR="00000000" w:rsidRDefault="00000000">
      <w:pPr>
        <w:pStyle w:val="SingleTxt"/>
      </w:pPr>
      <w:r>
        <w:t>Положения законов о равной заработной плате носят безусловный хара</w:t>
      </w:r>
      <w:r>
        <w:t>к</w:t>
      </w:r>
      <w:r>
        <w:t>тер. Важнейшей правовой нормой является в этой связи статья 141 Договора о ЕС (статья 119 Договора о Е</w:t>
      </w:r>
      <w:r>
        <w:rPr>
          <w:caps/>
        </w:rPr>
        <w:t>с</w:t>
      </w:r>
      <w:r>
        <w:t xml:space="preserve"> в прежней редакции), которая является нормой прямого действия и которая была существенно доработана посредством А</w:t>
      </w:r>
      <w:r>
        <w:t>м</w:t>
      </w:r>
      <w:r>
        <w:t>стердамского договора. Принцип равной оплаты за равный труд был распр</w:t>
      </w:r>
      <w:r>
        <w:t>о</w:t>
      </w:r>
      <w:r>
        <w:t>странен и на труд равной ценности. Что касается внутреннего законодательс</w:t>
      </w:r>
      <w:r>
        <w:t>т</w:t>
      </w:r>
      <w:r>
        <w:t>ва, то правовой основой служит пункт 2 статьи 3 Основного закона и второе положение пункта 3 статьи 612 Гражданского кодекса, которое, после юрид</w:t>
      </w:r>
      <w:r>
        <w:t>и</w:t>
      </w:r>
      <w:r>
        <w:t>ческого раз</w:t>
      </w:r>
      <w:r>
        <w:t>ъ</w:t>
      </w:r>
      <w:r>
        <w:t>яснения в Законе 1980 года о поправках, связанных с ЕС (</w:t>
      </w:r>
      <w:r>
        <w:rPr>
          <w:lang w:val="en-US"/>
        </w:rPr>
        <w:t>EG</w:t>
      </w:r>
      <w:r>
        <w:t>-</w:t>
      </w:r>
      <w:r>
        <w:rPr>
          <w:lang w:val="en-US"/>
        </w:rPr>
        <w:t>Anpassungsgesetz</w:t>
      </w:r>
      <w:r>
        <w:t>), непосредственно закрепляет принцип равной оплаты за ра</w:t>
      </w:r>
      <w:r>
        <w:t>в</w:t>
      </w:r>
      <w:r>
        <w:t>ноценный труд. Профсоюзы и ассоциации работодателей обязаны придерж</w:t>
      </w:r>
      <w:r>
        <w:t>и</w:t>
      </w:r>
      <w:r>
        <w:t>ваться этого принципа при заключении коллективных соглашений, также как и работодатели и советы предприятий при заключении внутренних соглашений о размере заработной платы и окладов. Существенный вклад в разработку при</w:t>
      </w:r>
      <w:r>
        <w:t>н</w:t>
      </w:r>
      <w:r>
        <w:t>ципов, касающихся того, что подразумевается под равным и равноценным тр</w:t>
      </w:r>
      <w:r>
        <w:t>у</w:t>
      </w:r>
      <w:r>
        <w:t>дом, и в частности, в определение условий, при которых дифференцированная оплата труда должна рассматриваться как прямая дискриминация, внесли также р</w:t>
      </w:r>
      <w:r>
        <w:t>е</w:t>
      </w:r>
      <w:r>
        <w:t>шения Европейского суда и судов по трудовым спорам.</w:t>
      </w:r>
    </w:p>
    <w:p w:rsidR="00000000" w:rsidRDefault="00000000">
      <w:pPr>
        <w:pStyle w:val="SingleTxt"/>
      </w:pPr>
      <w:r>
        <w:t>В декабре 1998 года федеральное правительство представило парламенту Федеративной Республики Германии одиннадцатый доклад по вопросу обесп</w:t>
      </w:r>
      <w:r>
        <w:t>е</w:t>
      </w:r>
      <w:r>
        <w:t>чения концепции равной оплаты в коллективных соглашениях. В докладе фед</w:t>
      </w:r>
      <w:r>
        <w:t>е</w:t>
      </w:r>
      <w:r>
        <w:t>ральное правительство еще раз подчеркнуло свое мнение о том, что обознач</w:t>
      </w:r>
      <w:r>
        <w:t>е</w:t>
      </w:r>
      <w:r>
        <w:t>ние определенных низкооплачиваемых групп в ряде коллективных соглашений еще не говорит о том, что работа женщин по соответствующей тарифной сетке на практике недооценивается. Вместе с тем федеральный парламент считает, что доклады в их нынешней форме вряд ли отражают состояние дел с равной оплатой труда независимо от гендерного фактора, и постановлением от 30 июня 1999 года призвал федеральное правительство расширить круг вопр</w:t>
      </w:r>
      <w:r>
        <w:t>о</w:t>
      </w:r>
      <w:r>
        <w:t>сов, рассматриваемых в докладах, и подготовить доклад, содержащий всест</w:t>
      </w:r>
      <w:r>
        <w:t>о</w:t>
      </w:r>
      <w:r>
        <w:t>роннюю информацию о положении женщин и мужчин в сфере труда и доходов в Федеративной Республике Германии. Такой доклад был представлен фед</w:t>
      </w:r>
      <w:r>
        <w:t>е</w:t>
      </w:r>
      <w:r>
        <w:t xml:space="preserve">ральному парламенту страны 24 апреля 2002 года. Подробная информация о нем содержится в пункте 3.4.12 части </w:t>
      </w:r>
      <w:r>
        <w:rPr>
          <w:lang w:val="en-US"/>
        </w:rPr>
        <w:t>I</w:t>
      </w:r>
      <w:r>
        <w:t>. Кроме того, в июне 2002 года фед</w:t>
      </w:r>
      <w:r>
        <w:t>е</w:t>
      </w:r>
      <w:r>
        <w:t>ральное правительство при поддержке ЕС провело международную конфере</w:t>
      </w:r>
      <w:r>
        <w:t>н</w:t>
      </w:r>
      <w:r>
        <w:t>цию на тему «Равная оплата – модели и инициативы, касающиеся равной опл</w:t>
      </w:r>
      <w:r>
        <w:t>а</w:t>
      </w:r>
      <w:r>
        <w:t>ты», а в настоящее время разрабатывает основные положения для действующих в этой сфере сторон. Следует также отметить, что в национальной стратегии устойчивого развития Федеративной Республики Германии в качестве показ</w:t>
      </w:r>
      <w:r>
        <w:t>а</w:t>
      </w:r>
      <w:r>
        <w:t>теля достижения равной оплаты рассматривается фактор сокращения разницы в оплате труда, обусловленной гендерным фактором. Достижение этой цели п</w:t>
      </w:r>
      <w:r>
        <w:t>о</w:t>
      </w:r>
      <w:r>
        <w:t>зволит увеличить долю валовых ежегодных доходов с 76 процентов в 1997 году до 85 процентов в 2010 году.</w:t>
      </w:r>
    </w:p>
    <w:p w:rsidR="00000000" w:rsidRDefault="00000000">
      <w:pPr>
        <w:pStyle w:val="H23"/>
      </w:pPr>
      <w:bookmarkStart w:id="537" w:name="_Toc44113529"/>
      <w:bookmarkStart w:id="538" w:name="_Toc44113827"/>
      <w:bookmarkStart w:id="539" w:name="_Toc44114335"/>
      <w:bookmarkStart w:id="540" w:name="_Toc44115583"/>
      <w:bookmarkStart w:id="541" w:name="_Toc44116012"/>
      <w:r>
        <w:t>11.5 </w:t>
      </w:r>
      <w:r>
        <w:tab/>
        <w:t>Совмещение семейных и производственных обязанностей/политика в отношении женщин на рынке труда</w:t>
      </w:r>
      <w:bookmarkEnd w:id="537"/>
      <w:bookmarkEnd w:id="538"/>
      <w:bookmarkEnd w:id="539"/>
      <w:bookmarkEnd w:id="540"/>
      <w:bookmarkEnd w:id="541"/>
    </w:p>
    <w:p w:rsidR="00000000" w:rsidRDefault="00000000">
      <w:pPr>
        <w:pStyle w:val="H4"/>
      </w:pPr>
      <w:bookmarkStart w:id="542" w:name="_Toc44113828"/>
      <w:bookmarkStart w:id="543" w:name="_Toc44114336"/>
      <w:bookmarkStart w:id="544" w:name="_Toc44116013"/>
      <w:r>
        <w:t>11.5.1 Совмещение семейных и производственных обязанностей</w:t>
      </w:r>
      <w:bookmarkEnd w:id="542"/>
      <w:bookmarkEnd w:id="543"/>
      <w:bookmarkEnd w:id="544"/>
    </w:p>
    <w:p w:rsidR="00000000" w:rsidRDefault="00000000">
      <w:pPr>
        <w:pStyle w:val="SingleTxt"/>
      </w:pPr>
      <w:r>
        <w:t>23 июня 1999 года федеральное правительство утвердило программу «</w:t>
      </w:r>
      <w:r>
        <w:rPr>
          <w:caps/>
        </w:rPr>
        <w:t>ж</w:t>
      </w:r>
      <w:r>
        <w:t>енщины и труд». Цель программы заключается в активной пропаганде принципа равных возможностей для женщин и мужчин как на работе, так и в семье. В программе предусмотрены следующие меры.</w:t>
      </w:r>
    </w:p>
    <w:p w:rsidR="00000000" w:rsidRDefault="00000000">
      <w:pPr>
        <w:pStyle w:val="dot"/>
      </w:pPr>
      <w:r>
        <w:tab/>
      </w:r>
      <w:r>
        <w:tab/>
        <w:t>•</w:t>
      </w:r>
      <w:r>
        <w:tab/>
        <w:t xml:space="preserve">1 января 2001 года вступил в силу реформированный </w:t>
      </w:r>
      <w:r>
        <w:rPr>
          <w:u w:val="single"/>
        </w:rPr>
        <w:t>Федеральный закон о пособии на воспитание детей</w:t>
      </w:r>
      <w:r>
        <w:t>. Он распространяется на детей, роди</w:t>
      </w:r>
      <w:r>
        <w:t>в</w:t>
      </w:r>
      <w:r>
        <w:t>шихся после 2001 года. Реформа предусматривает упрощение условий для получения пособия на воспитание детей и получение отпуска для восп</w:t>
      </w:r>
      <w:r>
        <w:t>и</w:t>
      </w:r>
      <w:r>
        <w:t>тания детей, который теперь называется «родительский отпуск». Закон однозначно упрощает условия для совместного воспитания детей обоими родителями и предусматривает возможность совмещения работы и пов</w:t>
      </w:r>
      <w:r>
        <w:t>ы</w:t>
      </w:r>
      <w:r>
        <w:t>ш</w:t>
      </w:r>
      <w:r>
        <w:t>е</w:t>
      </w:r>
      <w:r>
        <w:t>ния квалификации.</w:t>
      </w:r>
    </w:p>
    <w:p w:rsidR="00000000" w:rsidRDefault="00000000">
      <w:pPr>
        <w:pStyle w:val="SingleTxt"/>
        <w:ind w:left="1740" w:hanging="476"/>
      </w:pPr>
      <w:r>
        <w:tab/>
      </w:r>
      <w:r>
        <w:tab/>
        <w:t>Родители имеют право на родительский отпуск продолжительностью до 3 лет в связи с рождением каждого ребенка и пользуются при этом полной защитой от увольнения. Они могут совместно осуществлять это право в течение всего периода или его части. Родительский отпуск, как правило, заканчивается в день, когда ребенку исполняется три года. Вместе с тем, с согласия работодателя он может быть продлен на срок до одного года в любой момент, пока ребенку не исполнится восемь лет. Во время род</w:t>
      </w:r>
      <w:r>
        <w:t>и</w:t>
      </w:r>
      <w:r>
        <w:t>тельского отпуска допускается работа неполный рабочий день продолж</w:t>
      </w:r>
      <w:r>
        <w:t>и</w:t>
      </w:r>
      <w:r>
        <w:t>тельностью до 30 часов в неделю, а если родительский отпуск предоста</w:t>
      </w:r>
      <w:r>
        <w:t>в</w:t>
      </w:r>
      <w:r>
        <w:t>ляется обоим родителям, то до 60 часов в неделю. Установлено также право на работу в течение неполного рабочего дня в компаниях, насчит</w:t>
      </w:r>
      <w:r>
        <w:t>ы</w:t>
      </w:r>
      <w:r>
        <w:t>вающих более 15 работников.</w:t>
      </w:r>
    </w:p>
    <w:p w:rsidR="00000000" w:rsidRDefault="00000000">
      <w:pPr>
        <w:pStyle w:val="SingleTxt"/>
        <w:ind w:left="1740" w:hanging="476"/>
      </w:pPr>
      <w:r>
        <w:tab/>
      </w:r>
      <w:r>
        <w:tab/>
        <w:t>Таким образом, новый гибкий родительский отпуск заменяет прежний о</w:t>
      </w:r>
      <w:r>
        <w:t>т</w:t>
      </w:r>
      <w:r>
        <w:t>пуск в связи с воспитанием детей, название и жесткие правила которого (отсутствие законной возможности для совместного отпуска для воспит</w:t>
      </w:r>
      <w:r>
        <w:t>а</w:t>
      </w:r>
      <w:r>
        <w:t>ния ребенка обоими родителями, ограничение допустимой продолжител</w:t>
      </w:r>
      <w:r>
        <w:t>ь</w:t>
      </w:r>
      <w:r>
        <w:t>ности работы неполный рабочий день 19 часами в неделю) утратили свою актуальность. Тот факт, что в 2000 году около 380 тыс. работающих род</w:t>
      </w:r>
      <w:r>
        <w:t>и</w:t>
      </w:r>
      <w:r>
        <w:t>телей (из который 98,4 процента составляли женщины) имели детей в возрасте до одного года и находились в отпуске для воспитания ребенка на прежних условиях, означает, что данной возможностью воспользов</w:t>
      </w:r>
      <w:r>
        <w:t>а</w:t>
      </w:r>
      <w:r>
        <w:t>лись порядка 95 процентов родителей, имеющих на это право. Показатель по второму году жизни ребенка был гораздо ниже (около 213 тыс. родит</w:t>
      </w:r>
      <w:r>
        <w:t>е</w:t>
      </w:r>
      <w:r>
        <w:t>лей, т.е. порядка 94 процентов имеющих на то право). Вместе с тем, как и в случае детей в возрасте до одного года отпуском для воспитания ребе</w:t>
      </w:r>
      <w:r>
        <w:t>н</w:t>
      </w:r>
      <w:r>
        <w:t>ка пр</w:t>
      </w:r>
      <w:r>
        <w:t>о</w:t>
      </w:r>
      <w:r>
        <w:t>должали пользоваться практически исключительно женщины.</w:t>
      </w:r>
    </w:p>
    <w:p w:rsidR="00000000" w:rsidRDefault="00000000">
      <w:pPr>
        <w:pStyle w:val="SingleTxt"/>
        <w:ind w:left="1740" w:hanging="476"/>
      </w:pPr>
      <w:r>
        <w:tab/>
      </w:r>
      <w:r>
        <w:tab/>
        <w:t>Важной целью новой системы родительских отпусков является гораздо более широкое участие отцов в воспитании детей, т.е. и в совмещении с</w:t>
      </w:r>
      <w:r>
        <w:t>е</w:t>
      </w:r>
      <w:r>
        <w:t>мейных и производственных обязанностей. Данную цель можно достичь путем совершенствования положений, касающихся занятости в течение неполного рабочего дня. В 2004 году федеральное правительство предст</w:t>
      </w:r>
      <w:r>
        <w:t>а</w:t>
      </w:r>
      <w:r>
        <w:t>вит федеральному парламенту страны доклад о ходе осуществления н</w:t>
      </w:r>
      <w:r>
        <w:t>о</w:t>
      </w:r>
      <w:r>
        <w:t>вых положений о родительском отпуске. Более широкое участие отцов в уходе за ребенком в младенческом возрасте означает в то же время созд</w:t>
      </w:r>
      <w:r>
        <w:t>а</w:t>
      </w:r>
      <w:r>
        <w:t>ние более справедливых возмо</w:t>
      </w:r>
      <w:r>
        <w:t>ж</w:t>
      </w:r>
      <w:r>
        <w:t>ностей для женщин на рынке труда.</w:t>
      </w:r>
    </w:p>
    <w:p w:rsidR="00000000" w:rsidRDefault="00000000">
      <w:pPr>
        <w:pStyle w:val="dot"/>
      </w:pPr>
      <w:r>
        <w:tab/>
      </w:r>
      <w:r>
        <w:tab/>
        <w:t>•</w:t>
      </w:r>
      <w:r>
        <w:tab/>
        <w:t>Для многих женщин и мужчин возможность работать неполный рабочий день имеет весьма важное значение с точки зрения совмещения семейных и производственных обязанностей. Существенный прогресс в этом вопр</w:t>
      </w:r>
      <w:r>
        <w:t>о</w:t>
      </w:r>
      <w:r>
        <w:t xml:space="preserve">се достигнут благодаря </w:t>
      </w:r>
      <w:r>
        <w:rPr>
          <w:u w:val="single"/>
        </w:rPr>
        <w:t>Закону о работе неполный рабочий день и о сро</w:t>
      </w:r>
      <w:r>
        <w:rPr>
          <w:u w:val="single"/>
        </w:rPr>
        <w:t>ч</w:t>
      </w:r>
      <w:r>
        <w:rPr>
          <w:u w:val="single"/>
        </w:rPr>
        <w:t>ных договорах о найме</w:t>
      </w:r>
      <w:r>
        <w:t>, вступившему в силу 1 января 2001 года. Важным моментом является законное право на работу неполный рабочий день в компаниях, насчитывающих более 15 работников, включая управленч</w:t>
      </w:r>
      <w:r>
        <w:t>е</w:t>
      </w:r>
      <w:r>
        <w:t>ские должности. В настоящее время работники, проработавшие более 6 месяцев, могут потребовать сокращения продолжительности рабочего времени в договорном порядке. Работодатель обязан обсудить с работн</w:t>
      </w:r>
      <w:r>
        <w:t>и</w:t>
      </w:r>
      <w:r>
        <w:t>ком вопрос о желаемом сокращении рабочего времени для достижения договоренности о его продолжительности и его распределении. Это новое правовое положение выходит за рамки вопроса о совмещении семейных и производственных обязанностей. На практике оно само по себе делает возможным совмещение работы в течение неполного рабочего дня с и</w:t>
      </w:r>
      <w:r>
        <w:t>с</w:t>
      </w:r>
      <w:r>
        <w:t>полнением семейных обязанностей. Кроме того в Законе предусматрив</w:t>
      </w:r>
      <w:r>
        <w:t>а</w:t>
      </w:r>
      <w:r>
        <w:t>ется, что работники, желающие увеличить на договорной основе время работы, должны пользоваться приоритетом по сравнению с другими р</w:t>
      </w:r>
      <w:r>
        <w:t>а</w:t>
      </w:r>
      <w:r>
        <w:t xml:space="preserve">ботниками, работающими такое же время, после беседы с работодателем и при наличии подходящей должности. </w:t>
      </w:r>
    </w:p>
    <w:p w:rsidR="00000000" w:rsidRDefault="00000000">
      <w:pPr>
        <w:pStyle w:val="dot"/>
      </w:pPr>
      <w:r>
        <w:tab/>
      </w:r>
      <w:r>
        <w:tab/>
        <w:t>•</w:t>
      </w:r>
      <w:r>
        <w:tab/>
        <w:t xml:space="preserve">Одним из центральных вопросов в рамках темы совмещения семейных и производственных обязанностей является </w:t>
      </w:r>
      <w:r>
        <w:rPr>
          <w:u w:val="single"/>
        </w:rPr>
        <w:t>уход за детьми</w:t>
      </w:r>
      <w:r>
        <w:t>. Огромное зн</w:t>
      </w:r>
      <w:r>
        <w:t>а</w:t>
      </w:r>
      <w:r>
        <w:t>чение имеет должным образом функционирующая система ухода за дет</w:t>
      </w:r>
      <w:r>
        <w:t>ь</w:t>
      </w:r>
      <w:r>
        <w:t>ми. Согласно положениям законодательства, земельные и местные органы власти обязаны предоставлять достаточно широкие возможности ухода за детьми всех возра</w:t>
      </w:r>
      <w:r>
        <w:t>с</w:t>
      </w:r>
      <w:r>
        <w:t>тных групп.</w:t>
      </w:r>
    </w:p>
    <w:p w:rsidR="00000000" w:rsidRDefault="00000000">
      <w:pPr>
        <w:pStyle w:val="SingleTxt"/>
        <w:ind w:left="1740" w:hanging="476"/>
      </w:pPr>
      <w:r>
        <w:tab/>
      </w:r>
      <w:r>
        <w:tab/>
        <w:t>Несмотря на то, что в 1996 году было законодательно установлено право на посещение детского сада, в некоторых федеральных землях, в частн</w:t>
      </w:r>
      <w:r>
        <w:t>о</w:t>
      </w:r>
      <w:r>
        <w:t>сти, западных, по прежнему ощущается нехватка мест, особенно для д</w:t>
      </w:r>
      <w:r>
        <w:t>е</w:t>
      </w:r>
      <w:r>
        <w:t>тей в возрасте до трех лет, недостаточно мест в детских учреждениях по уходу за детьми в возрасте от трех до шести лет в течение полного дня и уходу за учащимися начальной школы во второй половине дня. Кроме т</w:t>
      </w:r>
      <w:r>
        <w:t>о</w:t>
      </w:r>
      <w:r>
        <w:t>го, необходимо, чтобы детские учреждения работали в более гибком р</w:t>
      </w:r>
      <w:r>
        <w:t>е</w:t>
      </w:r>
      <w:r>
        <w:t>жиме.</w:t>
      </w:r>
    </w:p>
    <w:p w:rsidR="00000000" w:rsidRDefault="00000000">
      <w:pPr>
        <w:pStyle w:val="SingleTxt"/>
        <w:ind w:left="1740" w:hanging="476"/>
      </w:pPr>
      <w:r>
        <w:tab/>
      </w:r>
      <w:r>
        <w:tab/>
        <w:t>Стимулом для количественного и качественного улучшения системы ух</w:t>
      </w:r>
      <w:r>
        <w:t>о</w:t>
      </w:r>
      <w:r>
        <w:t>да за детьми послужила международная конференция «Дети как фактор будущего – за воспитание и уход за детьми в Германии в течение полного дня», проведенная 6-7 июня 2002 года в Берлине федеральным министе</w:t>
      </w:r>
      <w:r>
        <w:t>р</w:t>
      </w:r>
      <w:r>
        <w:t>ством по делам семьи, престарелых, женщин и мол</w:t>
      </w:r>
      <w:r>
        <w:t>о</w:t>
      </w:r>
      <w:r>
        <w:t>дежи.</w:t>
      </w:r>
    </w:p>
    <w:p w:rsidR="00000000" w:rsidRDefault="00000000">
      <w:pPr>
        <w:pStyle w:val="SingleTxt"/>
        <w:ind w:left="1740" w:hanging="476"/>
      </w:pPr>
      <w:r>
        <w:tab/>
      </w:r>
      <w:r>
        <w:tab/>
        <w:t>Земельные и местные власти, несущие ответственность за обеспечение ухода за детьми, предпринимают активные усилия, чтобы решить пробл</w:t>
      </w:r>
      <w:r>
        <w:t>е</w:t>
      </w:r>
      <w:r>
        <w:t>мы с предоставлением необходимых услуг. Например, освобождающиеся в результате демографических тенденций места в детских садах могут п</w:t>
      </w:r>
      <w:r>
        <w:t>е</w:t>
      </w:r>
      <w:r>
        <w:t>редаваться д</w:t>
      </w:r>
      <w:r>
        <w:t>е</w:t>
      </w:r>
      <w:r>
        <w:t xml:space="preserve">тям более раннего или более старшего возраста. </w:t>
      </w:r>
    </w:p>
    <w:p w:rsidR="00000000" w:rsidRDefault="00000000">
      <w:pPr>
        <w:pStyle w:val="SingleTxt"/>
        <w:ind w:left="1740" w:hanging="476"/>
      </w:pPr>
      <w:r>
        <w:tab/>
      </w:r>
      <w:r>
        <w:tab/>
        <w:t>Федеральное правительство выделило на поддержку земельных органов 4 млрд. евро, которые предназначены, среди прочего, на расширение си</w:t>
      </w:r>
      <w:r>
        <w:t>с</w:t>
      </w:r>
      <w:r>
        <w:t>темы детских учреждений, работающих в течение полного дня. Кроме т</w:t>
      </w:r>
      <w:r>
        <w:t>о</w:t>
      </w:r>
      <w:r>
        <w:t>го, в Соглашении между федеральным правительством и центральными ассоциациями германской промышленности о содействии обеспечению равных возможностей для мужчин и женщин в частном секторе промы</w:t>
      </w:r>
      <w:r>
        <w:t>ш</w:t>
      </w:r>
      <w:r>
        <w:t>ленности, заключенном в июле 2001 года, предусматривается, что комп</w:t>
      </w:r>
      <w:r>
        <w:t>а</w:t>
      </w:r>
      <w:r>
        <w:t>нии обязуются заниматься вопросами ухода за детьми. В поддержку этого обязательства федеральное министерство по делам семьи, престарелых, женщин и молодежи опубликует брошюру, озаглавленную «Уход за дет</w:t>
      </w:r>
      <w:r>
        <w:t>ь</w:t>
      </w:r>
      <w:r>
        <w:t>ми при поддержке компаний». В дополнение к этому министерство опу</w:t>
      </w:r>
      <w:r>
        <w:t>б</w:t>
      </w:r>
      <w:r>
        <w:t>ликовало в начале 2002 года материал, озаглавленный «Меры в поддержку семьи на рабочем месте», для руководства, представителей трудового ко</w:t>
      </w:r>
      <w:r>
        <w:t>л</w:t>
      </w:r>
      <w:r>
        <w:t>лектива и работников, в котором изложен широкий круг мер, направле</w:t>
      </w:r>
      <w:r>
        <w:t>н</w:t>
      </w:r>
      <w:r>
        <w:t>ных на совершенствование совмещения семейных и производственных обязанностей. Материал охватывает широкий круг вопросов – от возмо</w:t>
      </w:r>
      <w:r>
        <w:t>ж</w:t>
      </w:r>
      <w:r>
        <w:t>ностей выполнения семейных обязанностей на рабочем месте благодаря положениям кадровой стратегии до создания структуры компании, соде</w:t>
      </w:r>
      <w:r>
        <w:t>й</w:t>
      </w:r>
      <w:r>
        <w:t>ствующей осуществлению семе</w:t>
      </w:r>
      <w:r>
        <w:t>й</w:t>
      </w:r>
      <w:r>
        <w:t>ных обязанностей.</w:t>
      </w:r>
    </w:p>
    <w:p w:rsidR="00000000" w:rsidRDefault="00000000">
      <w:pPr>
        <w:pStyle w:val="dot"/>
      </w:pPr>
      <w:r>
        <w:tab/>
      </w:r>
      <w:r>
        <w:tab/>
        <w:t>•</w:t>
      </w:r>
      <w:r>
        <w:tab/>
        <w:t>Преследуемая цель заключается в преодолении традиционного воспр</w:t>
      </w:r>
      <w:r>
        <w:t>и</w:t>
      </w:r>
      <w:r>
        <w:t>ятия ролей мужчины и женщины, согласно которому женщины отвечают за вопросы семьи, а мужчины – за вопросы производства. В этой связи федеральное министерство по делам семьи, престарелых, женщин и м</w:t>
      </w:r>
      <w:r>
        <w:t>о</w:t>
      </w:r>
      <w:r>
        <w:t>лодежи приступило к осуществлению кампании с целью формирования нового понимания роли мужчины и отца. Ее задача заключается в проп</w:t>
      </w:r>
      <w:r>
        <w:t>а</w:t>
      </w:r>
      <w:r>
        <w:t>ганде взглядов и поведения мужчин в семье на основе партнерства. Ко</w:t>
      </w:r>
      <w:r>
        <w:t>н</w:t>
      </w:r>
      <w:r>
        <w:t>кретной целевой аудиторией кампании являются молодые отцы и мужч</w:t>
      </w:r>
      <w:r>
        <w:t>и</w:t>
      </w:r>
      <w:r>
        <w:t>ны на этапе планирования семьи, а также юноши. В число партнеров, уч</w:t>
      </w:r>
      <w:r>
        <w:t>а</w:t>
      </w:r>
      <w:r>
        <w:t>ствующих в кампании, входят, в частности, работодатели и предприятия. 6 марта 2001 года началось общенациональное пропагандистское насту</w:t>
      </w:r>
      <w:r>
        <w:t>п</w:t>
      </w:r>
      <w:r>
        <w:t>ление под девизом «За расширение сферы деятельности мужчин». Осно</w:t>
      </w:r>
      <w:r>
        <w:t>в</w:t>
      </w:r>
      <w:r>
        <w:t>ной отличительной чертой кампании является вовлеченность предпр</w:t>
      </w:r>
      <w:r>
        <w:t>и</w:t>
      </w:r>
      <w:r>
        <w:t>ятий. Так, предприятиями была организована эстафета во всех 16 федеральных землях, которые уже нашли решения, отвечающие инт</w:t>
      </w:r>
      <w:r>
        <w:t>е</w:t>
      </w:r>
      <w:r>
        <w:t>ресам семьи, или намерены найти их в ближайшем будущем. В контексте эстафеты в условиях производства пропагандировались возможности, о</w:t>
      </w:r>
      <w:r>
        <w:t>т</w:t>
      </w:r>
      <w:r>
        <w:t>крывающиеся для отцов и предприятий с принятием новых нормативных документов. Все участвующие предприятия провели день солидарности под названием «День отца».</w:t>
      </w:r>
    </w:p>
    <w:p w:rsidR="00000000" w:rsidRDefault="00000000">
      <w:pPr>
        <w:pStyle w:val="dot"/>
      </w:pPr>
      <w:r>
        <w:tab/>
      </w:r>
      <w:r>
        <w:tab/>
        <w:t>•</w:t>
      </w:r>
      <w:r>
        <w:tab/>
        <w:t xml:space="preserve">В контексте национального конкурса под названием </w:t>
      </w:r>
      <w:r>
        <w:rPr>
          <w:u w:val="single"/>
        </w:rPr>
        <w:t>«Ориентированная на интересы семьи компания 2000: новые возможности для женщин и му</w:t>
      </w:r>
      <w:r>
        <w:rPr>
          <w:u w:val="single"/>
        </w:rPr>
        <w:t>ж</w:t>
      </w:r>
      <w:r>
        <w:rPr>
          <w:u w:val="single"/>
        </w:rPr>
        <w:t>чин»</w:t>
      </w:r>
      <w:r>
        <w:t>, компании, поддерживающие отцов в совмещении семейных и пр</w:t>
      </w:r>
      <w:r>
        <w:t>о</w:t>
      </w:r>
      <w:r>
        <w:t>изводственных обязанностей и использующие предложенные телевиден</w:t>
      </w:r>
      <w:r>
        <w:t>и</w:t>
      </w:r>
      <w:r>
        <w:t>ем модели, на выставке ЭКСПО в Гановере 31 октября 2000 года были н</w:t>
      </w:r>
      <w:r>
        <w:t>а</w:t>
      </w:r>
      <w:r>
        <w:t>граждены призами. В федеральных землях проводились и проводятся ан</w:t>
      </w:r>
      <w:r>
        <w:t>а</w:t>
      </w:r>
      <w:r>
        <w:t>логичные конкурсы на тему ориентированного на интересы семьи пре</w:t>
      </w:r>
      <w:r>
        <w:t>д</w:t>
      </w:r>
      <w:r>
        <w:t>приятия/равных возможностей.</w:t>
      </w:r>
    </w:p>
    <w:p w:rsidR="00000000" w:rsidRDefault="00000000">
      <w:pPr>
        <w:pStyle w:val="dot"/>
      </w:pPr>
      <w:r>
        <w:tab/>
      </w:r>
      <w:r>
        <w:tab/>
        <w:t>•</w:t>
      </w:r>
      <w:r>
        <w:tab/>
      </w:r>
      <w:r>
        <w:rPr>
          <w:u w:val="single"/>
        </w:rPr>
        <w:t>Информационный центр</w:t>
      </w:r>
      <w:r>
        <w:t xml:space="preserve"> по вопросу совмещения семейных и производс</w:t>
      </w:r>
      <w:r>
        <w:t>т</w:t>
      </w:r>
      <w:r>
        <w:t>венных обязанностей в связи с проведением ярмарок, конгрессов и выст</w:t>
      </w:r>
      <w:r>
        <w:t>а</w:t>
      </w:r>
      <w:r>
        <w:t>вок, предоставляет информацию о наилучших практических моделях и стратегиях, направленных на создание ориентированных на интересы с</w:t>
      </w:r>
      <w:r>
        <w:t>е</w:t>
      </w:r>
      <w:r>
        <w:t>мьи у</w:t>
      </w:r>
      <w:r>
        <w:t>с</w:t>
      </w:r>
      <w:r>
        <w:t>ловий на производстве.</w:t>
      </w:r>
    </w:p>
    <w:p w:rsidR="00000000" w:rsidRDefault="00000000">
      <w:pPr>
        <w:pStyle w:val="dot"/>
      </w:pPr>
      <w:r>
        <w:tab/>
      </w:r>
      <w:r>
        <w:tab/>
        <w:t>•</w:t>
      </w:r>
      <w:r>
        <w:tab/>
        <w:t>Электронная консультативная служба предоставляет малым и средним предприятиям консультации, в частности, по вопросам введения ориент</w:t>
      </w:r>
      <w:r>
        <w:t>и</w:t>
      </w:r>
      <w:r>
        <w:t>рованных на интересы семьи мер и мер, содействующих улучшению п</w:t>
      </w:r>
      <w:r>
        <w:t>о</w:t>
      </w:r>
      <w:r>
        <w:t>ложения женщин.</w:t>
      </w:r>
    </w:p>
    <w:p w:rsidR="00000000" w:rsidRDefault="00000000">
      <w:pPr>
        <w:pStyle w:val="dot"/>
      </w:pPr>
      <w:r>
        <w:tab/>
      </w:r>
      <w:r>
        <w:tab/>
        <w:t>•</w:t>
      </w:r>
      <w:r>
        <w:tab/>
        <w:t>Соглашение между федеральным правительством и центральными асс</w:t>
      </w:r>
      <w:r>
        <w:t>о</w:t>
      </w:r>
      <w:r>
        <w:t xml:space="preserve">циациями германской промышленности от июля 2001 года о содействии созданию равных возможностей для женщин и мужчин в частном секторе промышленности было изложено в пункте 3.4.10 части </w:t>
      </w:r>
      <w:r>
        <w:rPr>
          <w:lang w:val="en-US"/>
        </w:rPr>
        <w:t>I</w:t>
      </w:r>
      <w:r>
        <w:t xml:space="preserve"> в</w:t>
      </w:r>
      <w:r>
        <w:t>ы</w:t>
      </w:r>
      <w:r>
        <w:t>ше.</w:t>
      </w:r>
    </w:p>
    <w:p w:rsidR="00000000" w:rsidRDefault="00000000">
      <w:pPr>
        <w:pStyle w:val="SingleTxt"/>
        <w:ind w:left="1740" w:hanging="476"/>
      </w:pPr>
      <w:r>
        <w:tab/>
      </w:r>
      <w:r>
        <w:tab/>
        <w:t>При участии предпринимателей разработаны и осуществляются дополн</w:t>
      </w:r>
      <w:r>
        <w:t>и</w:t>
      </w:r>
      <w:r>
        <w:t xml:space="preserve">тельные меры, например, базовая учебная программа по вопросам </w:t>
      </w:r>
      <w:r>
        <w:rPr>
          <w:u w:val="single"/>
        </w:rPr>
        <w:t>совм</w:t>
      </w:r>
      <w:r>
        <w:rPr>
          <w:u w:val="single"/>
        </w:rPr>
        <w:t>е</w:t>
      </w:r>
      <w:r>
        <w:rPr>
          <w:u w:val="single"/>
        </w:rPr>
        <w:t>щения семейных и производственных обязанностей в качестве учебной концепции для руководящих сотрудников</w:t>
      </w:r>
      <w:r>
        <w:t>. Программа призвана помочь специалистам и руководителям, в частности, малых и средних предпр</w:t>
      </w:r>
      <w:r>
        <w:t>и</w:t>
      </w:r>
      <w:r>
        <w:t>ятий и организаций, в разработке мотивации для совмещения семейных и производственных обязанностей и его осуществления в рамках культуры пре</w:t>
      </w:r>
      <w:r>
        <w:t>д</w:t>
      </w:r>
      <w:r>
        <w:t>приятия.</w:t>
      </w:r>
    </w:p>
    <w:p w:rsidR="00000000" w:rsidRDefault="00000000">
      <w:pPr>
        <w:pStyle w:val="SingleTxt"/>
        <w:ind w:left="1740" w:hanging="476"/>
      </w:pPr>
      <w:r>
        <w:tab/>
      </w:r>
      <w:r>
        <w:tab/>
        <w:t>Сегодня основу для совмещения семейных и производственных обязанн</w:t>
      </w:r>
      <w:r>
        <w:t>о</w:t>
      </w:r>
      <w:r>
        <w:t>стей составляют новаторские учебно-производственные пособия и такие средства, как Интернет, телекоммуникации и гибкие часы рабочего врем</w:t>
      </w:r>
      <w:r>
        <w:t>е</w:t>
      </w:r>
      <w:r>
        <w:t>ни. При оценке результатов индивидуальных исследований, интервью с представителями руководства компаний и их персоналом, а также сов</w:t>
      </w:r>
      <w:r>
        <w:t>е</w:t>
      </w:r>
      <w:r>
        <w:t xml:space="preserve">щаний экспертов, работодатели и работники могут воспользоваться </w:t>
      </w:r>
      <w:r>
        <w:rPr>
          <w:u w:val="single"/>
        </w:rPr>
        <w:t>рук</w:t>
      </w:r>
      <w:r>
        <w:rPr>
          <w:u w:val="single"/>
        </w:rPr>
        <w:t>о</w:t>
      </w:r>
      <w:r>
        <w:rPr>
          <w:u w:val="single"/>
        </w:rPr>
        <w:t>водством по использованию телекоммуникационных средств в семье</w:t>
      </w:r>
      <w:r>
        <w:t>, к</w:t>
      </w:r>
      <w:r>
        <w:t>о</w:t>
      </w:r>
      <w:r>
        <w:t>торое позволяет получить представление и конкретную помощь в испол</w:t>
      </w:r>
      <w:r>
        <w:t>ь</w:t>
      </w:r>
      <w:r>
        <w:t>зовании практических правил с учетом всех аспектов каждодневной жи</w:t>
      </w:r>
      <w:r>
        <w:t>з</w:t>
      </w:r>
      <w:r>
        <w:t>ни в условиях совмещения семейных и пр</w:t>
      </w:r>
      <w:r>
        <w:t>о</w:t>
      </w:r>
      <w:r>
        <w:t>изводственных обязанностей.</w:t>
      </w:r>
    </w:p>
    <w:p w:rsidR="00000000" w:rsidRDefault="00000000">
      <w:pPr>
        <w:pStyle w:val="SingleTxt"/>
        <w:ind w:left="1740" w:hanging="476"/>
      </w:pPr>
      <w:r>
        <w:tab/>
      </w:r>
      <w:r>
        <w:tab/>
        <w:t xml:space="preserve">В порядке оказания женщинам помощи при </w:t>
      </w:r>
      <w:r>
        <w:rPr>
          <w:u w:val="single"/>
        </w:rPr>
        <w:t>возвращении на работу</w:t>
      </w:r>
      <w:r>
        <w:t xml:space="preserve"> после отпуска по семейным обстоятельствам федеральное министерство по д</w:t>
      </w:r>
      <w:r>
        <w:t>е</w:t>
      </w:r>
      <w:r>
        <w:t>лам семьи, престарелых, женщин и молодежи опубликовало брошюру, озаглавленную «Возвращение на работу», в которой собраны вопросы, к</w:t>
      </w:r>
      <w:r>
        <w:t>а</w:t>
      </w:r>
      <w:r>
        <w:t>сающиеся государственной помощи, практические советы по уходу за детьми, ответы на вопросы в области финансового и социального права и т.д.</w:t>
      </w:r>
    </w:p>
    <w:p w:rsidR="00000000" w:rsidRDefault="00000000">
      <w:pPr>
        <w:pStyle w:val="SingleTxt"/>
        <w:ind w:left="1740" w:hanging="476"/>
      </w:pPr>
      <w:r>
        <w:tab/>
      </w:r>
      <w:r>
        <w:tab/>
        <w:t>В другой брошюре федерального министерства по делам семьи, престар</w:t>
      </w:r>
      <w:r>
        <w:t>е</w:t>
      </w:r>
      <w:r>
        <w:t>лых, женщин и молодежи, озаглавленной «Совмещение семейных и пр</w:t>
      </w:r>
      <w:r>
        <w:t>о</w:t>
      </w:r>
      <w:r>
        <w:t>изводственных обязанностей – советы самостоятельно занятым и оказ</w:t>
      </w:r>
      <w:r>
        <w:t>ы</w:t>
      </w:r>
      <w:r>
        <w:t>вающим помощь членам семьи», даются ответы на вопросы о законод</w:t>
      </w:r>
      <w:r>
        <w:t>а</w:t>
      </w:r>
      <w:r>
        <w:t>тельной основе для выплаты пособия на ребенка и родительского отпуска, охране здоровья, долгосрочном уходе и пенсионных гарантиях в по соц</w:t>
      </w:r>
      <w:r>
        <w:t>и</w:t>
      </w:r>
      <w:r>
        <w:t>альному законодательству и т.д., а также рассматриваются финансовые вопросы.</w:t>
      </w:r>
    </w:p>
    <w:p w:rsidR="00000000" w:rsidRDefault="00000000">
      <w:pPr>
        <w:pStyle w:val="dot"/>
      </w:pPr>
      <w:r>
        <w:tab/>
      </w:r>
      <w:r>
        <w:tab/>
        <w:t>•</w:t>
      </w:r>
      <w:r>
        <w:tab/>
        <w:t>В заключительной части рассматриваются нормативные положения, о</w:t>
      </w:r>
      <w:r>
        <w:t>б</w:t>
      </w:r>
      <w:r>
        <w:t>легчающие гражданским служащим и работникам государственной слу</w:t>
      </w:r>
      <w:r>
        <w:t>ж</w:t>
      </w:r>
      <w:r>
        <w:t>бы задачу совмещения семейных и пр</w:t>
      </w:r>
      <w:r>
        <w:t>о</w:t>
      </w:r>
      <w:r>
        <w:t>изводственных обязанностей.</w:t>
      </w:r>
    </w:p>
    <w:p w:rsidR="00000000" w:rsidRDefault="00000000">
      <w:pPr>
        <w:pStyle w:val="SingleTxt"/>
        <w:ind w:left="1740" w:hanging="476"/>
      </w:pPr>
      <w:r>
        <w:tab/>
      </w:r>
      <w:r>
        <w:tab/>
        <w:t>Имеющаяся у гражданских служащих возможность работать неполный рабочий день, которая впервые была предоставлена в 1969 году в виде права на «занятость в течение неполного рабочего дня как политики в о</w:t>
      </w:r>
      <w:r>
        <w:t>т</w:t>
      </w:r>
      <w:r>
        <w:t>ношении семьи», постоянно расширяется и дополняется. Занятость н</w:t>
      </w:r>
      <w:r>
        <w:t>е</w:t>
      </w:r>
      <w:r>
        <w:t>полный рабочий день как политика в отношении семьи может в настоящее время практиковаться в течение срока до 12 лет при продолжительности рабоч</w:t>
      </w:r>
      <w:r>
        <w:t>е</w:t>
      </w:r>
      <w:r>
        <w:t>го времени менее 50 % по сравнению с обычной.</w:t>
      </w:r>
    </w:p>
    <w:p w:rsidR="00000000" w:rsidRDefault="00000000">
      <w:pPr>
        <w:pStyle w:val="SingleTxt"/>
        <w:ind w:left="1740" w:hanging="476"/>
      </w:pPr>
      <w:r>
        <w:tab/>
      </w:r>
      <w:r>
        <w:tab/>
        <w:t>Кроме того, с 1997 года обращаться с просьбой о предоставлении работы в течение неполного рабочего дня можно без предварительных условий, что позволяет нанимать на работу гражданских служащих, по их просьбе, без предварительных условий, которые должны удовлетворяться при з</w:t>
      </w:r>
      <w:r>
        <w:t>а</w:t>
      </w:r>
      <w:r>
        <w:t>нятости неполный рабочий день в отсутствие официальных причин для отказа.</w:t>
      </w:r>
    </w:p>
    <w:p w:rsidR="00000000" w:rsidRDefault="00000000">
      <w:pPr>
        <w:pStyle w:val="SingleTxt"/>
        <w:ind w:left="1740" w:hanging="476"/>
      </w:pPr>
      <w:r>
        <w:tab/>
      </w:r>
      <w:r>
        <w:tab/>
        <w:t>В 1998 году в качестве нового элемента право на занятость неполный р</w:t>
      </w:r>
      <w:r>
        <w:t>а</w:t>
      </w:r>
      <w:r>
        <w:t>бочий день было предоставлено лицам, приближающимся к пенсионному возрасту. Речь идет о занятости неполный рабочий день до наступления пенсионного возраста у гражданских служащих, достигших возраста 55 лет, при рабочей нагрузке, составляющей половину продолжительн</w:t>
      </w:r>
      <w:r>
        <w:t>о</w:t>
      </w:r>
      <w:r>
        <w:t>сти ранее установленного для них рабочего времени. Работники могут выбрать – работать половину рабочего дня в течение всего периода или воспользоваться комбинированной моделью, сочетающей этапы работы и отдыха. Работа неполный рабочий день дает лицам, приближающимся к пенсионному возрасту, определенные преимущества в отношении зар</w:t>
      </w:r>
      <w:r>
        <w:t>а</w:t>
      </w:r>
      <w:r>
        <w:t>ботной платы и пенсии. По состоянию на 1 июля 2000 года возможность работать неполный рабочий день, имеющаяся у лиц, приближающихся к пенсионному возрасту, была предоставлена также гражданским служ</w:t>
      </w:r>
      <w:r>
        <w:t>а</w:t>
      </w:r>
      <w:r>
        <w:t>щим, ранее работавшим в течение неполного рабочего дня, которые пре</w:t>
      </w:r>
      <w:r>
        <w:t>ж</w:t>
      </w:r>
      <w:r>
        <w:t>де такой возможности не имели. Установленный порядок отвечает, в час</w:t>
      </w:r>
      <w:r>
        <w:t>т</w:t>
      </w:r>
      <w:r>
        <w:t>ности, интересам женщин.</w:t>
      </w:r>
    </w:p>
    <w:p w:rsidR="00000000" w:rsidRDefault="00000000">
      <w:pPr>
        <w:pStyle w:val="SingleTxt"/>
        <w:ind w:left="1740" w:hanging="476"/>
      </w:pPr>
      <w:r>
        <w:tab/>
      </w:r>
      <w:r>
        <w:tab/>
        <w:t>В порядке содействия совмещению семейных и производственных об</w:t>
      </w:r>
      <w:r>
        <w:t>я</w:t>
      </w:r>
      <w:r>
        <w:t>занностей гражданскими служащими начиная с 1994 года открываются возможности для работы неполный рабочий день за счет внесения новых и дальнейшего расширения действующих положений коллективного с</w:t>
      </w:r>
      <w:r>
        <w:t>о</w:t>
      </w:r>
      <w:r>
        <w:t>глашения о работе неполный рабочий день. Возможность работать непо</w:t>
      </w:r>
      <w:r>
        <w:t>л</w:t>
      </w:r>
      <w:r>
        <w:t>ный рабочий день для представителей этой группы, приближающихся к пенсионному возрасту, существует с 1998 года; в отношении их действуют те же положения, что и в отношении гражданских служащих.</w:t>
      </w:r>
    </w:p>
    <w:p w:rsidR="00000000" w:rsidRDefault="00000000">
      <w:pPr>
        <w:pStyle w:val="SingleTxt"/>
        <w:ind w:left="1740" w:hanging="476"/>
      </w:pPr>
      <w:r>
        <w:tab/>
      </w:r>
      <w:r>
        <w:tab/>
        <w:t>В Федеральном законе о равных возможностях для женщин и мужчин в федеральных органах управления и федеральных судах (Федеральный з</w:t>
      </w:r>
      <w:r>
        <w:t>а</w:t>
      </w:r>
      <w:r>
        <w:t>кон о равных возможностях), вступившем в силу 5 декабря 2001 года, с</w:t>
      </w:r>
      <w:r>
        <w:t>о</w:t>
      </w:r>
      <w:r>
        <w:t>держатся дополнительные положения о занятости неполный рабочий день и положения, выходящие за рамки Закона о работе неполный рабочий день и о срочных договорах о найме, распространяющие эти положения на весь персонал. Так, например, вакантные должности, связанные с и</w:t>
      </w:r>
      <w:r>
        <w:t>с</w:t>
      </w:r>
      <w:r>
        <w:t>полнением руководящих функций высшего и высокого уровней, подлежат публикации и заполнению на основе неполной занятости, если нет вес</w:t>
      </w:r>
      <w:r>
        <w:t>о</w:t>
      </w:r>
      <w:r>
        <w:t>мых формальных причин для иного. В дополнение к занятости неполный рабочий день и отпускам по семейным причинам семейным сотрудникам должна предоставляться работа, связанная с использованием телекомм</w:t>
      </w:r>
      <w:r>
        <w:t>у</w:t>
      </w:r>
      <w:r>
        <w:t>никационных средств или моделями особого рабочего графика, например, академический отпуск и зачет рабочего времени, где это официально во</w:t>
      </w:r>
      <w:r>
        <w:t>з</w:t>
      </w:r>
      <w:r>
        <w:t xml:space="preserve">можно. Кроме того, для сотрудников, работающих неполный рабочий день и имеющих семейные обязанности, должны упрощаться условия для их возвращения к полной занятости (см. также пункт 5.1 части </w:t>
      </w:r>
      <w:r>
        <w:rPr>
          <w:lang w:val="en-US"/>
        </w:rPr>
        <w:t>I</w:t>
      </w:r>
      <w:r>
        <w:t>).</w:t>
      </w:r>
    </w:p>
    <w:p w:rsidR="00000000" w:rsidRDefault="00000000">
      <w:pPr>
        <w:pStyle w:val="SingleTxt"/>
        <w:ind w:left="1740" w:hanging="476"/>
      </w:pPr>
      <w:r>
        <w:tab/>
      </w:r>
      <w:r>
        <w:tab/>
        <w:t xml:space="preserve">Новые положения Федерального закона о пособии на воспитание детей, касающиеся родительского отпуска, включены в </w:t>
      </w:r>
      <w:r>
        <w:rPr>
          <w:caps/>
          <w:u w:val="single"/>
        </w:rPr>
        <w:t>п</w:t>
      </w:r>
      <w:r>
        <w:rPr>
          <w:u w:val="single"/>
        </w:rPr>
        <w:t>остановление о род</w:t>
      </w:r>
      <w:r>
        <w:rPr>
          <w:u w:val="single"/>
        </w:rPr>
        <w:t>и</w:t>
      </w:r>
      <w:r>
        <w:rPr>
          <w:u w:val="single"/>
        </w:rPr>
        <w:t>тельском отпуске</w:t>
      </w:r>
      <w:r>
        <w:t xml:space="preserve"> с поправками, внесенными постановлением от 17 июля 2001 года (газета федерального законодательства, часть 1, стр. 1664). П</w:t>
      </w:r>
      <w:r>
        <w:t>о</w:t>
      </w:r>
      <w:r>
        <w:t>правка, касающаяся федеральных гражданских служащих и вступившая в силу ретроактивно с 1 января 2001 года, обеспечивает хронологическую последовательность и согласованность с последствиями в соответствии с законом о пособии на восп</w:t>
      </w:r>
      <w:r>
        <w:t>и</w:t>
      </w:r>
      <w:r>
        <w:t>тание детей.</w:t>
      </w:r>
    </w:p>
    <w:p w:rsidR="00000000" w:rsidRDefault="00000000">
      <w:pPr>
        <w:pStyle w:val="H4"/>
      </w:pPr>
      <w:bookmarkStart w:id="545" w:name="_Toc44113829"/>
      <w:bookmarkStart w:id="546" w:name="_Toc44114337"/>
      <w:bookmarkStart w:id="547" w:name="_Toc44116014"/>
      <w:r>
        <w:t>11.5.2. Политика в отношении женщин на рынке труда – экспериментальные проекты федерал</w:t>
      </w:r>
      <w:r>
        <w:t>ь</w:t>
      </w:r>
      <w:r>
        <w:t>ного правительства</w:t>
      </w:r>
      <w:bookmarkEnd w:id="545"/>
      <w:bookmarkEnd w:id="546"/>
      <w:bookmarkEnd w:id="547"/>
    </w:p>
    <w:p w:rsidR="00000000" w:rsidRDefault="00000000">
      <w:pPr>
        <w:pStyle w:val="SingleTxt"/>
      </w:pPr>
      <w:r>
        <w:t>В период с 1996 по 2000 год в качестве политического курса на профе</w:t>
      </w:r>
      <w:r>
        <w:t>с</w:t>
      </w:r>
      <w:r>
        <w:t>сиональную реинтеграцию женщин на рынке труда в рамках популяризации экспериментального проекта двух благотворительных компаний, занимающи</w:t>
      </w:r>
      <w:r>
        <w:t>х</w:t>
      </w:r>
      <w:r>
        <w:t>ся обеспечением рабочей силы на коммерческой основе (</w:t>
      </w:r>
      <w:r>
        <w:rPr>
          <w:lang w:val="en-US"/>
        </w:rPr>
        <w:t>START</w:t>
      </w:r>
      <w:r>
        <w:t xml:space="preserve"> </w:t>
      </w:r>
      <w:r>
        <w:rPr>
          <w:lang w:val="en-US"/>
        </w:rPr>
        <w:t>Zeitarbeit</w:t>
      </w:r>
      <w:r>
        <w:t xml:space="preserve"> в </w:t>
      </w:r>
      <w:r>
        <w:rPr>
          <w:caps/>
        </w:rPr>
        <w:t>с</w:t>
      </w:r>
      <w:r>
        <w:t>е</w:t>
      </w:r>
      <w:r>
        <w:t xml:space="preserve">верном Рейне – Вестфалии и </w:t>
      </w:r>
      <w:r>
        <w:rPr>
          <w:lang w:val="en-US"/>
        </w:rPr>
        <w:t>Gesellschaft</w:t>
      </w:r>
      <w:r>
        <w:t xml:space="preserve"> </w:t>
      </w:r>
      <w:r>
        <w:rPr>
          <w:lang w:val="en-US"/>
        </w:rPr>
        <w:t>f</w:t>
      </w:r>
      <w:r>
        <w:t>ü</w:t>
      </w:r>
      <w:r>
        <w:rPr>
          <w:lang w:val="en-US"/>
        </w:rPr>
        <w:t>r</w:t>
      </w:r>
      <w:r>
        <w:t xml:space="preserve"> </w:t>
      </w:r>
      <w:r>
        <w:rPr>
          <w:lang w:val="en-US"/>
        </w:rPr>
        <w:t>Arbeitnehmer</w:t>
      </w:r>
      <w:r>
        <w:t>ü</w:t>
      </w:r>
      <w:r>
        <w:rPr>
          <w:lang w:val="en-US"/>
        </w:rPr>
        <w:t>berlassung</w:t>
      </w:r>
      <w:r>
        <w:t xml:space="preserve"> </w:t>
      </w:r>
      <w:r>
        <w:rPr>
          <w:lang w:val="en-US"/>
        </w:rPr>
        <w:t>Th</w:t>
      </w:r>
      <w:r>
        <w:t>ü</w:t>
      </w:r>
      <w:r>
        <w:rPr>
          <w:lang w:val="en-US"/>
        </w:rPr>
        <w:t>ringen</w:t>
      </w:r>
      <w:r>
        <w:t xml:space="preserve">), было опробовано </w:t>
      </w:r>
      <w:r>
        <w:rPr>
          <w:u w:val="single"/>
        </w:rPr>
        <w:t>социально приемлемое обеспечение рабочей с</w:t>
      </w:r>
      <w:r>
        <w:rPr>
          <w:u w:val="single"/>
        </w:rPr>
        <w:t>и</w:t>
      </w:r>
      <w:r>
        <w:rPr>
          <w:u w:val="single"/>
        </w:rPr>
        <w:t>лой на коммерческой основе</w:t>
      </w:r>
      <w:r>
        <w:t>. В ходе кампании обнаружилось, что женщины обладают гораздо большими, чем мужчины, шансами попасть в долгосрочной перспективе на первичный рынок труда в рамках социально приемлемого обеспечения рабочей силой на коммерческой основе. Это касается, в частности, и специальных целевых групп на рынке труда, таких как безработные и/или м</w:t>
      </w:r>
      <w:r>
        <w:t>а</w:t>
      </w:r>
      <w:r>
        <w:t>тери-одиночки и женщины, не завершившие профессиональной подг</w:t>
      </w:r>
      <w:r>
        <w:t>о</w:t>
      </w:r>
      <w:r>
        <w:t>товки.</w:t>
      </w:r>
    </w:p>
    <w:p w:rsidR="00000000" w:rsidRDefault="00000000">
      <w:pPr>
        <w:pStyle w:val="SingleTxt"/>
      </w:pPr>
      <w:r>
        <w:t>В рамках четвертой Программы общественных мероприятий по созданию равных возможностей Германский институт молодежи осуществил проект «Н</w:t>
      </w:r>
      <w:r>
        <w:t>а</w:t>
      </w:r>
      <w:r>
        <w:t>ставничество для женщин в Европе». По завершении этапа начального фина</w:t>
      </w:r>
      <w:r>
        <w:t>н</w:t>
      </w:r>
      <w:r>
        <w:t>сирования, проводившегося ЕС, началась следующая фаза проекта, состоящая в установлении новых контактов и распространении существующих концепций наставничества и финансируемая федеральным министерством по делам семьи, престарелых, женщин и молодежи, были разработаны новые концепции для женщин, начинающих собственное дело, занимающихся политикой и раб</w:t>
      </w:r>
      <w:r>
        <w:t>о</w:t>
      </w:r>
      <w:r>
        <w:t>тающих в административных органах.</w:t>
      </w:r>
    </w:p>
    <w:p w:rsidR="00000000" w:rsidRDefault="00000000">
      <w:pPr>
        <w:pStyle w:val="SingleTxt"/>
      </w:pPr>
      <w:r>
        <w:rPr>
          <w:u w:val="single"/>
        </w:rPr>
        <w:t xml:space="preserve">Научный центр политики равных возможностей в обществе труда и услуг </w:t>
      </w:r>
      <w:r>
        <w:rPr>
          <w:u w:val="single"/>
          <w:lang w:val="en-US"/>
        </w:rPr>
        <w:t>XXI </w:t>
      </w:r>
      <w:r>
        <w:rPr>
          <w:u w:val="single"/>
        </w:rPr>
        <w:t>века</w:t>
      </w:r>
      <w:r>
        <w:t xml:space="preserve"> (2001-2003 год) в качестве вспомогательно-консультативного агентс</w:t>
      </w:r>
      <w:r>
        <w:t>т</w:t>
      </w:r>
      <w:r>
        <w:t>ва предоставляет консультации и рекомендации региональным участникам и сотрудникам компаний. В центре внимания центра, находятся ориентирова</w:t>
      </w:r>
      <w:r>
        <w:t>н</w:t>
      </w:r>
      <w:r>
        <w:t>ные на предприятия и сектора производства меры, направленные на дальне</w:t>
      </w:r>
      <w:r>
        <w:t>й</w:t>
      </w:r>
      <w:r>
        <w:t>шую разработку концепции, предусматривающей повышение внимания к ге</w:t>
      </w:r>
      <w:r>
        <w:t>н</w:t>
      </w:r>
      <w:r>
        <w:t>дерным вопросам на региональном уровне для достижения большего равенства возможностей мужчин и женщин на ры</w:t>
      </w:r>
      <w:r>
        <w:t>н</w:t>
      </w:r>
      <w:r>
        <w:t>ке труда.</w:t>
      </w:r>
    </w:p>
    <w:p w:rsidR="00000000" w:rsidRDefault="00000000">
      <w:pPr>
        <w:pStyle w:val="H4"/>
      </w:pPr>
      <w:bookmarkStart w:id="548" w:name="_Toc44113830"/>
      <w:bookmarkStart w:id="549" w:name="_Toc44114338"/>
      <w:bookmarkStart w:id="550" w:name="_Toc44116015"/>
      <w:r>
        <w:t>11.5.3 Обзаведение собственным делом</w:t>
      </w:r>
      <w:bookmarkEnd w:id="548"/>
      <w:bookmarkEnd w:id="549"/>
      <w:bookmarkEnd w:id="550"/>
    </w:p>
    <w:p w:rsidR="00000000" w:rsidRDefault="00000000">
      <w:pPr>
        <w:pStyle w:val="SingleTxt"/>
      </w:pPr>
      <w:r>
        <w:t xml:space="preserve">В рамках исследования </w:t>
      </w:r>
      <w:r>
        <w:rPr>
          <w:u w:val="single"/>
        </w:rPr>
        <w:t>гендерных аспектов обзаведения собственным д</w:t>
      </w:r>
      <w:r>
        <w:rPr>
          <w:u w:val="single"/>
        </w:rPr>
        <w:t>е</w:t>
      </w:r>
      <w:r>
        <w:rPr>
          <w:u w:val="single"/>
        </w:rPr>
        <w:t>лом</w:t>
      </w:r>
      <w:r>
        <w:t xml:space="preserve">, состоящего из трех частей, разработаны подходы к определению более точной стратегии обзаведения собственным делом с разбивкой по гендерному признаку. </w:t>
      </w:r>
    </w:p>
    <w:p w:rsidR="00000000" w:rsidRDefault="00000000">
      <w:pPr>
        <w:pStyle w:val="SingleTxt"/>
      </w:pPr>
      <w:r>
        <w:t>Структуры спроса и предложения консультативных учреждений для же</w:t>
      </w:r>
      <w:r>
        <w:t>н</w:t>
      </w:r>
      <w:r>
        <w:t>щин впервые были рассмотрены в рамках исследования, цель которого состо</w:t>
      </w:r>
      <w:r>
        <w:t>я</w:t>
      </w:r>
      <w:r>
        <w:t>ла в сопоставлении подходов и услуг этих учреждений в процессе обзаведения женщинами собственным делом и в определении общесетевых подходов к классическим учреждениям – торговым палатам, банкам и ассоциациям. Пол</w:t>
      </w:r>
      <w:r>
        <w:t>у</w:t>
      </w:r>
      <w:r>
        <w:t>ченные в результате анализа данные свидетельствуют о большом значении этих учреждений для развития предпринимательского потенциала женщин.</w:t>
      </w:r>
    </w:p>
    <w:p w:rsidR="00000000" w:rsidRDefault="00000000">
      <w:pPr>
        <w:pStyle w:val="SingleTxt"/>
      </w:pPr>
      <w:r>
        <w:t>В рамках другого исследования был проведен анализ условий и хода д</w:t>
      </w:r>
      <w:r>
        <w:t>е</w:t>
      </w:r>
      <w:r>
        <w:t>лового обзаведения при дополнительной и сверхурочной работе самодеятел</w:t>
      </w:r>
      <w:r>
        <w:t>ь</w:t>
      </w:r>
      <w:r>
        <w:t>ных предпринимателей. Причиной для этого послужило то обстоятельство, что создание малых и мелких предприятий проходит по совершенно иной схеме, чем становление технологических и коммерческих компаний. Исследования свидетельствуют о большом значении малых и мелких новых предприятий, о</w:t>
      </w:r>
      <w:r>
        <w:t>б</w:t>
      </w:r>
      <w:r>
        <w:t>ладающих потенциалом развития, и в то же время говорят о том, что женщины вносят активный вклад в процессы структурного изменения экономики.</w:t>
      </w:r>
    </w:p>
    <w:p w:rsidR="00000000" w:rsidRDefault="00000000">
      <w:pPr>
        <w:pStyle w:val="SingleTxt"/>
      </w:pPr>
      <w:r>
        <w:t>В докладе экспертов о результатах еще одного исследования была пров</w:t>
      </w:r>
      <w:r>
        <w:t>е</w:t>
      </w:r>
      <w:r>
        <w:t>дена оценка официальной статистики в области делового обзаведения с точки зрения гендерных аспектов, после чего были разработаны рекомендации в о</w:t>
      </w:r>
      <w:r>
        <w:t>т</w:t>
      </w:r>
      <w:r>
        <w:t>ношении документации и анализа, касающихся гендерных факторов.</w:t>
      </w:r>
    </w:p>
    <w:p w:rsidR="00000000" w:rsidRDefault="00000000">
      <w:pPr>
        <w:pStyle w:val="SingleTxt"/>
      </w:pPr>
      <w:r>
        <w:t>В центре внимания общенационального исследования, проведенного в первом полугодии 2001 года, находилась деятельность женщин-предпринимателей и женщин, начинающих собственное дело в рамках малых и средних предприятий, а также деятельность, проводимая в их интересах. В р</w:t>
      </w:r>
      <w:r>
        <w:t>е</w:t>
      </w:r>
      <w:r>
        <w:t>зультате обследования было выявлено около 500 инициатив, мероприятий и проектов, осуществляемых женщинами-предпринимателями и женщинами, о</w:t>
      </w:r>
      <w:r>
        <w:t>б</w:t>
      </w:r>
      <w:r>
        <w:t>заводящимися собственным делом, или в их интересах, которые стали опорн</w:t>
      </w:r>
      <w:r>
        <w:t>ы</w:t>
      </w:r>
      <w:r>
        <w:t>ми звеньями сети. Цель этого состоит в повышении роли данных конкретных структур и в их увязке с классическими традиционными структурами эконом</w:t>
      </w:r>
      <w:r>
        <w:t>и</w:t>
      </w:r>
      <w:r>
        <w:t>ческого развития.</w:t>
      </w:r>
    </w:p>
    <w:p w:rsidR="00000000" w:rsidRDefault="00000000">
      <w:pPr>
        <w:pStyle w:val="SingleTxt"/>
      </w:pPr>
      <w:r>
        <w:t xml:space="preserve">В порядке содействия смене поколений на предприятиях Германский банк уравнивания возможностей, Федерация германских торгово-промышленных палат и Федерация германских торговых предприятий выступили с совместной инициативой «Перемены/шанс». В осуществление этой инициативы с 1998 по 2001 год участвовало </w:t>
      </w:r>
      <w:r>
        <w:rPr>
          <w:caps/>
        </w:rPr>
        <w:t>ф</w:t>
      </w:r>
      <w:r>
        <w:t>едеральное министерство по делам семьи, престарелых, женщин и молодежи, что позволило женщинам в большей мере, чем прежде, воспользоваться результатами смены поколений на предприятиях, в частности, на начальном этапе их деятельности. Цель данного мероприятия заключалась в первую очередь в расширении сотрудничества между классическими консул</w:t>
      </w:r>
      <w:r>
        <w:t>ь</w:t>
      </w:r>
      <w:r>
        <w:t>тативными учреждениями по вопросам делового обзаведения, такими как пал</w:t>
      </w:r>
      <w:r>
        <w:t>а</w:t>
      </w:r>
      <w:r>
        <w:t>ты, ассоциации и банки, и консультативными агентствами, ориентированными на женщин.</w:t>
      </w:r>
    </w:p>
    <w:p w:rsidR="00000000" w:rsidRDefault="00000000">
      <w:pPr>
        <w:pStyle w:val="H23"/>
      </w:pPr>
      <w:bookmarkStart w:id="551" w:name="_Toc44113530"/>
      <w:bookmarkStart w:id="552" w:name="_Toc44113831"/>
      <w:bookmarkStart w:id="553" w:name="_Toc44114339"/>
      <w:bookmarkStart w:id="554" w:name="_Toc44115584"/>
      <w:bookmarkStart w:id="555" w:name="_Toc44116016"/>
      <w:r>
        <w:t>11.6 </w:t>
      </w:r>
      <w:r>
        <w:tab/>
        <w:t>Право на социальное обеспечение</w:t>
      </w:r>
      <w:bookmarkEnd w:id="551"/>
      <w:bookmarkEnd w:id="552"/>
      <w:bookmarkEnd w:id="553"/>
      <w:bookmarkEnd w:id="554"/>
      <w:bookmarkEnd w:id="555"/>
    </w:p>
    <w:p w:rsidR="00000000" w:rsidRDefault="00000000">
      <w:pPr>
        <w:pStyle w:val="SingleTxt"/>
      </w:pPr>
      <w:r>
        <w:t>В дополнение к предыдущему докладу можно отметить следующее.</w:t>
      </w:r>
    </w:p>
    <w:p w:rsidR="00000000" w:rsidRDefault="00000000">
      <w:pPr>
        <w:pStyle w:val="SingleTxt"/>
      </w:pPr>
      <w:r>
        <w:t>Начавшаяся 1 января 2002 года пенсионная реформа смягчает последс</w:t>
      </w:r>
      <w:r>
        <w:t>т</w:t>
      </w:r>
      <w:r>
        <w:t>вия осуществления нового пенсионного законодательства для женщин с пон</w:t>
      </w:r>
      <w:r>
        <w:t>и</w:t>
      </w:r>
      <w:r>
        <w:t>женным заработком. Размеры пенсий лиц, занимающихся воспитанием детей и имеющих оплачиваемую работу на протяжении первых десяти лет жизни р</w:t>
      </w:r>
      <w:r>
        <w:t>е</w:t>
      </w:r>
      <w:r>
        <w:t>бенка, но работающих при этом неполный рабочий день именно по причине необходимости воспитания детей и в силу этого зарабатывающих менее сре</w:t>
      </w:r>
      <w:r>
        <w:t>д</w:t>
      </w:r>
      <w:r>
        <w:t>него размера заработной платы, увеличены, начиная с 1992 года В этом случае индивидуальный доход увеличивается на 50 процентов, максимально до 100 процентов среднего дохода, в тех случаях, когда данное лицо в соответс</w:t>
      </w:r>
      <w:r>
        <w:t>т</w:t>
      </w:r>
      <w:r>
        <w:t>вии с пенсионным законодательством проработало не менее 25 лет. Такое п</w:t>
      </w:r>
      <w:r>
        <w:t>о</w:t>
      </w:r>
      <w:r>
        <w:t>ложение побуждает к тому, чтобы перерывы в социальном страховании, в</w:t>
      </w:r>
      <w:r>
        <w:t>ы</w:t>
      </w:r>
      <w:r>
        <w:t>званные необходимостью воспитания детей, сводились к минимуму и соотве</w:t>
      </w:r>
      <w:r>
        <w:t>т</w:t>
      </w:r>
      <w:r>
        <w:t>ствующий работник поступал на работу, по крайней мере в течение неполного рабочего дня, вскоре после завершения периода, отводимого на уход за ребе</w:t>
      </w:r>
      <w:r>
        <w:t>н</w:t>
      </w:r>
      <w:r>
        <w:t>ком. Данное положение отвечает интересам, в частности, тех женщин, которые поступают на работу в течение неполного рабочего дня, когда их младший р</w:t>
      </w:r>
      <w:r>
        <w:t>е</w:t>
      </w:r>
      <w:r>
        <w:t>бенок нач</w:t>
      </w:r>
      <w:r>
        <w:t>и</w:t>
      </w:r>
      <w:r>
        <w:t>нает посещать детский сад.</w:t>
      </w:r>
    </w:p>
    <w:p w:rsidR="00000000" w:rsidRDefault="00000000">
      <w:pPr>
        <w:pStyle w:val="SingleTxt"/>
      </w:pPr>
      <w:r>
        <w:t>Эти благоприятные перемены отвечают также интересам тех, кто во мн</w:t>
      </w:r>
      <w:r>
        <w:t>о</w:t>
      </w:r>
      <w:r>
        <w:t>гих случаях не может получить оплачиваемой работы, поскольку вынужден ухаживать за ребенком, требующим долгосрочного ухода. В этом случае обяз</w:t>
      </w:r>
      <w:r>
        <w:t>а</w:t>
      </w:r>
      <w:r>
        <w:t>тельный зачитываемый для пенсии период также увеличивается в стоимостном выражении на 50 процентов – не превышая при этом максимального уровня 100 процентов среднего дохода – вплоть до момента, когда нуждающийся в длительном уходе ребенок достигает возраста 18 лет.</w:t>
      </w:r>
    </w:p>
    <w:p w:rsidR="00000000" w:rsidRDefault="00000000">
      <w:pPr>
        <w:pStyle w:val="SingleTxt"/>
      </w:pPr>
      <w:r>
        <w:t>В отношении лиц, воспитывающих детей и имеющих нескольких детей в возрасте до 10 лет, которым сложнее поступить на оплачиваемую работу, чем лицам с одним ребенком этой возрастной группы, в Законе предусмотрена уравнительная мера, позволяющая компенсировать разницу в размере пенсии.</w:t>
      </w:r>
    </w:p>
    <w:p w:rsidR="00000000" w:rsidRDefault="00000000">
      <w:pPr>
        <w:pStyle w:val="SingleTxt"/>
      </w:pPr>
      <w:r>
        <w:t>Благодаря вновь утвержденным мерам, женщина, работающая неполный рабочий день и имеющая одного ребенка, и неработающая женщина, имеющая двух детей, могут получать ежемеся</w:t>
      </w:r>
      <w:r>
        <w:t>ч</w:t>
      </w:r>
      <w:r>
        <w:t>ную прибавку к пенсии в размере 60 евро.</w:t>
      </w:r>
    </w:p>
    <w:p w:rsidR="00000000" w:rsidRDefault="00000000">
      <w:pPr>
        <w:pStyle w:val="SingleTxt"/>
      </w:pPr>
      <w:r>
        <w:t>По истечении периода воспитания детей, другими словами, по достиж</w:t>
      </w:r>
      <w:r>
        <w:t>е</w:t>
      </w:r>
      <w:r>
        <w:t>нии ребенком возраста 4 года матери и отцы, начиная с 1992 года получают пенсионный кредит в виде условных единиц дохода. Размер этого кредита, как правило, соответствует максимальному размеру при наивысшей оценке зач</w:t>
      </w:r>
      <w:r>
        <w:t>и</w:t>
      </w:r>
      <w:r>
        <w:t>тываемого для пенсии периода по уходу за ребенком для лиц, имеющих опл</w:t>
      </w:r>
      <w:r>
        <w:t>а</w:t>
      </w:r>
      <w:r>
        <w:t>чиваемую работу (другими словами, третья часть условной единицы дохода в год).</w:t>
      </w:r>
    </w:p>
    <w:p w:rsidR="00000000" w:rsidRDefault="00000000">
      <w:pPr>
        <w:pStyle w:val="SingleTxt"/>
      </w:pPr>
      <w:r>
        <w:t>Дополнительная пенсия по старости, покрываемая капитальными нако</w:t>
      </w:r>
      <w:r>
        <w:t>п</w:t>
      </w:r>
      <w:r>
        <w:t>лениями, которая предусмотрена в Законе о возрастных накопительных активах (</w:t>
      </w:r>
      <w:r>
        <w:rPr>
          <w:lang w:val="en-US"/>
        </w:rPr>
        <w:t>Altersverm</w:t>
      </w:r>
      <w:r>
        <w:t>ö</w:t>
      </w:r>
      <w:r>
        <w:rPr>
          <w:lang w:val="en-US"/>
        </w:rPr>
        <w:t>gensgesetz</w:t>
      </w:r>
      <w:r>
        <w:t>) вместе с государственной доплатой, также учитывает период воспитания детей. На заключительном этапе (2008 год) Закон в допо</w:t>
      </w:r>
      <w:r>
        <w:t>л</w:t>
      </w:r>
      <w:r>
        <w:t>нение к основному пособию в размере 154 евро в год на одного родителя с р</w:t>
      </w:r>
      <w:r>
        <w:t>е</w:t>
      </w:r>
      <w:r>
        <w:t>бенком предусматривает выплату детского пособия в размере 185 евро на одн</w:t>
      </w:r>
      <w:r>
        <w:t>о</w:t>
      </w:r>
      <w:r>
        <w:t>го ребенка в год. Для семей с низким доходом, например, в случае матери или отца-одиночки, благодаря реализации этой стимулирующей модели в некот</w:t>
      </w:r>
      <w:r>
        <w:t>о</w:t>
      </w:r>
      <w:r>
        <w:t>рых случаях государство доплачивает сумму, превышающую 80 процентов от общей суммы накоплений.</w:t>
      </w:r>
    </w:p>
    <w:p w:rsidR="00000000" w:rsidRDefault="00000000">
      <w:pPr>
        <w:pStyle w:val="SingleTxt"/>
      </w:pPr>
      <w:r>
        <w:t>Кроме того, проводимая в настоящее время пенсионная реформа пред</w:t>
      </w:r>
      <w:r>
        <w:t>у</w:t>
      </w:r>
      <w:r>
        <w:t>сматривает также внесение изменений в систему пенсий для переживших и</w:t>
      </w:r>
      <w:r>
        <w:t>ж</w:t>
      </w:r>
      <w:r>
        <w:t>дивенцев. С целью сохранения долгосрочного доверия к такой системе были приняты новые законодательные нормы для супругов в возрасте до 40 лет и для молодоженов. Ранее существовавшие положения по-прежнему распростран</w:t>
      </w:r>
      <w:r>
        <w:t>я</w:t>
      </w:r>
      <w:r>
        <w:t>ются на все супружеские пары.</w:t>
      </w:r>
    </w:p>
    <w:p w:rsidR="00000000" w:rsidRDefault="00000000">
      <w:pPr>
        <w:pStyle w:val="SingleTxt"/>
      </w:pPr>
      <w:r>
        <w:t>В соответствии с новым законодательством пенсии для вдов и вдовцов были снижены с 60 до 55 процентов в системе базового социального страхов</w:t>
      </w:r>
      <w:r>
        <w:t>а</w:t>
      </w:r>
      <w:r>
        <w:t>ния, однако размер пенсии был повышен за счет пособия на первого ребенка на два пункта дохода и на последующих детей на один пункт дохода за каждого, поскольку женщина, воспитывающая детей, может за определенное время зн</w:t>
      </w:r>
      <w:r>
        <w:t>а</w:t>
      </w:r>
      <w:r>
        <w:t>чительно больше потерять в доходе, чем бездетные женщины и мужчины. Это означает также некоторое повышение пенсий для вдов, которые получают среднюю пенсию для вдов и воспитывают ребенка. Отсюда, вместе с улучш</w:t>
      </w:r>
      <w:r>
        <w:t>е</w:t>
      </w:r>
      <w:r>
        <w:t>нием положения с периодом выплаты взносов наблюдается в большинстве сл</w:t>
      </w:r>
      <w:r>
        <w:t>у</w:t>
      </w:r>
      <w:r>
        <w:t>чаев четкое улучшение в том, что касается общего размера пенсии женщин, воспитывающих детей.</w:t>
      </w:r>
    </w:p>
    <w:p w:rsidR="00000000" w:rsidRDefault="00000000">
      <w:pPr>
        <w:pStyle w:val="SingleTxt"/>
      </w:pPr>
      <w:r>
        <w:t>В отношении пенсий для тех вдов, доход которых не сократился, которые воспитывают детей и возраст которых составляет до 45 лет (так называемых небольших пенсий для вдов), продолжительность получения пособия огран</w:t>
      </w:r>
      <w:r>
        <w:t>и</w:t>
      </w:r>
      <w:r>
        <w:t xml:space="preserve">чивается переходным периодом в два года. </w:t>
      </w:r>
    </w:p>
    <w:p w:rsidR="00000000" w:rsidRDefault="00000000">
      <w:pPr>
        <w:pStyle w:val="SingleTxt"/>
      </w:pPr>
      <w:r>
        <w:t>Кроме того, для молодых супружеских пар и молодожен, на которых си</w:t>
      </w:r>
      <w:r>
        <w:t>с</w:t>
      </w:r>
      <w:r>
        <w:t>тема защиты доверия не распространяется, был повышен доход за счет пенсий для переживших иждивенцев. А до этого в качестве дохода рассматривался только доход от оплачиваемой работы и альтернативный доход (например, пе</w:t>
      </w:r>
      <w:r>
        <w:t>н</w:t>
      </w:r>
      <w:r>
        <w:t>сии, по л</w:t>
      </w:r>
      <w:r>
        <w:t>и</w:t>
      </w:r>
      <w:r>
        <w:t>нии пенсионного страхования и пенсионные пособия).</w:t>
      </w:r>
    </w:p>
    <w:p w:rsidR="00000000" w:rsidRDefault="00000000">
      <w:pPr>
        <w:pStyle w:val="SingleTxt"/>
      </w:pPr>
      <w:r>
        <w:t>В интересах обеспечения равенства здесь все виды дохода в будущем б</w:t>
      </w:r>
      <w:r>
        <w:t>у</w:t>
      </w:r>
      <w:r>
        <w:t>дут засчитываться в счет пенсии для переживших иждивенцев за исключением значительной части освобождаемого от налога дохода в соответствии с Зак</w:t>
      </w:r>
      <w:r>
        <w:t>о</w:t>
      </w:r>
      <w:r>
        <w:t>ном о подоходном налоге, а также доходов по договорам о пенсии по старости лет, если они были заключены в соответствии с Законом о подоходном налоге (др</w:t>
      </w:r>
      <w:r>
        <w:t>у</w:t>
      </w:r>
      <w:r>
        <w:t>гими словами доход от активов).</w:t>
      </w:r>
    </w:p>
    <w:p w:rsidR="00000000" w:rsidRDefault="00000000">
      <w:pPr>
        <w:pStyle w:val="SingleTxt"/>
      </w:pPr>
      <w:r>
        <w:t>Реформой предусматривается также принятие особого положения для м</w:t>
      </w:r>
      <w:r>
        <w:t>о</w:t>
      </w:r>
      <w:r>
        <w:t>лодых супружеских пар при определенных условиях, и они в будущем могут выбирать между традиционной пенсией для супружеских пар и вдовцов (при жизни обоих супругов каждый из них получает свою часть застрахованной пенсии, а в случае смерти одного из супругов переживший супруг также имеет право на пенсию для переживших иждивенцев, которая рассчитывается на пр</w:t>
      </w:r>
      <w:r>
        <w:t>о</w:t>
      </w:r>
      <w:r>
        <w:t>изводной основе от его пенсии), а также имеют право на разбивку пенсии. Это обеспечивается путем принятия обоими супругами совместного заявления. Как правило, такое совместное владение в духе партнерских отношений уже ра</w:t>
      </w:r>
      <w:r>
        <w:t>с</w:t>
      </w:r>
      <w:r>
        <w:t>пространяется на те случаи, когда оба супруга еще живы (то есть когда полная пенсия по старости полагается также и второму супругу).</w:t>
      </w:r>
    </w:p>
    <w:p w:rsidR="00000000" w:rsidRDefault="00000000">
      <w:pPr>
        <w:pStyle w:val="SingleTxt"/>
      </w:pPr>
      <w:r>
        <w:t>Разбивка пенсии обеспечивается тем же образом, что и выравнивание пенсии. Общая ожидаемая сумма пенсии за время нахождения в браке в равных долях делится между обоими партнерами. Как правило, собственная пенсия женщины повышается, что не засчитывается в качестве дохода также и в тех случаях, когда она становится пережившим иждивенцем. Право на получение своей ожидаемой доли в рамках разбивки пенсии также сохраняется и в случае повторного вступления в брак.</w:t>
      </w:r>
    </w:p>
    <w:p w:rsidR="00000000" w:rsidRDefault="00000000">
      <w:pPr>
        <w:pStyle w:val="H1"/>
      </w:pPr>
      <w:bookmarkStart w:id="556" w:name="_Toc44113531"/>
      <w:bookmarkStart w:id="557" w:name="_Toc44113832"/>
      <w:bookmarkStart w:id="558" w:name="_Toc44114340"/>
      <w:bookmarkStart w:id="559" w:name="_Toc44115585"/>
      <w:bookmarkStart w:id="560" w:name="_Toc44116017"/>
      <w:r>
        <w:t>12.</w:t>
      </w:r>
      <w:r>
        <w:tab/>
        <w:t>Статья 12: Равноправие мужчин и женщин в области здравоохр</w:t>
      </w:r>
      <w:r>
        <w:t>а</w:t>
      </w:r>
      <w:r>
        <w:t>нения</w:t>
      </w:r>
      <w:bookmarkEnd w:id="556"/>
      <w:bookmarkEnd w:id="557"/>
      <w:bookmarkEnd w:id="558"/>
      <w:bookmarkEnd w:id="559"/>
      <w:bookmarkEnd w:id="560"/>
    </w:p>
    <w:p w:rsidR="00000000" w:rsidRDefault="00000000">
      <w:pPr>
        <w:pStyle w:val="SingleTxt"/>
        <w:ind w:left="1740" w:hanging="476"/>
        <w:rPr>
          <w:i/>
        </w:rPr>
      </w:pPr>
      <w:r>
        <w:rPr>
          <w:i/>
        </w:rPr>
        <w:tab/>
      </w:r>
      <w:r>
        <w:rPr>
          <w:i/>
        </w:rPr>
        <w:tab/>
        <w:t>Статья 12</w:t>
      </w:r>
    </w:p>
    <w:p w:rsidR="00000000" w:rsidRDefault="00000000">
      <w:pPr>
        <w:pStyle w:val="SingleTxt"/>
        <w:ind w:left="1740" w:hanging="476"/>
        <w:rPr>
          <w:i/>
        </w:rPr>
      </w:pPr>
      <w:r>
        <w:rPr>
          <w:i/>
        </w:rPr>
        <w:tab/>
      </w:r>
      <w:r>
        <w:rPr>
          <w:i/>
        </w:rPr>
        <w:tab/>
        <w:t>1) Государства-участники принимают все соответствующие меры для ликвидации дискриминации в отношении женщин в области здравоохр</w:t>
      </w:r>
      <w:r>
        <w:rPr>
          <w:i/>
        </w:rPr>
        <w:t>а</w:t>
      </w:r>
      <w:r>
        <w:rPr>
          <w:i/>
        </w:rPr>
        <w:t>нения, с тем чтобы обеспечить на основе равенства мужчин и женщин доступ к медицинскому обслуживанию, в частности в том, что касается планир</w:t>
      </w:r>
      <w:r>
        <w:rPr>
          <w:i/>
        </w:rPr>
        <w:t>о</w:t>
      </w:r>
      <w:r>
        <w:rPr>
          <w:i/>
        </w:rPr>
        <w:t>вания размера семьи.</w:t>
      </w:r>
    </w:p>
    <w:p w:rsidR="00000000" w:rsidRDefault="00000000">
      <w:pPr>
        <w:pStyle w:val="SingleTxt"/>
        <w:ind w:left="1740" w:hanging="476"/>
        <w:rPr>
          <w:i/>
        </w:rPr>
      </w:pPr>
      <w:r>
        <w:rPr>
          <w:i/>
        </w:rPr>
        <w:tab/>
      </w:r>
      <w:r>
        <w:rPr>
          <w:i/>
        </w:rPr>
        <w:tab/>
        <w:t>2) Независимо от положения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w:t>
      </w:r>
      <w:r>
        <w:rPr>
          <w:i/>
        </w:rPr>
        <w:t>е</w:t>
      </w:r>
      <w:r>
        <w:rPr>
          <w:i/>
        </w:rPr>
        <w:t>ременности и кормления.</w:t>
      </w:r>
    </w:p>
    <w:p w:rsidR="00000000" w:rsidRDefault="00000000">
      <w:pPr>
        <w:pStyle w:val="SingleTxt"/>
      </w:pPr>
      <w:r>
        <w:t>Система здравоохранения Федеративной Республики Германии по закону гарантирует равный доступ мужчин и женщин к медицинским услугам и учр</w:t>
      </w:r>
      <w:r>
        <w:t>е</w:t>
      </w:r>
      <w:r>
        <w:t>ждениям. Любой человек получает необходимые медицинские услуги и пос</w:t>
      </w:r>
      <w:r>
        <w:t>о</w:t>
      </w:r>
      <w:r>
        <w:t>бия независимо от пола, возраста или социального положения. Достижениями в области медицины и медицинской техники в равной степени пользуются и женщины, и мужчины. В этой связи следует, однако, учитывать, что у женщин несколько иные недомогания и заболевания, чем у мужчин. В то же время т</w:t>
      </w:r>
      <w:r>
        <w:t>е</w:t>
      </w:r>
      <w:r>
        <w:t>чение и последствия болезней также могут иметь некоторые особенности в з</w:t>
      </w:r>
      <w:r>
        <w:t>а</w:t>
      </w:r>
      <w:r>
        <w:t>висимости от пола. Женщины в ряде отношений по иному реагируют на пр</w:t>
      </w:r>
      <w:r>
        <w:t>о</w:t>
      </w:r>
      <w:r>
        <w:t>блемы со здоровьем, и, соответственно, нуждаются в особых услугах, которые о</w:t>
      </w:r>
      <w:r>
        <w:t>т</w:t>
      </w:r>
      <w:r>
        <w:t>вечают их специфическим потребностям.</w:t>
      </w:r>
    </w:p>
    <w:p w:rsidR="00000000" w:rsidRDefault="00000000">
      <w:pPr>
        <w:pStyle w:val="SingleTxt"/>
      </w:pPr>
      <w:r>
        <w:t>В задачу всех учреждений, которые действуют в рамках многосторонней системы здравоохранения, входит дальнейшее развитие связанной со здрав</w:t>
      </w:r>
      <w:r>
        <w:t>о</w:t>
      </w:r>
      <w:r>
        <w:t>охранением структуры услуг и пособий, в частности с учетом конкретных п</w:t>
      </w:r>
      <w:r>
        <w:t>о</w:t>
      </w:r>
      <w:r>
        <w:t>требностей женщин в области охраны здоровья. Эта же задача вменяется и в обязанности земель и муниципалитетов, врачей и органов самоуправления, с</w:t>
      </w:r>
      <w:r>
        <w:t>о</w:t>
      </w:r>
      <w:r>
        <w:t>циальных партнеров, независимых поставщиков услуг, промышленности и то</w:t>
      </w:r>
      <w:r>
        <w:t>р</w:t>
      </w:r>
      <w:r>
        <w:t>говли, науки и научных исследований, равно как и организаций самопомощи.</w:t>
      </w:r>
    </w:p>
    <w:p w:rsidR="00000000" w:rsidRDefault="00000000">
      <w:pPr>
        <w:pStyle w:val="SingleTxt"/>
      </w:pPr>
      <w:r>
        <w:t>В дополнение к предыдущему докладу можно отметить следующее:</w:t>
      </w:r>
    </w:p>
    <w:p w:rsidR="00000000" w:rsidRDefault="00000000">
      <w:pPr>
        <w:pStyle w:val="H23"/>
      </w:pPr>
      <w:bookmarkStart w:id="561" w:name="_Toc44113532"/>
      <w:bookmarkStart w:id="562" w:name="_Toc44113833"/>
      <w:bookmarkStart w:id="563" w:name="_Toc44114341"/>
      <w:bookmarkStart w:id="564" w:name="_Toc44115586"/>
      <w:bookmarkStart w:id="565" w:name="_Toc44116018"/>
      <w:r>
        <w:t>12.1</w:t>
      </w:r>
      <w:r>
        <w:tab/>
        <w:t>Особые потребности женщин в области здравоохранения</w:t>
      </w:r>
      <w:bookmarkEnd w:id="561"/>
      <w:bookmarkEnd w:id="562"/>
      <w:bookmarkEnd w:id="563"/>
      <w:bookmarkEnd w:id="564"/>
      <w:bookmarkEnd w:id="565"/>
    </w:p>
    <w:p w:rsidR="00000000" w:rsidRDefault="00000000">
      <w:pPr>
        <w:pStyle w:val="SingleTxt"/>
      </w:pPr>
      <w:r>
        <w:t>Федеральное правительство вносит здесь свой вклад, все чаще учитывая в системе здравоохранения различные меры, связанные с особыми потребност</w:t>
      </w:r>
      <w:r>
        <w:t>я</w:t>
      </w:r>
      <w:r>
        <w:t>ми женщин.</w:t>
      </w:r>
    </w:p>
    <w:p w:rsidR="00000000" w:rsidRDefault="00000000">
      <w:pPr>
        <w:pStyle w:val="SingleTxt"/>
      </w:pPr>
      <w:r>
        <w:t xml:space="preserve">Поэтому </w:t>
      </w:r>
      <w:r>
        <w:rPr>
          <w:u w:val="single"/>
        </w:rPr>
        <w:t>Докладу о положении женщин в области здравоохранения в Ге</w:t>
      </w:r>
      <w:r>
        <w:rPr>
          <w:u w:val="single"/>
        </w:rPr>
        <w:t>р</w:t>
      </w:r>
      <w:r>
        <w:rPr>
          <w:u w:val="single"/>
        </w:rPr>
        <w:t>мании</w:t>
      </w:r>
      <w:r>
        <w:t>, подготовка которого была поручена Федеральным министерством по делам семьи, престарелых, женщин и молодежи и результаты которого были опубликованы в 2001 году, придается особое значение. Здесь Германия впервые представляет систематизированный набор данных о состоянии здоровья же</w:t>
      </w:r>
      <w:r>
        <w:t>н</w:t>
      </w:r>
      <w:r>
        <w:t>щин, который четко показывает, что женщины и мужчины страдают от разли</w:t>
      </w:r>
      <w:r>
        <w:t>ч</w:t>
      </w:r>
      <w:r>
        <w:t>ных заболеваний и для них характерны различные симптомы и течение боле</w:t>
      </w:r>
      <w:r>
        <w:t>з</w:t>
      </w:r>
      <w:r>
        <w:t>ни, они по-разному реагируют на медицинские препараты и курсы терапии и у них различное отношение к заболеваниям и самому здоровью. В докладе, в о</w:t>
      </w:r>
      <w:r>
        <w:t>с</w:t>
      </w:r>
      <w:r>
        <w:t>нове которого лежит конкретное понимание связанных с женщинами проблем, касающихся их здоровья и болезней, дается также обзор тех подходов, которые приняты в области укрепления здоровья женщин в различных районах Герм</w:t>
      </w:r>
      <w:r>
        <w:t>а</w:t>
      </w:r>
      <w:r>
        <w:t>нии. Такие примеры наилучших видов практики основаны на холистическом понимании проблем здоровья, что означает принятие в расчет рабочей нагру</w:t>
      </w:r>
      <w:r>
        <w:t>з</w:t>
      </w:r>
      <w:r>
        <w:t>ки, призвания и семейных обязательств, и в рамках таких видов практики зд</w:t>
      </w:r>
      <w:r>
        <w:t>о</w:t>
      </w:r>
      <w:r>
        <w:t>ровье воспринимается как благополучие и укрепление возможностей в плане самопомощи.</w:t>
      </w:r>
    </w:p>
    <w:p w:rsidR="00000000" w:rsidRDefault="00000000">
      <w:pPr>
        <w:pStyle w:val="SingleTxt"/>
      </w:pPr>
      <w:r>
        <w:t>С целью представления результатов этого доклада о положении в области охраны здоровья женщин и обсуждения его выводов на предмет принятия п</w:t>
      </w:r>
      <w:r>
        <w:t>о</w:t>
      </w:r>
      <w:r>
        <w:t>следующих мер совместно с экспертами из сферы здравоохранения в октябре 2001 года Федеральным министерством по делам семьи, престарелых, женщин и молодежи была организована специальная конференция, озаглавленная «Зд</w:t>
      </w:r>
      <w:r>
        <w:t>о</w:t>
      </w:r>
      <w:r>
        <w:t>ровье, жизнь и работа женщин». В ходе проведения этого мероприятия сост</w:t>
      </w:r>
      <w:r>
        <w:t>о</w:t>
      </w:r>
      <w:r>
        <w:t>ялся диалог с представителями теории и практики и обмен мнениями между различными группами в сфере здравоохранения с целью выявления так наз</w:t>
      </w:r>
      <w:r>
        <w:t>ы</w:t>
      </w:r>
      <w:r>
        <w:t>ваемого «женского направления» в системе здравоохранения Германии. В янв</w:t>
      </w:r>
      <w:r>
        <w:t>а</w:t>
      </w:r>
      <w:r>
        <w:t>ре 2002 года для воплощения в жизнь различных предложений и выводов до</w:t>
      </w:r>
      <w:r>
        <w:t>к</w:t>
      </w:r>
      <w:r>
        <w:t>лада о положении женщин в области здравоохранения при финансовой по</w:t>
      </w:r>
      <w:r>
        <w:t>д</w:t>
      </w:r>
      <w:r>
        <w:t xml:space="preserve">держке Федерального министерства по делам семьи, престарелых, женщин и молодежи был создан координационный орган по проблемам «охраны здоровья женщин». Цель этого заключалась также в выработке в течение трехлетнего проектного периода директивных указаний в области охраны здоровья женщин, которые необходимы в качестве планов для дальнейшей деятельности. </w:t>
      </w:r>
    </w:p>
    <w:p w:rsidR="00000000" w:rsidRDefault="00000000">
      <w:pPr>
        <w:pStyle w:val="SingleTxt"/>
      </w:pPr>
      <w:r>
        <w:t>Содержащиеся в докладе выводы показывают то, к каким серьезным п</w:t>
      </w:r>
      <w:r>
        <w:t>о</w:t>
      </w:r>
      <w:r>
        <w:t>следствиям может вести насилие, совершаемое в отношении здоровья женщин. Несмотря на большое число женщин, страдающих от насилия и грубого обр</w:t>
      </w:r>
      <w:r>
        <w:t>а</w:t>
      </w:r>
      <w:r>
        <w:t>щения, это зачастую не признается как причина нанесения ущерба здоровью, и в отношении этого не принимаются соответствующие меры. В марте 2000 года Федеральное министерство по делам семьи, престарелых, женщин и молодежи, соответственно, приступило к проведению научного исследования в Универс</w:t>
      </w:r>
      <w:r>
        <w:t>и</w:t>
      </w:r>
      <w:r>
        <w:t>тетской клинике Бенджамина Франклина, касающегося проекта по берлинской модели, озаглавленного «СИГНАЛ». Этот проект нацелен на улучшение сист</w:t>
      </w:r>
      <w:r>
        <w:t>е</w:t>
      </w:r>
      <w:r>
        <w:t>мы оказания медицинской помощи женщинам, подвергающимся грубому о</w:t>
      </w:r>
      <w:r>
        <w:t>б</w:t>
      </w:r>
      <w:r>
        <w:t>ращению, путем проведения в медицинской сфере соответствующей пропага</w:t>
      </w:r>
      <w:r>
        <w:t>н</w:t>
      </w:r>
      <w:r>
        <w:t>дистско-разъяснительной работы по проблемам насилия. Результаты этого пр</w:t>
      </w:r>
      <w:r>
        <w:t>о</w:t>
      </w:r>
      <w:r>
        <w:t>екта должны быть реализованы после завершения проведения соответству</w:t>
      </w:r>
      <w:r>
        <w:t>ю</w:t>
      </w:r>
      <w:r>
        <w:t>щей работы в больницах, с тем чтобы медицинский персонал мог оказывать помощь женщинам, страдающих от (сексуального) насилия, компетентным о</w:t>
      </w:r>
      <w:r>
        <w:t>б</w:t>
      </w:r>
      <w:r>
        <w:t>разом и с учетом их особенностей.</w:t>
      </w:r>
    </w:p>
    <w:p w:rsidR="00000000" w:rsidRDefault="00000000">
      <w:pPr>
        <w:pStyle w:val="SingleTxt"/>
      </w:pPr>
      <w:r>
        <w:t>Риску сексуальной эксплуатации и сексуального насилия особенно по</w:t>
      </w:r>
      <w:r>
        <w:t>д</w:t>
      </w:r>
      <w:r>
        <w:t>вержены девушки и женщины, страдающие умственным расстройством. По этой причине в декабре 1999 года Федеральное министерство по делам семьи, престарелых, женщин и молодежи поручило осуществить четырехлетний эк</w:t>
      </w:r>
      <w:r>
        <w:t>с</w:t>
      </w:r>
      <w:r>
        <w:t>периментальный проект, названный «Решение проблем половой самостоятел</w:t>
      </w:r>
      <w:r>
        <w:t>ь</w:t>
      </w:r>
      <w:r>
        <w:t>ности и сексуального насилия в общежитиях для молодежи, страдающей умс</w:t>
      </w:r>
      <w:r>
        <w:t>т</w:t>
      </w:r>
      <w:r>
        <w:t>венным расстройством». Цель этого проекта – разработать программу (полов</w:t>
      </w:r>
      <w:r>
        <w:t>о</w:t>
      </w:r>
      <w:r>
        <w:t>го) учебного воспитания по вопросам половой самостоятельности и сексуал</w:t>
      </w:r>
      <w:r>
        <w:t>ь</w:t>
      </w:r>
      <w:r>
        <w:t>ного насилия в общежитиях, где проживают юноши и девушки, страдающие умственным расстройством. Эта молодежь, таким образом, должна суметь ра</w:t>
      </w:r>
      <w:r>
        <w:t>с</w:t>
      </w:r>
      <w:r>
        <w:t>познавать и избегать случаи подобного домогательства и надругательства в своей повседневной жизни, а если такие случаи и имеют место, то принимать необходимые соответствующие меры. Должны быть выработаны соответс</w:t>
      </w:r>
      <w:r>
        <w:t>т</w:t>
      </w:r>
      <w:r>
        <w:t>вующие подходы для специалистов и руководителей, а также для жителей, страдающих умственным расстройством.</w:t>
      </w:r>
    </w:p>
    <w:p w:rsidR="00000000" w:rsidRDefault="00000000">
      <w:pPr>
        <w:pStyle w:val="SingleTxt"/>
      </w:pPr>
      <w:r>
        <w:t>Одной из проблем, от которой серьезно страдают женщины, является н</w:t>
      </w:r>
      <w:r>
        <w:t>е</w:t>
      </w:r>
      <w:r>
        <w:t>правильное питание. За последние 25 лет значительно участились случаи н</w:t>
      </w:r>
      <w:r>
        <w:t>е</w:t>
      </w:r>
      <w:r>
        <w:t>правильного питания. Это свидетельствует о необходимости усиления разъя</w:t>
      </w:r>
      <w:r>
        <w:t>с</w:t>
      </w:r>
      <w:r>
        <w:t>нительной работы и терапевтического лечения, а также увеличения числа ко</w:t>
      </w:r>
      <w:r>
        <w:t>н</w:t>
      </w:r>
      <w:r>
        <w:t>сультативных и терапевтических заведений. Решению данного вопроса посв</w:t>
      </w:r>
      <w:r>
        <w:t>я</w:t>
      </w:r>
      <w:r>
        <w:t>щено осуществление нового проекта, который был организован Федеральным министерством по делам семьи, престарелых, женщин и молодежи и назван «Обеспечение качества консультативных и амбулаторных услуг по терапевт</w:t>
      </w:r>
      <w:r>
        <w:t>и</w:t>
      </w:r>
      <w:r>
        <w:t>ческому лечению женщин и девушек, страдающих от неправильного питания». Этот проект был начат 15 ноября 2001 года, и его цель – расширение сферы оказания консультативных услуг и амбулаторного лечения для женщин и дев</w:t>
      </w:r>
      <w:r>
        <w:t>у</w:t>
      </w:r>
      <w:r>
        <w:t>шек, страдающих от неправильного питания.</w:t>
      </w:r>
    </w:p>
    <w:p w:rsidR="00000000" w:rsidRDefault="00000000">
      <w:pPr>
        <w:pStyle w:val="H23"/>
      </w:pPr>
      <w:bookmarkStart w:id="566" w:name="_Toc44113533"/>
      <w:bookmarkStart w:id="567" w:name="_Toc44113834"/>
      <w:bookmarkStart w:id="568" w:name="_Toc44114342"/>
      <w:bookmarkStart w:id="569" w:name="_Toc44115587"/>
      <w:bookmarkStart w:id="570" w:name="_Toc44116019"/>
      <w:r>
        <w:t>12.2</w:t>
      </w:r>
      <w:r>
        <w:tab/>
        <w:t>Женщины и наркомания</w:t>
      </w:r>
      <w:bookmarkEnd w:id="566"/>
      <w:bookmarkEnd w:id="567"/>
      <w:bookmarkEnd w:id="568"/>
      <w:bookmarkEnd w:id="569"/>
      <w:bookmarkEnd w:id="570"/>
    </w:p>
    <w:p w:rsidR="00000000" w:rsidRDefault="00000000">
      <w:pPr>
        <w:pStyle w:val="SingleTxt"/>
      </w:pPr>
      <w:r>
        <w:t>Практическая работа и исследования по вопросам наркомании среди женщин в последние два десятилетия показали, что наркомания среди женщин отличается по своим формам и связана с особыми для них условиями и обсто</w:t>
      </w:r>
      <w:r>
        <w:t>я</w:t>
      </w:r>
      <w:r>
        <w:t>тельствами. Опыт работы с наркоманками показывает, что они страдают от употребления наркотиков и от их зависимости скорее неосознанно и что в о</w:t>
      </w:r>
      <w:r>
        <w:t>б</w:t>
      </w:r>
      <w:r>
        <w:t>ществе на них обращают меньше внимания, чем на мужчин-наркоманов. При оказании консультативной и медицинской помощи необходимо учитывать этот фактор. Поэтому в работе с женщинами-наркоманками уделяется большое вн</w:t>
      </w:r>
      <w:r>
        <w:t>и</w:t>
      </w:r>
      <w:r>
        <w:t>мание развитию у них самоуважения и самоуверенности. При оказании пом</w:t>
      </w:r>
      <w:r>
        <w:t>о</w:t>
      </w:r>
      <w:r>
        <w:t>щи наркоманкам необходимо учитывать эти особенности, и это уже становится стандартом работы. Такой дифференцированный подход к консультати</w:t>
      </w:r>
      <w:r>
        <w:t>в</w:t>
      </w:r>
      <w:r>
        <w:t>но-медицинской помощи уже многие годы применяется в отношении женщин, страдающих алкоголизмом. Такой же подход в последнее десятилетие все чаще стал применяться и в отношении женщин-наркоманок и учитывать конкретные потребности женщин. Федеральное министерство здравоохранения, в частн</w:t>
      </w:r>
      <w:r>
        <w:t>о</w:t>
      </w:r>
      <w:r>
        <w:t>сти, оказывает свою помощь в реализации конкретных проектов в этой обла</w:t>
      </w:r>
      <w:r>
        <w:t>с</w:t>
      </w:r>
      <w:r>
        <w:t>ти. Были созданы приюты и консультации для женщин, а также стали оказ</w:t>
      </w:r>
      <w:r>
        <w:t>ы</w:t>
      </w:r>
      <w:r>
        <w:t>ваться услуги для беременных женщин и женщин, воспитывающих детей. П</w:t>
      </w:r>
      <w:r>
        <w:t>о</w:t>
      </w:r>
      <w:r>
        <w:t>лезным элементом в этой области проявили себя женские группы самопомощи. В дальнейшем планируется особое внимание уделить расширению услуг для оказания помощи зависящим от курения людям; в эту самую крупную группу входит примерно 2,5 млн. человек; это – около 40 процентов от общего предп</w:t>
      </w:r>
      <w:r>
        <w:t>о</w:t>
      </w:r>
      <w:r>
        <w:t>лагаемого числа курящих. Услуги здесь планируется оказывать беременным женщинам, а также девочкам и мол</w:t>
      </w:r>
      <w:r>
        <w:t>о</w:t>
      </w:r>
      <w:r>
        <w:t>дым женщинам.</w:t>
      </w:r>
    </w:p>
    <w:p w:rsidR="00000000" w:rsidRDefault="00000000">
      <w:pPr>
        <w:pStyle w:val="H23"/>
      </w:pPr>
      <w:bookmarkStart w:id="571" w:name="_Toc44113534"/>
      <w:bookmarkStart w:id="572" w:name="_Toc44113835"/>
      <w:bookmarkStart w:id="573" w:name="_Toc44114343"/>
      <w:bookmarkStart w:id="574" w:name="_Toc44115588"/>
      <w:bookmarkStart w:id="575" w:name="_Toc44116020"/>
      <w:r>
        <w:t>12.3</w:t>
      </w:r>
      <w:r>
        <w:tab/>
        <w:t>Сотрудничество федерального правительства с различными организациями в области здравоохранения</w:t>
      </w:r>
      <w:bookmarkEnd w:id="571"/>
      <w:bookmarkEnd w:id="572"/>
      <w:bookmarkEnd w:id="573"/>
      <w:bookmarkEnd w:id="574"/>
      <w:bookmarkEnd w:id="575"/>
    </w:p>
    <w:p w:rsidR="00000000" w:rsidRDefault="00000000">
      <w:pPr>
        <w:pStyle w:val="SingleTxt"/>
      </w:pPr>
      <w:r>
        <w:t>Сотрудничество между Федеральным министерством по делам семьи, престарелых, женщин и молодежи и различными службами и организациями, специально занимающимися проблемами охраны здоровья женщин (например, женскими медицинскими центрами), и оказание содействия в организации о</w:t>
      </w:r>
      <w:r>
        <w:t>т</w:t>
      </w:r>
      <w:r>
        <w:t>дельных мероприятий (в частности, специальных мероприятий и публикаций) по предложению и за счет этих учреждений навели на мысль о проведении м</w:t>
      </w:r>
      <w:r>
        <w:t>е</w:t>
      </w:r>
      <w:r>
        <w:t>роприятий по более широкому учету особых проблем женщин в области охр</w:t>
      </w:r>
      <w:r>
        <w:t>а</w:t>
      </w:r>
      <w:r>
        <w:t>ны здоровья, а также связанных с этой обл</w:t>
      </w:r>
      <w:r>
        <w:t>а</w:t>
      </w:r>
      <w:r>
        <w:t>стью особых проблем.</w:t>
      </w:r>
    </w:p>
    <w:p w:rsidR="00000000" w:rsidRDefault="00000000">
      <w:pPr>
        <w:pStyle w:val="SingleTxt"/>
      </w:pPr>
      <w:r>
        <w:t>Еще один проект, который был совместно разработан в 2001 году Фед</w:t>
      </w:r>
      <w:r>
        <w:t>е</w:t>
      </w:r>
      <w:r>
        <w:t>ральным министерством по делам семьи, престарелых, женщин и молодежи и ЕС, нацелен на более широкое развитие на транснациональном уровне учит</w:t>
      </w:r>
      <w:r>
        <w:t>ы</w:t>
      </w:r>
      <w:r>
        <w:t>вающих потребности женщин подходов в области медико-консультативных у</w:t>
      </w:r>
      <w:r>
        <w:t>с</w:t>
      </w:r>
      <w:r>
        <w:t>луг и профилактики путем привлечения к этому каждого государства-члена ЕС, что осуществляется в рамках заро</w:t>
      </w:r>
      <w:r>
        <w:t>ж</w:t>
      </w:r>
      <w:r>
        <w:t>дающегося сотрудничества с медико-исследовательскими центрами, медицинскими учреждениями и основой чему служит опыт групп самоподдержки. Другой целью является обеспечение до</w:t>
      </w:r>
      <w:r>
        <w:t>с</w:t>
      </w:r>
      <w:r>
        <w:t>тупности этих услуг на широкой специализированной основе.</w:t>
      </w:r>
    </w:p>
    <w:p w:rsidR="00000000" w:rsidRDefault="00000000">
      <w:pPr>
        <w:pStyle w:val="SingleTxt"/>
      </w:pPr>
      <w:r>
        <w:t>Осуществление такого четырехлетнего проекта основано на транснаци</w:t>
      </w:r>
      <w:r>
        <w:t>о</w:t>
      </w:r>
      <w:r>
        <w:t>нальной сети «Женщины и здор</w:t>
      </w:r>
      <w:r>
        <w:t>о</w:t>
      </w:r>
      <w:r>
        <w:t>вье».</w:t>
      </w:r>
    </w:p>
    <w:p w:rsidR="00000000" w:rsidRDefault="00000000">
      <w:pPr>
        <w:pStyle w:val="SingleTxt"/>
      </w:pPr>
      <w:r>
        <w:t>Те основные группы, к которым обратились за оказанием содействия, включают национальные и региональные организации по вопросам здрав</w:t>
      </w:r>
      <w:r>
        <w:t>о</w:t>
      </w:r>
      <w:r>
        <w:t>охранения, а также самих женщин, работающих в сфере охраны здоровья, и группы самоподдержки в соответствующих странах.</w:t>
      </w:r>
    </w:p>
    <w:p w:rsidR="00000000" w:rsidRDefault="00000000">
      <w:pPr>
        <w:pStyle w:val="SingleTxt"/>
      </w:pPr>
      <w:r>
        <w:t>Такой межнациональный обмен в рамках ЕС способствовал наращиванию базы ресурсов для целей повышения уровня просветительской работы и пр</w:t>
      </w:r>
      <w:r>
        <w:t>и</w:t>
      </w:r>
      <w:r>
        <w:t>влечения общеевропейской сети к проведению мероприятий подобного рода.</w:t>
      </w:r>
    </w:p>
    <w:p w:rsidR="00000000" w:rsidRDefault="00000000">
      <w:pPr>
        <w:pStyle w:val="SingleTxt"/>
      </w:pPr>
      <w:r>
        <w:t>Национальная Ассоциация поддержки семьи при содействии Федеральн</w:t>
      </w:r>
      <w:r>
        <w:t>о</w:t>
      </w:r>
      <w:r>
        <w:t>го министерства по делам семьи, престарелых, женщин и молодежи осущест</w:t>
      </w:r>
      <w:r>
        <w:t>в</w:t>
      </w:r>
      <w:r>
        <w:t>ляла проект, названный «Сопутствующие меры по более широкому распр</w:t>
      </w:r>
      <w:r>
        <w:t>о</w:t>
      </w:r>
      <w:r>
        <w:t>странению абортов путем медицинского вмешательства с использованием “Майфиджин”». Вполне можно было бы достичь цели данного проекта, то есть предоставить женщинам возможность с учетом состояния их здоровья и жи</w:t>
      </w:r>
      <w:r>
        <w:t>з</w:t>
      </w:r>
      <w:r>
        <w:t>ненных обстоятельств выбирать между абортом с использованием медици</w:t>
      </w:r>
      <w:r>
        <w:t>н</w:t>
      </w:r>
      <w:r>
        <w:t>ских препаратов или же хирургическим путем, и абортом с помощью препар</w:t>
      </w:r>
      <w:r>
        <w:t>а</w:t>
      </w:r>
      <w:r>
        <w:t>тов по линии «Майфиджин» в рамках систем здравоохранения Германии в с</w:t>
      </w:r>
      <w:r>
        <w:t>а</w:t>
      </w:r>
      <w:r>
        <w:t>мое ближайшее время.</w:t>
      </w:r>
    </w:p>
    <w:p w:rsidR="00000000" w:rsidRDefault="00000000">
      <w:pPr>
        <w:pStyle w:val="SingleTxt"/>
      </w:pPr>
      <w:r>
        <w:t>Предусматриваемые в рамках этого проекта меры предполагают дальне</w:t>
      </w:r>
      <w:r>
        <w:t>й</w:t>
      </w:r>
      <w:r>
        <w:t>шую подготовку консультантов и врачей, проведение специальной конфере</w:t>
      </w:r>
      <w:r>
        <w:t>н</w:t>
      </w:r>
      <w:r>
        <w:t>ции с участием международных экспертов, подготовку информационных мат</w:t>
      </w:r>
      <w:r>
        <w:t>е</w:t>
      </w:r>
      <w:r>
        <w:t>риалов для пациентов на различных языках, а также проведение обследований по вопросам развития системы поставок и принятие этого метода консульт</w:t>
      </w:r>
      <w:r>
        <w:t>а</w:t>
      </w:r>
      <w:r>
        <w:t>тивными и медицинскими учреждениями и самими заинтересованными же</w:t>
      </w:r>
      <w:r>
        <w:t>н</w:t>
      </w:r>
      <w:r>
        <w:t>щинами.</w:t>
      </w:r>
    </w:p>
    <w:p w:rsidR="00000000" w:rsidRDefault="00000000">
      <w:pPr>
        <w:pStyle w:val="SingleTxt"/>
      </w:pPr>
      <w:r>
        <w:t>Основным показателем общего состояния населения в области охраны здоровья служат статистические показатели об уровне смертности, в которых указывается средняя продолжительность жизни при рождении, и показатели материнской и младенческой смертности.</w:t>
      </w:r>
    </w:p>
    <w:p w:rsidR="00000000" w:rsidRDefault="00000000">
      <w:pPr>
        <w:pStyle w:val="SingleTxt"/>
      </w:pPr>
      <w:r>
        <w:t>Средняя продолжительность жизни женщин в Федеративной Республике Германии выросла с 68 лет в 1951 году до 80,5 лет в 1997/1999 годах, что на 6,1 года больше, чем для мужчин.</w:t>
      </w:r>
    </w:p>
    <w:p w:rsidR="00000000" w:rsidRDefault="00000000">
      <w:pPr>
        <w:pStyle w:val="SingleTxt"/>
      </w:pPr>
      <w:r>
        <w:t>В последние годы показатель материнской и младенческой смертности продолжал снижаться. Материнская смертность (смертность женщин в резул</w:t>
      </w:r>
      <w:r>
        <w:t>ь</w:t>
      </w:r>
      <w:r>
        <w:t>тате осложнений при беременности, родах и последующем кормлении детей на 100 000 живорождений) составляла в 1999 году 4,8 (1993 год – 5,5; 1987 год – 8,7; 1979 год – 22,0). В 1970 году в старых федеральных землях этот показатель вырос более чем в шесть раз, составив 51,8.</w:t>
      </w:r>
    </w:p>
    <w:p w:rsidR="00000000" w:rsidRDefault="00000000">
      <w:pPr>
        <w:pStyle w:val="SingleTxt"/>
      </w:pPr>
      <w:r>
        <w:t>В 2000 году уровень младенческой смертности достиг самого низкого п</w:t>
      </w:r>
      <w:r>
        <w:t>о</w:t>
      </w:r>
      <w:r>
        <w:t>сле военных времен уровня, т. е. порядка 4,4 ребенка на одну тысячу живоро</w:t>
      </w:r>
      <w:r>
        <w:t>ж</w:t>
      </w:r>
      <w:r>
        <w:t>дений в течение первого года жизни. Это, возможно, объясняется, в частности, частым обращением (примерно 90 процентов) к консультативным услугам для беременных женщин, новорожденных, детей в возрасте до одного года, а также маленьких детей по линии обязательной страховой медицинской кампании, к</w:t>
      </w:r>
      <w:r>
        <w:t>о</w:t>
      </w:r>
      <w:r>
        <w:t>торая была начата в 1966 году. Беременные женщины получают так называ</w:t>
      </w:r>
      <w:r>
        <w:t>е</w:t>
      </w:r>
      <w:r>
        <w:t>мую «материнскую карточку» на прохождение двенадцати медицинских осмо</w:t>
      </w:r>
      <w:r>
        <w:t>т</w:t>
      </w:r>
      <w:r>
        <w:t>ров (даже более, если это необходимо) у своего доктора. Для женщин, которые не имеют медицинской страховки и доход которых невелик, расходы на пр</w:t>
      </w:r>
      <w:r>
        <w:t>о</w:t>
      </w:r>
      <w:r>
        <w:t>верку состояния здоровья беременной женщины несет Отдел социальных у</w:t>
      </w:r>
      <w:r>
        <w:t>с</w:t>
      </w:r>
      <w:r>
        <w:t>луг.</w:t>
      </w:r>
    </w:p>
    <w:p w:rsidR="00000000" w:rsidRDefault="00000000">
      <w:pPr>
        <w:pStyle w:val="SingleTxt"/>
      </w:pPr>
      <w:r>
        <w:t>Большое значение имеют также бесплатные консультативные услуги для беременных женщин и матерей, которые оказываются по линии медицинских отделов здравоохранения и фондов обязательного медицинского страхования. Эта программа является всеобъемлющей и включает в себя обеспечение и</w:t>
      </w:r>
      <w:r>
        <w:t>н</w:t>
      </w:r>
      <w:r>
        <w:t>формационных услуг, касающихся диеты, консультации и помощи в отношении грудного кормления, профилактической вакцинации, профилактики рисков и выкидышей, раннего обнаружения недееспособности, в частности среди по</w:t>
      </w:r>
      <w:r>
        <w:t>д</w:t>
      </w:r>
      <w:r>
        <w:t>верженных риску детей, раннего обнаружения заболеваний и расстройств в психологическом и физическом развитии детей.</w:t>
      </w:r>
    </w:p>
    <w:p w:rsidR="00000000" w:rsidRDefault="00000000">
      <w:pPr>
        <w:pStyle w:val="SingleTxt"/>
      </w:pPr>
      <w:r>
        <w:t>Особое внимание обращается также на деятельность Агентства по охране здоровья матерей, которое занимается матерьми, имеющими детей. В после</w:t>
      </w:r>
      <w:r>
        <w:t>д</w:t>
      </w:r>
      <w:r>
        <w:t>ние годы матерям и детям стали чаще предлагать посещать курорты, где ран</w:t>
      </w:r>
      <w:r>
        <w:t>ь</w:t>
      </w:r>
      <w:r>
        <w:t>ше отдыхали только матери. Расходы по обязательному медицинскому страх</w:t>
      </w:r>
      <w:r>
        <w:t>о</w:t>
      </w:r>
      <w:r>
        <w:t>ванию на цели медицинского лечения и реабилитации матерей и отцов (что раньше называлось курортами для матерей) возросли примерно с 80 млн. евро (160 млн. немецких марок) в 1991 году до порядка 400 млн. евро в 2001 году. Некоторое снижение расходов произошло только в 1997 году до уровня 330 млн. евро (660 млн. немецких марок). Учреждения Агентства по охране здоровья матерей финансируется независимыми благотворительными орган</w:t>
      </w:r>
      <w:r>
        <w:t>и</w:t>
      </w:r>
      <w:r>
        <w:t>зациями и церквями. Федеральное правительство приняло меры для создания и поддержания таких учреждений на сумму порядка 8 млн. немецких марок (4 090 333,05 млн. евро) в год. В случае необходимости есть возможность вн</w:t>
      </w:r>
      <w:r>
        <w:t>е</w:t>
      </w:r>
      <w:r>
        <w:t>сения дополнительных взносов в организацию данного Агентства.</w:t>
      </w:r>
    </w:p>
    <w:p w:rsidR="00000000" w:rsidRDefault="00000000">
      <w:pPr>
        <w:pStyle w:val="SingleTxt"/>
      </w:pPr>
      <w:r>
        <w:t>1 августа 2002 года вступил в силу Закон об улучшении системы охраны здоровья и реабилитации матерей и отцов. Данным законом обеспечивается по линии обязательной медицинской страховки полное возмещение расходов на профилактику и восстановление здоровья матерей и отцов. Такая возможность была исключена для фондов страхования здоровья, с тем чтобы они по своему уставу могли обеспечивать только частичное финансирование. Кроме того, к</w:t>
      </w:r>
      <w:r>
        <w:t>а</w:t>
      </w:r>
      <w:r>
        <w:t>чество и эффективность услуг по профилактике и реабилитации для матерей и отцов по линии Агентства по охране здоровья матерей и других соответству</w:t>
      </w:r>
      <w:r>
        <w:t>ю</w:t>
      </w:r>
      <w:r>
        <w:t>щих заведений обеспечиваются путем введения системы заключения контра</w:t>
      </w:r>
      <w:r>
        <w:t>к</w:t>
      </w:r>
      <w:r>
        <w:t>тов, аналогичных тем, которые охватывали все остальные предыдущие услуги в области профилактики и реабилитации.</w:t>
      </w:r>
    </w:p>
    <w:p w:rsidR="00000000" w:rsidRDefault="00000000">
      <w:pPr>
        <w:pStyle w:val="H23"/>
      </w:pPr>
      <w:bookmarkStart w:id="576" w:name="_Toc44113535"/>
      <w:bookmarkStart w:id="577" w:name="_Toc44113836"/>
      <w:bookmarkStart w:id="578" w:name="_Toc44114344"/>
      <w:bookmarkStart w:id="579" w:name="_Toc44115589"/>
      <w:bookmarkStart w:id="580" w:name="_Toc44116021"/>
      <w:r>
        <w:t>12.4 </w:t>
      </w:r>
      <w:r>
        <w:tab/>
        <w:t>ВИЧ-инфицирование и СПИД</w:t>
      </w:r>
      <w:bookmarkEnd w:id="576"/>
      <w:bookmarkEnd w:id="577"/>
      <w:bookmarkEnd w:id="578"/>
      <w:bookmarkEnd w:id="579"/>
      <w:bookmarkEnd w:id="580"/>
    </w:p>
    <w:p w:rsidR="00000000" w:rsidRDefault="00000000">
      <w:pPr>
        <w:pStyle w:val="SingleTxt"/>
      </w:pPr>
      <w:r>
        <w:t>По оценкам Института Роберта Коха в Германии живет порядка 38 000 ВИЧ-инфицированных, из которых примерно 29 500 мужчин и 8300 женщин. Это забол</w:t>
      </w:r>
      <w:r>
        <w:t>е</w:t>
      </w:r>
      <w:r>
        <w:t>вание уже привело к тому, что из 38 000 ВИЧ-инфицированных СПИДом заболело примерно 5000 человек.</w:t>
      </w:r>
    </w:p>
    <w:p w:rsidR="00000000" w:rsidRDefault="00000000">
      <w:pPr>
        <w:pStyle w:val="SingleTxt"/>
      </w:pPr>
      <w:r>
        <w:t>За время эпидемии, с начала 80-х годов и по 2001 год ВИЧ-инфицированных стало около 60 тысяч человек. За это время примерно 25 000 заболели СПИДом и около 20 000 в результате ВИЧ-инфицирования умерли.</w:t>
      </w:r>
    </w:p>
    <w:p w:rsidR="00000000" w:rsidRDefault="00000000">
      <w:pPr>
        <w:pStyle w:val="SingleTxt"/>
      </w:pPr>
      <w:r>
        <w:t>Количество новых случаев инфицирования в год в целом примерно ост</w:t>
      </w:r>
      <w:r>
        <w:t>а</w:t>
      </w:r>
      <w:r>
        <w:t>ется на одном и том же уровне в 2000 человек. Почти четвертую часть их с</w:t>
      </w:r>
      <w:r>
        <w:t>о</w:t>
      </w:r>
      <w:r>
        <w:t>ставляют женщин.</w:t>
      </w:r>
    </w:p>
    <w:p w:rsidR="00000000" w:rsidRDefault="00000000">
      <w:pPr>
        <w:pStyle w:val="SingleTxt"/>
      </w:pPr>
      <w:r>
        <w:t>Проведенные обследования социального положения женщин, инфицир</w:t>
      </w:r>
      <w:r>
        <w:t>о</w:t>
      </w:r>
      <w:r>
        <w:t>ванных ВИЧ/СПИДом, и состояния их психического здоровья, а также полож</w:t>
      </w:r>
      <w:r>
        <w:t>е</w:t>
      </w:r>
      <w:r>
        <w:t>ния с оказанием им медицинской и психосоциальной помощи позволили при оказании им консультативной и медицинской помощи учитывать их особые и</w:t>
      </w:r>
      <w:r>
        <w:t>н</w:t>
      </w:r>
      <w:r>
        <w:t>тересы. Таким образом, в рамках стратегии предупреждения ВИЧ/СПИДа Ф</w:t>
      </w:r>
      <w:r>
        <w:t>е</w:t>
      </w:r>
      <w:r>
        <w:t>деральным центром медицинского просвещения распространяются специал</w:t>
      </w:r>
      <w:r>
        <w:t>ь</w:t>
      </w:r>
      <w:r>
        <w:t>ные брошюры, предназначенные для девушек и молодых женщин. Благодаря развитию особого женского направления при поддержке ассоциации «Германия и СПИД», в частности оказанию по этой линии консультативной и медици</w:t>
      </w:r>
      <w:r>
        <w:t>н</w:t>
      </w:r>
      <w:r>
        <w:t>ской помощи ВИЧ-инфицированным женщинам, обеспечивается индивидуал</w:t>
      </w:r>
      <w:r>
        <w:t>ь</w:t>
      </w:r>
      <w:r>
        <w:t>ная и практическая поддержка по всем проблемам, связанным с женщинами и СПИДом. В рамках созданной в 1992 году сети «Женщины и СПИД» был пр</w:t>
      </w:r>
      <w:r>
        <w:t>и</w:t>
      </w:r>
      <w:r>
        <w:t>нят ряд мер для более широкого учета женских факторов при восприятии б</w:t>
      </w:r>
      <w:r>
        <w:t>о</w:t>
      </w:r>
      <w:r>
        <w:t>лезни, борьбе с ней и ее профилактике. По-прежнему большое внимание удел</w:t>
      </w:r>
      <w:r>
        <w:t>я</w:t>
      </w:r>
      <w:r>
        <w:t xml:space="preserve">ется усилению профилактики ВИЧ/СПИДа и лечению этих заболеваний среди проституток в районах, прилегающих к восточным соседним государствам. </w:t>
      </w:r>
    </w:p>
    <w:p w:rsidR="00000000" w:rsidRDefault="00000000">
      <w:pPr>
        <w:pStyle w:val="SingleTxt"/>
      </w:pPr>
      <w:r>
        <w:t>С осуществлением научно-исследовательского проекта, озаглавленного «Влияние достижений в области медицинской терапии на жизнь и перспективы женщин, инфицированных ВИЧ и СПИДом», с одной стороны, должен быть определен новый статус-кво, а с другой стороны улучшена система оказания психос</w:t>
      </w:r>
      <w:r>
        <w:t>о</w:t>
      </w:r>
      <w:r>
        <w:t>циальной поддержки.</w:t>
      </w:r>
    </w:p>
    <w:p w:rsidR="00000000" w:rsidRDefault="00000000">
      <w:pPr>
        <w:pStyle w:val="SingleTxt"/>
      </w:pPr>
      <w:r>
        <w:t>Осуществление проекта, озаглавленного «Немецкое междисциплинарное исследование, посвященное п</w:t>
      </w:r>
      <w:r>
        <w:t>о</w:t>
      </w:r>
      <w:r>
        <w:t>следующему наблюдению за детьми ВИЧ-инфицированных матерей путем медицинского внутриматочного антиретров</w:t>
      </w:r>
      <w:r>
        <w:t>и</w:t>
      </w:r>
      <w:r>
        <w:t>ального контроля», должно позволить в области беременности и ВИЧ/СПИДа обеспечить предотвращение нежелательных последствий этих заболеваний для детей, что, тем самым, сможет ослабить опасения и страх матерей в отношении своих детей.</w:t>
      </w:r>
    </w:p>
    <w:p w:rsidR="00000000" w:rsidRDefault="00000000">
      <w:pPr>
        <w:pStyle w:val="H23"/>
      </w:pPr>
      <w:bookmarkStart w:id="581" w:name="_Toc44113536"/>
      <w:bookmarkStart w:id="582" w:name="_Toc44113837"/>
      <w:bookmarkStart w:id="583" w:name="_Toc44114345"/>
      <w:bookmarkStart w:id="584" w:name="_Toc44115590"/>
      <w:bookmarkStart w:id="585" w:name="_Toc44116022"/>
      <w:r>
        <w:t>12.5 </w:t>
      </w:r>
      <w:r>
        <w:tab/>
        <w:t>Исследования в области охраны здоровья женщин</w:t>
      </w:r>
      <w:bookmarkEnd w:id="581"/>
      <w:bookmarkEnd w:id="582"/>
      <w:bookmarkEnd w:id="583"/>
      <w:bookmarkEnd w:id="584"/>
      <w:bookmarkEnd w:id="585"/>
    </w:p>
    <w:p w:rsidR="00000000" w:rsidRDefault="00000000">
      <w:pPr>
        <w:pStyle w:val="SingleTxt"/>
      </w:pPr>
      <w:r>
        <w:t>Кабинетом 22 ноября 2000 года была принята медицинская научно-исследовательская программа, которая совместно финансируется Федеральным министерством образования и научных исследований и Федеральным мин</w:t>
      </w:r>
      <w:r>
        <w:t>и</w:t>
      </w:r>
      <w:r>
        <w:t>стерством здравоохранения и посвящена теме «Исследование в области охраны здоровья же</w:t>
      </w:r>
      <w:r>
        <w:t>н</w:t>
      </w:r>
      <w:r>
        <w:t>щин». Ниже приводится отрывок из ее программного заявления:</w:t>
      </w:r>
    </w:p>
    <w:p w:rsidR="00000000" w:rsidRDefault="00000000">
      <w:pPr>
        <w:pStyle w:val="SingleTxt"/>
      </w:pPr>
      <w:r>
        <w:t>«Мы в Германии должны в своей научно-исследовательской деятельности учитывать вопросы, касающиеся состояния здоровья женщин, независимо от того, насколько чаще стали проводиться в последние годы международные и</w:t>
      </w:r>
      <w:r>
        <w:t>с</w:t>
      </w:r>
      <w:r>
        <w:t>следования в этой области. В качестве предварительного условия принятия э</w:t>
      </w:r>
      <w:r>
        <w:t>ф</w:t>
      </w:r>
      <w:r>
        <w:t>фективных мер профилактики, терапии и реабилитации в интересах привлеч</w:t>
      </w:r>
      <w:r>
        <w:t>е</w:t>
      </w:r>
      <w:r>
        <w:t>ния объективных и субъективных ресурсов на цели охраны здоровья необход</w:t>
      </w:r>
      <w:r>
        <w:t>и</w:t>
      </w:r>
      <w:r>
        <w:t>мо определить те риски, факторы охраны здоровья и проблемы, которые сво</w:t>
      </w:r>
      <w:r>
        <w:t>й</w:t>
      </w:r>
      <w:r>
        <w:t>ственны только женщинам. Таким образом, осознание наличия этих аспектов должно быть нацелено на учет факторов, характерных для женщин и мужчин, и соответствующих связанных с н</w:t>
      </w:r>
      <w:r>
        <w:t>и</w:t>
      </w:r>
      <w:r>
        <w:t>ми проблем».</w:t>
      </w:r>
    </w:p>
    <w:p w:rsidR="00000000" w:rsidRDefault="00000000">
      <w:pPr>
        <w:pStyle w:val="SingleTxt"/>
      </w:pPr>
      <w:r>
        <w:t>Мы уже делаем все возможное для того, чтобы, как это указывалось в</w:t>
      </w:r>
      <w:r>
        <w:t>ы</w:t>
      </w:r>
      <w:r>
        <w:t>ше, были приняты основные законы в центральных областях развития соотве</w:t>
      </w:r>
      <w:r>
        <w:t>т</w:t>
      </w:r>
      <w:r>
        <w:t>ствующей программы с учетом данной проблемы. Примером может служить сообщение о создании медицинской сети лечения сердечно-сосудистых забол</w:t>
      </w:r>
      <w:r>
        <w:t>е</w:t>
      </w:r>
      <w:r>
        <w:t>ваний, в котором говорилось следующие: «Необходимо учитывать […] пробл</w:t>
      </w:r>
      <w:r>
        <w:t>е</w:t>
      </w:r>
      <w:r>
        <w:t>мы, свойственные женщинам». Такие же требования предъявляются и к разв</w:t>
      </w:r>
      <w:r>
        <w:t>и</w:t>
      </w:r>
      <w:r>
        <w:t>тию руководящих принципов, касающихся прикладных медицинских исслед</w:t>
      </w:r>
      <w:r>
        <w:t>о</w:t>
      </w:r>
      <w:r>
        <w:t>ваний.</w:t>
      </w:r>
    </w:p>
    <w:p w:rsidR="00000000" w:rsidRDefault="00000000">
      <w:pPr>
        <w:pStyle w:val="SingleTxt"/>
      </w:pPr>
      <w:r>
        <w:t>Научно-исследовательские проекты, посвященные проблемам женщин, стали все чаще приниматься как в рамках научно-исследовательского отдела Федерального министерства здравоохранения, так и в рамках медицинской н</w:t>
      </w:r>
      <w:r>
        <w:t>а</w:t>
      </w:r>
      <w:r>
        <w:t>учно-исследовательской программы.</w:t>
      </w:r>
    </w:p>
    <w:p w:rsidR="00000000" w:rsidRDefault="00000000">
      <w:pPr>
        <w:pStyle w:val="SingleTxt"/>
      </w:pPr>
      <w:r>
        <w:t>Летом 1998 года восьмью региональными научно-исследовательскими а</w:t>
      </w:r>
      <w:r>
        <w:t>с</w:t>
      </w:r>
      <w:r>
        <w:t>социациями было начато осуществление проектов по гендерным аспектам ре</w:t>
      </w:r>
      <w:r>
        <w:t>а</w:t>
      </w:r>
      <w:r>
        <w:t>билитации с целью развития системы проведения в этой области научных и</w:t>
      </w:r>
      <w:r>
        <w:t>с</w:t>
      </w:r>
      <w:r>
        <w:t>следований, при этом стоимость проектов составила более 1,7 млн. немецких марок (б</w:t>
      </w:r>
      <w:r>
        <w:t>о</w:t>
      </w:r>
      <w:r>
        <w:t>лее 896 000 евро).</w:t>
      </w:r>
    </w:p>
    <w:p w:rsidR="00000000" w:rsidRDefault="00000000">
      <w:pPr>
        <w:pStyle w:val="H56"/>
      </w:pPr>
      <w:r>
        <w:t>Состояние здоровья престарелых женщин</w:t>
      </w:r>
    </w:p>
    <w:p w:rsidR="00000000" w:rsidRDefault="00000000">
      <w:pPr>
        <w:pStyle w:val="SingleTxt"/>
      </w:pPr>
      <w:r>
        <w:t>Поскольку женщины, как правило, живут дольше, чем мужчины, вполне вероятно, что они чаще мужчин страдают от возрастных заболеваний. Здесь основное внимание уделяется сердечно-сосудистым заболеваниям, раку, в ч</w:t>
      </w:r>
      <w:r>
        <w:t>а</w:t>
      </w:r>
      <w:r>
        <w:t>стности раку груди, остеопоросису и умственному расстройству, например, д</w:t>
      </w:r>
      <w:r>
        <w:t>е</w:t>
      </w:r>
      <w:r>
        <w:t>прессиям и слабоумию, поскольку эти заболевания серьезно сказываются на их независимости и самостоятел</w:t>
      </w:r>
      <w:r>
        <w:t>ь</w:t>
      </w:r>
      <w:r>
        <w:t>ности.</w:t>
      </w:r>
    </w:p>
    <w:p w:rsidR="00000000" w:rsidRDefault="00000000">
      <w:pPr>
        <w:pStyle w:val="SingleTxt"/>
      </w:pPr>
      <w:r>
        <w:t>Таким образом, факторы охраны здоровья все больше начинают влиять на качество жизни престарелых женщин и женщин еще более старшего возраста.</w:t>
      </w:r>
    </w:p>
    <w:p w:rsidR="00000000" w:rsidRDefault="00000000">
      <w:pPr>
        <w:pStyle w:val="SingleTxt"/>
      </w:pPr>
      <w:r>
        <w:t>Основная информация о состоянии здоровья престарелых женщин соде</w:t>
      </w:r>
      <w:r>
        <w:t>р</w:t>
      </w:r>
      <w:r>
        <w:t>жится в Берлинском исследовании по проблемам престарелых и четвертом докладе федерального правительства по проблемам престарелых.</w:t>
      </w:r>
    </w:p>
    <w:p w:rsidR="00000000" w:rsidRDefault="00000000">
      <w:pPr>
        <w:pStyle w:val="SingleTxt"/>
      </w:pPr>
      <w:r>
        <w:t>Берлинское исследование по проблемам престарелых подтвердило, что положение престарелых женщин хуже, чем мужчин. Женщины в возрасте старше 85 лет подвергаются в 1,5 раза большему риску серьезного заболев</w:t>
      </w:r>
      <w:r>
        <w:t>а</w:t>
      </w:r>
      <w:r>
        <w:t>ния. А это связано с необходимостью долгосрочного лечения, а также с один</w:t>
      </w:r>
      <w:r>
        <w:t>о</w:t>
      </w:r>
      <w:r>
        <w:t>чеством и отсутс</w:t>
      </w:r>
      <w:r>
        <w:t>т</w:t>
      </w:r>
      <w:r>
        <w:t>вием социальной поддержки.</w:t>
      </w:r>
    </w:p>
    <w:p w:rsidR="00000000" w:rsidRDefault="00000000">
      <w:pPr>
        <w:pStyle w:val="SingleTxt"/>
      </w:pPr>
      <w:r>
        <w:t>Четвертый доклад по проблемам престарелых, озаглавленный «Риски, к</w:t>
      </w:r>
      <w:r>
        <w:t>а</w:t>
      </w:r>
      <w:r>
        <w:t>чество жизни и медицинское обслуживание очень старых людей с особым уч</w:t>
      </w:r>
      <w:r>
        <w:t>е</w:t>
      </w:r>
      <w:r>
        <w:t>том возможности умственного расстройства», также показывает, что женщины нуждаются в более долгосрочном медицинском лечении, чем мужчины в этом же возрасте. В медицинской помощи по сравнению с 42 процентами мужчин нуждается две трети женщин в возрасте старше 90 лет.</w:t>
      </w:r>
    </w:p>
    <w:p w:rsidR="00000000" w:rsidRDefault="00000000">
      <w:pPr>
        <w:pStyle w:val="H1"/>
      </w:pPr>
      <w:bookmarkStart w:id="586" w:name="_Toc44113537"/>
      <w:bookmarkStart w:id="587" w:name="_Toc44113838"/>
      <w:bookmarkStart w:id="588" w:name="_Toc44114346"/>
      <w:bookmarkStart w:id="589" w:name="_Toc44115591"/>
      <w:bookmarkStart w:id="590" w:name="_Toc44116023"/>
      <w:r>
        <w:t>13.</w:t>
      </w:r>
      <w:r>
        <w:tab/>
        <w:t>Статья 13: Равноправие женщин и мужчин в экономической, с</w:t>
      </w:r>
      <w:r>
        <w:t>о</w:t>
      </w:r>
      <w:r>
        <w:t>циальной и культурной областях</w:t>
      </w:r>
      <w:bookmarkEnd w:id="586"/>
      <w:bookmarkEnd w:id="587"/>
      <w:bookmarkEnd w:id="588"/>
      <w:bookmarkEnd w:id="589"/>
      <w:bookmarkEnd w:id="590"/>
    </w:p>
    <w:p w:rsidR="00000000" w:rsidRDefault="00000000">
      <w:pPr>
        <w:pStyle w:val="SingleTxt"/>
        <w:ind w:left="1740" w:hanging="476"/>
        <w:rPr>
          <w:i/>
        </w:rPr>
      </w:pPr>
      <w:r>
        <w:rPr>
          <w:i/>
        </w:rPr>
        <w:tab/>
      </w:r>
      <w:r>
        <w:rPr>
          <w:i/>
        </w:rPr>
        <w:tab/>
        <w:t>Статья 13</w:t>
      </w:r>
    </w:p>
    <w:p w:rsidR="00000000" w:rsidRDefault="00000000">
      <w:pPr>
        <w:pStyle w:val="SingleTxt"/>
        <w:ind w:left="1740" w:hanging="476"/>
        <w:rPr>
          <w:i/>
        </w:rPr>
      </w:pPr>
      <w:r>
        <w:rPr>
          <w:i/>
        </w:rPr>
        <w:tab/>
      </w:r>
      <w:r>
        <w:rPr>
          <w:i/>
        </w:rPr>
        <w:tab/>
        <w:t>Государства-участники принимают все соответствующие меры для ли</w:t>
      </w:r>
      <w:r>
        <w:rPr>
          <w:i/>
        </w:rPr>
        <w:t>к</w:t>
      </w:r>
      <w:r>
        <w:rPr>
          <w:i/>
        </w:rPr>
        <w:t>видации дискриминации в отношении женщин в других областях экон</w:t>
      </w:r>
      <w:r>
        <w:rPr>
          <w:i/>
        </w:rPr>
        <w:t>о</w:t>
      </w:r>
      <w:r>
        <w:rPr>
          <w:i/>
        </w:rPr>
        <w:t>мической и социальной жизни, с тем чтобы обеспечить на основе раве</w:t>
      </w:r>
      <w:r>
        <w:rPr>
          <w:i/>
        </w:rPr>
        <w:t>н</w:t>
      </w:r>
      <w:r>
        <w:rPr>
          <w:i/>
        </w:rPr>
        <w:t>ства му</w:t>
      </w:r>
      <w:r>
        <w:rPr>
          <w:i/>
        </w:rPr>
        <w:t>ж</w:t>
      </w:r>
      <w:r>
        <w:rPr>
          <w:i/>
        </w:rPr>
        <w:t>чин и женщин равные права, в частности:</w:t>
      </w:r>
    </w:p>
    <w:p w:rsidR="00000000" w:rsidRDefault="00000000">
      <w:pPr>
        <w:pStyle w:val="SingleTxt"/>
        <w:ind w:left="1740" w:hanging="476"/>
        <w:rPr>
          <w:i/>
        </w:rPr>
      </w:pPr>
      <w:r>
        <w:rPr>
          <w:i/>
        </w:rPr>
        <w:tab/>
      </w:r>
      <w:r>
        <w:rPr>
          <w:i/>
        </w:rPr>
        <w:tab/>
        <w:t>а) право на семейные пособия;</w:t>
      </w:r>
    </w:p>
    <w:p w:rsidR="00000000" w:rsidRDefault="00000000">
      <w:pPr>
        <w:pStyle w:val="SingleTxt"/>
        <w:ind w:left="1740" w:hanging="476"/>
        <w:rPr>
          <w:i/>
        </w:rPr>
      </w:pPr>
      <w:r>
        <w:rPr>
          <w:i/>
        </w:rPr>
        <w:tab/>
      </w:r>
      <w:r>
        <w:rPr>
          <w:i/>
        </w:rPr>
        <w:tab/>
      </w:r>
      <w:r>
        <w:rPr>
          <w:i/>
          <w:lang w:val="en-US"/>
        </w:rPr>
        <w:t>b</w:t>
      </w:r>
      <w:r>
        <w:rPr>
          <w:i/>
        </w:rPr>
        <w:t>) право на получение займов, ссуд под недвижимость и других форм ф</w:t>
      </w:r>
      <w:r>
        <w:rPr>
          <w:i/>
        </w:rPr>
        <w:t>и</w:t>
      </w:r>
      <w:r>
        <w:rPr>
          <w:i/>
        </w:rPr>
        <w:t>нанс</w:t>
      </w:r>
      <w:r>
        <w:rPr>
          <w:i/>
        </w:rPr>
        <w:t>о</w:t>
      </w:r>
      <w:r>
        <w:rPr>
          <w:i/>
        </w:rPr>
        <w:t>вого кредита;</w:t>
      </w:r>
    </w:p>
    <w:p w:rsidR="00000000" w:rsidRDefault="00000000">
      <w:pPr>
        <w:pStyle w:val="SingleTxt"/>
        <w:ind w:left="1740" w:hanging="476"/>
        <w:rPr>
          <w:i/>
        </w:rPr>
      </w:pPr>
      <w:r>
        <w:rPr>
          <w:i/>
        </w:rPr>
        <w:tab/>
      </w:r>
      <w:r>
        <w:rPr>
          <w:i/>
        </w:rPr>
        <w:tab/>
        <w:t>с) право участвовать в мероприятиях, связанных с отдыхом, занятием спортом и во всех областях кул</w:t>
      </w:r>
      <w:r>
        <w:rPr>
          <w:i/>
        </w:rPr>
        <w:t>ь</w:t>
      </w:r>
      <w:r>
        <w:rPr>
          <w:i/>
        </w:rPr>
        <w:t>турной жизни.</w:t>
      </w:r>
    </w:p>
    <w:p w:rsidR="00000000" w:rsidRDefault="00000000">
      <w:pPr>
        <w:pStyle w:val="SingleTxt"/>
        <w:ind w:firstLine="0"/>
      </w:pPr>
      <w:r>
        <w:t xml:space="preserve">а) </w:t>
      </w:r>
      <w:r>
        <w:tab/>
        <w:t>Те, кто растит детей, вносят свой вклад в общество в целом. Основная з</w:t>
      </w:r>
      <w:r>
        <w:t>а</w:t>
      </w:r>
      <w:r>
        <w:t>дача обеспечения сбалансированности системы предоставления семейных п</w:t>
      </w:r>
      <w:r>
        <w:t>о</w:t>
      </w:r>
      <w:r>
        <w:t>собий и услуг состоит в том, чтобы признать ценность этой работы и освоб</w:t>
      </w:r>
      <w:r>
        <w:t>о</w:t>
      </w:r>
      <w:r>
        <w:t>дить р</w:t>
      </w:r>
      <w:r>
        <w:t>о</w:t>
      </w:r>
      <w:r>
        <w:t>дителей от части расходов по уходу за детьми.</w:t>
      </w:r>
    </w:p>
    <w:p w:rsidR="00000000" w:rsidRDefault="00000000">
      <w:pPr>
        <w:pStyle w:val="SingleTxt"/>
      </w:pPr>
      <w:r>
        <w:t>Политика федерального правительства нацелена на дальнейшее повыш</w:t>
      </w:r>
      <w:r>
        <w:t>е</w:t>
      </w:r>
      <w:r>
        <w:t>ние материальных (и социальных) ресурсов семьи. Характерной чертой такой политики является признание необходимости принятия эффективной семейной политики с учетом различных этапов и условий жизни. Помимо налоговой сб</w:t>
      </w:r>
      <w:r>
        <w:t>а</w:t>
      </w:r>
      <w:r>
        <w:t>лансированности семейных пособий и услуг в рамках системы пособий на д</w:t>
      </w:r>
      <w:r>
        <w:t>е</w:t>
      </w:r>
      <w:r>
        <w:t>тей и надбавок на детей, существует система оказания специальной целевой помощи в течение ограниченного периода времени с учетом семейного пол</w:t>
      </w:r>
      <w:r>
        <w:t>о</w:t>
      </w:r>
      <w:r>
        <w:t>жения и семейных обстоятельств. В отчетный период, то есть с 1998 года по 2001 год, федеральным правительством была значительно расширена такая система, то есть в том, что касается сбалансированности предоставления с</w:t>
      </w:r>
      <w:r>
        <w:t>е</w:t>
      </w:r>
      <w:r>
        <w:t>мейных пособий и услуг и оказания специальной целевой помощи. Федерал</w:t>
      </w:r>
      <w:r>
        <w:t>ь</w:t>
      </w:r>
      <w:r>
        <w:t>ное правительство в будущем рассмотрит вопрос об оказании экономической помощи семьям путем принятия законодательных мер в соответствии с реш</w:t>
      </w:r>
      <w:r>
        <w:t>е</w:t>
      </w:r>
      <w:r>
        <w:t>нием, принятым Федеральным конституционным судом 3 апреля 2001 года в отношении обеспечения семей долгосрочной медицинской страховкой, и соо</w:t>
      </w:r>
      <w:r>
        <w:t>т</w:t>
      </w:r>
      <w:r>
        <w:t>ветствующие меры по выполнению этого решения должны быть выполнены до 31 декабря 2004 года.</w:t>
      </w:r>
    </w:p>
    <w:p w:rsidR="00000000" w:rsidRDefault="00000000">
      <w:pPr>
        <w:pStyle w:val="H23"/>
      </w:pPr>
      <w:bookmarkStart w:id="591" w:name="_Toc44113538"/>
      <w:bookmarkStart w:id="592" w:name="_Toc44113839"/>
      <w:bookmarkStart w:id="593" w:name="_Toc44114347"/>
      <w:bookmarkStart w:id="594" w:name="_Toc44115592"/>
      <w:bookmarkStart w:id="595" w:name="_Toc44116024"/>
      <w:r>
        <w:t>13.1</w:t>
      </w:r>
      <w:r>
        <w:tab/>
        <w:t>Пособия на детей и надбавки на детей</w:t>
      </w:r>
      <w:bookmarkEnd w:id="591"/>
      <w:bookmarkEnd w:id="592"/>
      <w:bookmarkEnd w:id="593"/>
      <w:bookmarkEnd w:id="594"/>
      <w:bookmarkEnd w:id="595"/>
    </w:p>
    <w:p w:rsidR="00000000" w:rsidRDefault="00000000">
      <w:pPr>
        <w:pStyle w:val="SingleTxt"/>
      </w:pPr>
      <w:r>
        <w:t>На основе положений конституции и в рамках проводимой налоговой п</w:t>
      </w:r>
      <w:r>
        <w:t>о</w:t>
      </w:r>
      <w:r>
        <w:t>литики была усовершенствована система налогообложения семей. Федерал</w:t>
      </w:r>
      <w:r>
        <w:t>ь</w:t>
      </w:r>
      <w:r>
        <w:t>ный конституционный суд 10 ноября 1998 года постановил, что положения З</w:t>
      </w:r>
      <w:r>
        <w:t>а</w:t>
      </w:r>
      <w:r>
        <w:t>кона о подоходном налоге, которые действовали в то время в плане вычета ра</w:t>
      </w:r>
      <w:r>
        <w:t>с</w:t>
      </w:r>
      <w:r>
        <w:t>ходов на содержание детей и предоставления пособий на семейные хозяйства, несовместимы со статьей 6 Основного закона. Эти положения, как правило, не распространялись на многие супружеские пары. Федеральный конституцио</w:t>
      </w:r>
      <w:r>
        <w:t>н</w:t>
      </w:r>
      <w:r>
        <w:t>ный суд вынес решение, что, учитывая положение не состоящих в браке род</w:t>
      </w:r>
      <w:r>
        <w:t>и</w:t>
      </w:r>
      <w:r>
        <w:t>телей, это является нарушением особого принципа равенства, содержащегося в статье 6 Основного закона (Охрана супружеской жизни и семьи) и обязал па</w:t>
      </w:r>
      <w:r>
        <w:t>р</w:t>
      </w:r>
      <w:r>
        <w:t>ламент не позже 1 января 2000 года вынести новое постановление, касающееся учета в налоговых целях необходимости в медицинском лечении, а также не позднее 1 января 2002 года пересмотреть налоговую политику в отношении о</w:t>
      </w:r>
      <w:r>
        <w:t>б</w:t>
      </w:r>
      <w:r>
        <w:t>разования, что также является составной частью минимального стандартного уровня жизни ребенка.</w:t>
      </w:r>
    </w:p>
    <w:p w:rsidR="00000000" w:rsidRDefault="00000000">
      <w:pPr>
        <w:pStyle w:val="SingleTxt"/>
      </w:pPr>
      <w:r>
        <w:t>После того, как в январе 1999 года федеральное правительство повысило размер пособия на детей на первого и второго ребенка на 30 немецких марок на каждого, то есть с 220 до 250 немецких марок, в соответствии с рассмотрением в Конституционном суде положений Закона об оказании содействия семьям от 22 декабря 1999 года, это стало не только де-факто стандартом для уровня жи</w:t>
      </w:r>
      <w:r>
        <w:t>з</w:t>
      </w:r>
      <w:r>
        <w:t>ни, освобождаемого от налогообложения с 2000 года, но и требованием в о</w:t>
      </w:r>
      <w:r>
        <w:t>т</w:t>
      </w:r>
      <w:r>
        <w:t>ношении ухода за детьми в качестве минимального стандартного уровня жизни детей. Такое требование, выдвинутое Федеральным конституционным судом, было претворено в жизнь путем принятия стандартного пособия по уходу за каждым ребенком в размере 3 024 немецких марок в соответствии с пунктом 6 статьи 32 Закона о подоходном налоге. Пособие по уходу за детьми предо</w:t>
      </w:r>
      <w:r>
        <w:t>с</w:t>
      </w:r>
      <w:r>
        <w:t>тавляется независимо от гражданского положения и того, работают родители или нет, и при этом в отношении детей в возрасте до 16 лет не надо предста</w:t>
      </w:r>
      <w:r>
        <w:t>в</w:t>
      </w:r>
      <w:r>
        <w:t>лять доказательства о понесенных расходах. Данное положение заменяет собой другое положение, которое действовало до этого, о вычете расходов на детей для разведенных супругов. Как и в 1999 году, новое постановление, которое было принято в 2000 году, нацелено на увеличение пособий на детей, то есть на 20 немецких марок, что составляет на первого и второго ребенка 270 немецких марок в месяц.</w:t>
      </w:r>
    </w:p>
    <w:p w:rsidR="00000000" w:rsidRDefault="00000000">
      <w:pPr>
        <w:pStyle w:val="H23"/>
      </w:pPr>
      <w:bookmarkStart w:id="596" w:name="_Toc44113539"/>
      <w:bookmarkStart w:id="597" w:name="_Toc44113840"/>
      <w:bookmarkStart w:id="598" w:name="_Toc44114348"/>
      <w:bookmarkStart w:id="599" w:name="_Toc44115593"/>
      <w:bookmarkStart w:id="600" w:name="_Toc44116025"/>
      <w:r>
        <w:t>13.2 </w:t>
      </w:r>
      <w:r>
        <w:tab/>
        <w:t>Сбалансированность семейных пособий и услуг в 2002 году</w:t>
      </w:r>
      <w:bookmarkEnd w:id="596"/>
      <w:bookmarkEnd w:id="597"/>
      <w:bookmarkEnd w:id="598"/>
      <w:bookmarkEnd w:id="599"/>
      <w:bookmarkEnd w:id="600"/>
    </w:p>
    <w:p w:rsidR="00000000" w:rsidRDefault="00000000">
      <w:pPr>
        <w:pStyle w:val="SingleTxt"/>
      </w:pPr>
      <w:r>
        <w:t>Второй Закон об оказании содействия семьям, который вступил в силу 1 января 2002 года, также отвечает задачам, поставленным в конституции в о</w:t>
      </w:r>
      <w:r>
        <w:t>т</w:t>
      </w:r>
      <w:r>
        <w:t>ношении учета необходимости обеспечения образования детей. В свою очередь ранее установленное пособие по уходу в размере 3 024 немецких марок в ра</w:t>
      </w:r>
      <w:r>
        <w:t>м</w:t>
      </w:r>
      <w:r>
        <w:t>ках системы покрытия расходов на воспитание детей и выплаты пособий на них было дополнено за счет внедрения так называемого учебного компонента. Для более старших детей пособие по уходу и на образование было заменено пособием на профессиональную подготовку. Начиная с 2002 года для всех д</w:t>
      </w:r>
      <w:r>
        <w:t>е</w:t>
      </w:r>
      <w:r>
        <w:t>тей было установлено единое пособие в размере 2 160 евро (4 224 немецких марки). В результате повышения размера пособия возможность его получения для неполных супружеских пар стала еще более привлекательной, и во многих случаях это позволяет значительно сократить расходы для семей со средним уровнем дохода.</w:t>
      </w:r>
    </w:p>
    <w:p w:rsidR="00000000" w:rsidRDefault="00000000">
      <w:pPr>
        <w:pStyle w:val="SingleTxt"/>
      </w:pPr>
      <w:r>
        <w:t>Пособие на обучение детей, независимо от гражданского статуса, замен</w:t>
      </w:r>
      <w:r>
        <w:t>и</w:t>
      </w:r>
      <w:r>
        <w:t>ло собой ранее выплачиваемое неполным супружеским парам пособие на д</w:t>
      </w:r>
      <w:r>
        <w:t>о</w:t>
      </w:r>
      <w:r>
        <w:t>машнее хозяйство. При этом парламент не стал сразу же отменять пособие на домашнее хозяйство, а решил в приемлемых для всех рамках постепенно с</w:t>
      </w:r>
      <w:r>
        <w:t>о</w:t>
      </w:r>
      <w:r>
        <w:t>кратить его к 2005 году. Меры в этой области принимаются одновременно с т</w:t>
      </w:r>
      <w:r>
        <w:t>е</w:t>
      </w:r>
      <w:r>
        <w:t>ми мерами, которые предпринимаются в рамках налоговой реформы.</w:t>
      </w:r>
    </w:p>
    <w:p w:rsidR="00000000" w:rsidRDefault="00000000">
      <w:pPr>
        <w:pStyle w:val="SingleTxt"/>
      </w:pPr>
      <w:r>
        <w:t>Решение об увеличении пособий на детей для семьей с низким и среднем уровнем дохода было принято с целью улучшения системы оказания поддер</w:t>
      </w:r>
      <w:r>
        <w:t>ж</w:t>
      </w:r>
      <w:r>
        <w:t>ки семьям. За этот законодательный период пособие на первого и второго р</w:t>
      </w:r>
      <w:r>
        <w:t>е</w:t>
      </w:r>
      <w:r>
        <w:t>бенка повышалось три раза более чем на 30 немецких марок с 270 немецких марок до нынешнего уровня в 154 евро (301,20 немецких марок).</w:t>
      </w:r>
    </w:p>
    <w:p w:rsidR="00000000" w:rsidRDefault="00000000">
      <w:pPr>
        <w:pStyle w:val="SingleTxt"/>
      </w:pPr>
      <w:r>
        <w:t>Что касается учета интересов детей в налоговой системе, то в принципе все родители пользуются равным режимом. При налогообложении родителей налогом не облагается сумма, соответствующая минимальному уровню жизни их детей, поскольку родители с детьми, имеющими право на пособие по уходу, в целом могут позволить себе тратить меньше, чем те лица, у которых нет д</w:t>
      </w:r>
      <w:r>
        <w:t>е</w:t>
      </w:r>
      <w:r>
        <w:t>тей, а уровень дохода такой же. Это стало возможно благодаря выплате пос</w:t>
      </w:r>
      <w:r>
        <w:t>о</w:t>
      </w:r>
      <w:r>
        <w:t>бия на детей и надбавки на детей. В текущем году пособие на детей уже в</w:t>
      </w:r>
      <w:r>
        <w:t>ы</w:t>
      </w:r>
      <w:r>
        <w:t>плачивается – в виде налогового вознаграждения. Таким образом, пособие на детей было введено вместо ранее существовавшей системы вычета надбавок на детей при расчете подоходного налога. Наряду с оценкой подоходного налога налоговое управление неофициально рассматривает вопрос о том, позволяет ли это обеспечивать минимальный необлагаемый налогом уровень жизни для д</w:t>
      </w:r>
      <w:r>
        <w:t>е</w:t>
      </w:r>
      <w:r>
        <w:t>тей. Если пособие на детей не соответствует понятию освобождения от уплаты налогов в соответствии с конституцией, то из суммы дохода вычитывается на</w:t>
      </w:r>
      <w:r>
        <w:t>д</w:t>
      </w:r>
      <w:r>
        <w:t>бавка на ребенка и уже полученное пособие на детей компенсируется за счет налогового значения надбавок. В данном случае уравнивание семейных пос</w:t>
      </w:r>
      <w:r>
        <w:t>о</w:t>
      </w:r>
      <w:r>
        <w:t>бий и услуг ограничивается требованиями освобождения от налога. Если пос</w:t>
      </w:r>
      <w:r>
        <w:t>о</w:t>
      </w:r>
      <w:r>
        <w:t>бие на детей превышает данный уровень, то оно идет на оказание содействия семьям, как правило семьям с более низким уровнем дохода, которые имеют нескол</w:t>
      </w:r>
      <w:r>
        <w:t>ь</w:t>
      </w:r>
      <w:r>
        <w:t>ко детей.</w:t>
      </w:r>
    </w:p>
    <w:p w:rsidR="00000000" w:rsidRDefault="00000000">
      <w:pPr>
        <w:pStyle w:val="SingleTxt"/>
      </w:pPr>
      <w:r>
        <w:t>Для детей в возрасте до 14 лет вторым Законом об оказании содействия семьям разрешается, начиная с 2002 года, вычитать расходы, связанные с дох</w:t>
      </w:r>
      <w:r>
        <w:t>о</w:t>
      </w:r>
      <w:r>
        <w:t>дом и предназначенные для ухода за детьми, в размере 1 500 евро (примерно 3 000 немецких марок), если эти расходы превышают 1 548 евро (примерно 3 024 немецких марок). При наличии доходоприносящей работы необходимо, чтобы на уход за детьми в детских заведениях или с привлечением услуг нян</w:t>
      </w:r>
      <w:r>
        <w:t>е</w:t>
      </w:r>
      <w:r>
        <w:t>чек уходила большая сумма. Благодаря частичному освобождению налогового бремени нести такие расходы намного легче. Однако это может, естественно, служить только одним из элементов выполнения семейных и служебных об</w:t>
      </w:r>
      <w:r>
        <w:t>я</w:t>
      </w:r>
      <w:r>
        <w:t>занностей. Это положение в то же время учитывает особую ситуацию непо</w:t>
      </w:r>
      <w:r>
        <w:t>л</w:t>
      </w:r>
      <w:r>
        <w:t>ных супружеских пар, которым приходится больше других зависеть от доход</w:t>
      </w:r>
      <w:r>
        <w:t>о</w:t>
      </w:r>
      <w:r>
        <w:t>приносящей работы и ухода за детьми.</w:t>
      </w:r>
    </w:p>
    <w:p w:rsidR="00000000" w:rsidRDefault="00000000">
      <w:pPr>
        <w:pStyle w:val="SingleTxt"/>
      </w:pPr>
      <w:r>
        <w:t>В то же время отныне нельзя вычитать специальные расходы на содерж</w:t>
      </w:r>
      <w:r>
        <w:t>а</w:t>
      </w:r>
      <w:r>
        <w:t>ние домашней прислуги. Однако если для ухода за детьми нанимают домашний персонал, то соответствующие расходы могут учитываются здесь в рамках в</w:t>
      </w:r>
      <w:r>
        <w:t>ы</w:t>
      </w:r>
      <w:r>
        <w:t>шеуказанного нового положения.</w:t>
      </w:r>
    </w:p>
    <w:p w:rsidR="00000000" w:rsidRDefault="00000000">
      <w:pPr>
        <w:pStyle w:val="H23"/>
      </w:pPr>
      <w:bookmarkStart w:id="601" w:name="_Toc44113540"/>
      <w:bookmarkStart w:id="602" w:name="_Toc44113841"/>
      <w:bookmarkStart w:id="603" w:name="_Toc44114349"/>
      <w:bookmarkStart w:id="604" w:name="_Toc44115594"/>
      <w:bookmarkStart w:id="605" w:name="_Toc44116026"/>
      <w:r>
        <w:t>13.3</w:t>
      </w:r>
      <w:r>
        <w:tab/>
        <w:t>Реформа пособия на жилье</w:t>
      </w:r>
      <w:bookmarkEnd w:id="601"/>
      <w:bookmarkEnd w:id="602"/>
      <w:bookmarkEnd w:id="603"/>
      <w:bookmarkEnd w:id="604"/>
      <w:bookmarkEnd w:id="605"/>
    </w:p>
    <w:p w:rsidR="00000000" w:rsidRDefault="00000000">
      <w:pPr>
        <w:pStyle w:val="SingleTxt"/>
      </w:pPr>
      <w:r>
        <w:t>Реформа системы пособий на жилье началась 1 января 2001 года. Она б</w:t>
      </w:r>
      <w:r>
        <w:t>ы</w:t>
      </w:r>
      <w:r>
        <w:t>ла начата с относительно высокого уровня пособий на жилье в новых землях. В старых землях пособие на жилье составляло в месяц примерно 83 немецких марки (42 евро), что больше, чем было до этого. Такое увеличение распростр</w:t>
      </w:r>
      <w:r>
        <w:t>а</w:t>
      </w:r>
      <w:r>
        <w:t>няется примерно на 50 процентов. Крупные семьи могут потребовать начисл</w:t>
      </w:r>
      <w:r>
        <w:t>е</w:t>
      </w:r>
      <w:r>
        <w:t>ния им надбавки до 120 немецких марок (60 евро). 420 000 семейных хозяйств, которые до этого не имели права на получение пособия на жилье, в будущем приобретут такое право впервые или же в очередной раз. Такая реформа озн</w:t>
      </w:r>
      <w:r>
        <w:t>а</w:t>
      </w:r>
      <w:r>
        <w:t>чает увеличение пособий до 1,4 млрд. немецких марок (0,72 млрд. евро) в год. Федеральное правительство с тех пор постоянно улучшало условия домашних хозяйств с низким уровнем дохода. Благодаря такой реформе эти пособия уд</w:t>
      </w:r>
      <w:r>
        <w:t>а</w:t>
      </w:r>
      <w:r>
        <w:t>лось в конечном итоге объединить и в западной, и в восточной части страны. То снижение пособий на жилье, которое в отдельных случаях могло иметь м</w:t>
      </w:r>
      <w:r>
        <w:t>е</w:t>
      </w:r>
      <w:r>
        <w:t>сто в новых землях, компенсируется положением об оказании помощи в тяж</w:t>
      </w:r>
      <w:r>
        <w:t>е</w:t>
      </w:r>
      <w:r>
        <w:t>лых случаях.</w:t>
      </w:r>
    </w:p>
    <w:p w:rsidR="00000000" w:rsidRDefault="00000000">
      <w:pPr>
        <w:pStyle w:val="SingleTxt"/>
      </w:pPr>
      <w:r>
        <w:t>Неполные супружеские пары с детьми в возрасте до 12 лет, а это как пр</w:t>
      </w:r>
      <w:r>
        <w:t>а</w:t>
      </w:r>
      <w:r>
        <w:t>вило женщины, могут получать более высокое пособие на жилье, чем другие, находящиеся в аналогичной ситуации домашние хозяйства, поскольку они имеют право на специальную надбавку к доходу.</w:t>
      </w:r>
    </w:p>
    <w:p w:rsidR="00000000" w:rsidRDefault="00000000">
      <w:pPr>
        <w:pStyle w:val="H23"/>
      </w:pPr>
      <w:bookmarkStart w:id="606" w:name="_Toc44113541"/>
      <w:bookmarkStart w:id="607" w:name="_Toc44113842"/>
      <w:bookmarkStart w:id="608" w:name="_Toc44114350"/>
      <w:bookmarkStart w:id="609" w:name="_Toc44115595"/>
      <w:bookmarkStart w:id="610" w:name="_Toc44116027"/>
      <w:r>
        <w:t>13.4</w:t>
      </w:r>
      <w:r>
        <w:tab/>
        <w:t>Реформа системы содействия профессиональной подготовке</w:t>
      </w:r>
      <w:bookmarkEnd w:id="606"/>
      <w:bookmarkEnd w:id="607"/>
      <w:bookmarkEnd w:id="608"/>
      <w:bookmarkEnd w:id="609"/>
      <w:bookmarkEnd w:id="610"/>
    </w:p>
    <w:p w:rsidR="00000000" w:rsidRDefault="00000000">
      <w:pPr>
        <w:pStyle w:val="SingleTxt"/>
      </w:pPr>
      <w:r>
        <w:t>Федеральное правительство в рамках своей компетенции начало здесь р</w:t>
      </w:r>
      <w:r>
        <w:t>а</w:t>
      </w:r>
      <w:r>
        <w:t>боту с реформы системы индивидуальной поддержки. С принятием вступивш</w:t>
      </w:r>
      <w:r>
        <w:t>е</w:t>
      </w:r>
      <w:r>
        <w:t>го в силу 1 апреля 2001 года Закона о реформе системы содействия професси</w:t>
      </w:r>
      <w:r>
        <w:t>о</w:t>
      </w:r>
      <w:r>
        <w:t>нальной подготовке федеральное правительство значительно расширило оказ</w:t>
      </w:r>
      <w:r>
        <w:t>а</w:t>
      </w:r>
      <w:r>
        <w:t>ние содействия индивидуальной профессиональной подготовке с целью улу</w:t>
      </w:r>
      <w:r>
        <w:t>ч</w:t>
      </w:r>
      <w:r>
        <w:t>шения доступа к возможностям обучения, в частности для детей и молодежи из семей с низким уровнем дохода. Ежегодное выделение суммы более чем в 1 млрд. немецких марок в качестве дополнительных фондов (включая 500 млн. немецких марок из федерального бюджета) означает, что в среднем примерно 80 000 дополнительно получили поддержку для их обучения. Установленные требования значительно повышаются, и максимальная месячная ставка выро</w:t>
      </w:r>
      <w:r>
        <w:t>с</w:t>
      </w:r>
      <w:r>
        <w:t>ла с 1 030 немецких марок до 585 евро (1 140 немецких марок). Кроме того, здесь уже не засчитываются пособия на детей, размер пособий был увеличен, а система содействия в старых и новых землях была унифицирована. Общая сумма займа на обучение была установлена на уровне 10 000 евро.</w:t>
      </w:r>
    </w:p>
    <w:p w:rsidR="00000000" w:rsidRDefault="00000000">
      <w:pPr>
        <w:pStyle w:val="SingleTxt"/>
      </w:pPr>
      <w:r>
        <w:t>Расширилось и оказание помощи студентам, имеющим детей; это означ</w:t>
      </w:r>
      <w:r>
        <w:t>а</w:t>
      </w:r>
      <w:r>
        <w:t>ет и улучшение ухода за детьми в первые годы жизни, и оказание поддержки в уходе за детьми в возрасте до десяти лет.</w:t>
      </w:r>
    </w:p>
    <w:p w:rsidR="00000000" w:rsidRDefault="00000000">
      <w:pPr>
        <w:pStyle w:val="H23"/>
      </w:pPr>
      <w:bookmarkStart w:id="611" w:name="_Toc44113542"/>
      <w:bookmarkStart w:id="612" w:name="_Toc44113843"/>
      <w:bookmarkStart w:id="613" w:name="_Toc44114351"/>
      <w:bookmarkStart w:id="614" w:name="_Toc44115596"/>
      <w:bookmarkStart w:id="615" w:name="_Toc44116028"/>
      <w:r>
        <w:t>13.5</w:t>
      </w:r>
      <w:r>
        <w:tab/>
        <w:t>Пособие на воспитание детей</w:t>
      </w:r>
      <w:bookmarkEnd w:id="611"/>
      <w:bookmarkEnd w:id="612"/>
      <w:bookmarkEnd w:id="613"/>
      <w:bookmarkEnd w:id="614"/>
      <w:bookmarkEnd w:id="615"/>
    </w:p>
    <w:p w:rsidR="00000000" w:rsidRDefault="00000000">
      <w:pPr>
        <w:pStyle w:val="SingleTxt"/>
      </w:pPr>
      <w:r>
        <w:t xml:space="preserve">Об этом уже говорилось в пункте 11.5.1 Части </w:t>
      </w:r>
      <w:r>
        <w:rPr>
          <w:lang w:val="en-US"/>
        </w:rPr>
        <w:t>II</w:t>
      </w:r>
      <w:r>
        <w:t>. Кроме того, можно за</w:t>
      </w:r>
      <w:r>
        <w:t>я</w:t>
      </w:r>
      <w:r>
        <w:t>вить, что новый федеральный Закон о пособии на воспитание детей способс</w:t>
      </w:r>
      <w:r>
        <w:t>т</w:t>
      </w:r>
      <w:r>
        <w:t>вует также улучшению предварительных условий для получения такого пос</w:t>
      </w:r>
      <w:r>
        <w:t>о</w:t>
      </w:r>
      <w:r>
        <w:t>бия, которое федеральное правительство предоставляет родителя для ухода за детьми на первом этапе жизни ребенка. Это пособие представляет собой пос</w:t>
      </w:r>
      <w:r>
        <w:t>о</w:t>
      </w:r>
      <w:r>
        <w:t>бие, которое финансируется за счет налогов, не зависит от дохода матери или отца, независимо от того, занимаются они или нет доходоприносящей раб</w:t>
      </w:r>
      <w:r>
        <w:t>о</w:t>
      </w:r>
      <w:r>
        <w:t>той – другими словами оно не заменяет самой заработной платы, – если они отвечают личным предварительным условиям, необходимым для получения пособия на воспитание детей. Начиная с 2001 года впервые за время с 1986 года положения о более высоком доходе распространяются на выплату полной суммы пособия только после седьмого месяца жизни ребенка. В резул</w:t>
      </w:r>
      <w:r>
        <w:t>ь</w:t>
      </w:r>
      <w:r>
        <w:t>тате этого пороговая величина дохода на одну семью с четырьмя детьми в</w:t>
      </w:r>
      <w:r>
        <w:t>ы</w:t>
      </w:r>
      <w:r>
        <w:t>росла практически на 25 процентов. Все пособие составляет 307 евро в месяц и может выплачиваться вплоть до рождения второго ребенка. В период получ</w:t>
      </w:r>
      <w:r>
        <w:t>е</w:t>
      </w:r>
      <w:r>
        <w:t>ния этого пособия соответствующие родители могут одновременно работать до 30 часов в неделю (по старому закону этот период составлял только 19 часов в неделю). Новым законом предусматривается также для родителей возможность получения альтернативного пособия на воспитание детей в размере 460 евро в месяц, но только до рождения первого ребенка, после чего не выплачивается никакого дополнительного пособия. Тем не менее такой вариант интересен для молодых родителей, которые хотят в ближайшее время вновь начать работать полный рабочий день, например для отцов. В течение первых шести месяцев жизни ребенка более 90 процентов родителей получают пособия в полном об</w:t>
      </w:r>
      <w:r>
        <w:t>ъ</w:t>
      </w:r>
      <w:r>
        <w:t>еме ввиду высокой пороговой суммы дохода. Начиная с седьмого месяца жизни ребенка, и практически 50 процентов всех соответствующих лиц продолжают получать полное пособие на воспитание детей, в то время как примерно 30 процентов получают сокращенное пособие и почти 20 процентов больше не получают такого пособия, поскольку уровень зачитываемого для целей налог</w:t>
      </w:r>
      <w:r>
        <w:t>о</w:t>
      </w:r>
      <w:r>
        <w:t>обложения дохода этих родителей значительно превышает минимальный пор</w:t>
      </w:r>
      <w:r>
        <w:t>о</w:t>
      </w:r>
      <w:r>
        <w:t>говый уровень, установленный для дохода.</w:t>
      </w:r>
    </w:p>
    <w:p w:rsidR="00000000" w:rsidRDefault="00000000">
      <w:pPr>
        <w:pStyle w:val="SingleTxt"/>
      </w:pPr>
      <w:r>
        <w:t>В 2000 году порядка 703 000 родителей (из которых около 97 процентов женщин) получали данное пособие в течение первого года жизни их детей. На втором году жизни детей количество таких родителей уменьшилось (порядка 506 000 человек, т. е. 86 процентов тех, кто мог бы получать такое пособие).</w:t>
      </w:r>
    </w:p>
    <w:p w:rsidR="00000000" w:rsidRDefault="00000000">
      <w:pPr>
        <w:pStyle w:val="H23"/>
      </w:pPr>
      <w:bookmarkStart w:id="616" w:name="_Toc44113543"/>
      <w:bookmarkStart w:id="617" w:name="_Toc44113844"/>
      <w:bookmarkStart w:id="618" w:name="_Toc44114352"/>
      <w:bookmarkStart w:id="619" w:name="_Toc44115597"/>
      <w:bookmarkStart w:id="620" w:name="_Toc44116029"/>
      <w:r>
        <w:t>13.6</w:t>
      </w:r>
      <w:r>
        <w:tab/>
        <w:t>Объем финансовой помощи</w:t>
      </w:r>
      <w:bookmarkEnd w:id="616"/>
      <w:bookmarkEnd w:id="617"/>
      <w:bookmarkEnd w:id="618"/>
      <w:bookmarkEnd w:id="619"/>
      <w:bookmarkEnd w:id="620"/>
    </w:p>
    <w:p w:rsidR="00000000" w:rsidRDefault="00000000">
      <w:pPr>
        <w:pStyle w:val="SingleTxt"/>
      </w:pPr>
      <w:r>
        <w:t>Только в результате повышения размера пособия на детей практически на 80 немецких марок для первого и второго ребенка финансовое бремя семей в 2002 году по сравнению с 1998 годов снизилось примерно на 17,7 млрд. неме</w:t>
      </w:r>
      <w:r>
        <w:t>ц</w:t>
      </w:r>
      <w:r>
        <w:t>ких марок, т. е. 9,1 млрд. евро. Общий объем семейных пособий, который был выплачен в 1998 году, составлял 40,2 млрд. евро, а в 2002 году – 59,2 млрд. е</w:t>
      </w:r>
      <w:r>
        <w:t>в</w:t>
      </w:r>
      <w:r>
        <w:t>ро, что означает увеличение на 47 процентов.</w:t>
      </w:r>
    </w:p>
    <w:p w:rsidR="00000000" w:rsidRDefault="00000000">
      <w:pPr>
        <w:pStyle w:val="SingleTxt"/>
        <w:ind w:firstLine="0"/>
      </w:pPr>
      <w:r>
        <w:rPr>
          <w:lang w:val="en-US"/>
        </w:rPr>
        <w:t>b</w:t>
      </w:r>
      <w:r>
        <w:t xml:space="preserve">) </w:t>
      </w:r>
      <w:r>
        <w:tab/>
        <w:t>Мужчины и женщины имеют равное право брать банковские ссуды, закл</w:t>
      </w:r>
      <w:r>
        <w:t>а</w:t>
      </w:r>
      <w:r>
        <w:t>дывать имущество и получать иные формы финансового кредита. Здесь в Ф</w:t>
      </w:r>
      <w:r>
        <w:t>е</w:t>
      </w:r>
      <w:r>
        <w:t>деративной Республике не проводится никакого различия между женщинами и мужчинами.</w:t>
      </w:r>
    </w:p>
    <w:p w:rsidR="00000000" w:rsidRDefault="00000000">
      <w:pPr>
        <w:pStyle w:val="SingleTxt"/>
        <w:ind w:firstLine="0"/>
      </w:pPr>
      <w:r>
        <w:t xml:space="preserve">с) </w:t>
      </w:r>
      <w:r>
        <w:tab/>
        <w:t>Ссылка делается на информацию, представленную в пункте 10.1 в рамках статьи 10 (Женщины и спорт).</w:t>
      </w:r>
    </w:p>
    <w:p w:rsidR="00000000" w:rsidRDefault="00000000">
      <w:pPr>
        <w:pStyle w:val="SingleTxt"/>
      </w:pPr>
      <w:r>
        <w:tab/>
        <w:t>Что касается участия женщин в культурной жизни, то можно добавить следующее:</w:t>
      </w:r>
    </w:p>
    <w:p w:rsidR="00000000" w:rsidRDefault="00000000">
      <w:pPr>
        <w:pStyle w:val="SingleTxt"/>
        <w:ind w:left="1740" w:hanging="476"/>
      </w:pPr>
      <w:r>
        <w:tab/>
      </w:r>
      <w:r>
        <w:tab/>
        <w:t>Цель всех мер, которые принимаются здесь федеральным правительством, заключается как в том, чтобы популяризировать среди широких слоев н</w:t>
      </w:r>
      <w:r>
        <w:t>а</w:t>
      </w:r>
      <w:r>
        <w:t>селения то важное место, которое занимают женщины в создании иску</w:t>
      </w:r>
      <w:r>
        <w:t>с</w:t>
      </w:r>
      <w:r>
        <w:t>ства и культуры, а также и в том, чтобы гарантировать женщинам доступ к культурной жизни. В этом контексте, например, Федеральное министерс</w:t>
      </w:r>
      <w:r>
        <w:t>т</w:t>
      </w:r>
      <w:r>
        <w:t>во по делам семьи учредило премию Габриелы Мюнтер, которая является одной из наиболее известных премий в области изобразительного иску</w:t>
      </w:r>
      <w:r>
        <w:t>с</w:t>
      </w:r>
      <w:r>
        <w:t>ства в Федеративной Республике Германии, и в числе получателей этой премии в частности есть и женщины в возрасте старше 40 лет. Организ</w:t>
      </w:r>
      <w:r>
        <w:t>а</w:t>
      </w:r>
      <w:r>
        <w:t>ция выставок «Политчай» и «Неравные сестры» преследовала, в частн</w:t>
      </w:r>
      <w:r>
        <w:t>о</w:t>
      </w:r>
      <w:r>
        <w:t>сти, цель подчеркнуть тот вклад, который женщин внесли в развитие Ф</w:t>
      </w:r>
      <w:r>
        <w:t>е</w:t>
      </w:r>
      <w:r>
        <w:t>деративной Республики Германии после второй мировой войны. На евр</w:t>
      </w:r>
      <w:r>
        <w:t>о</w:t>
      </w:r>
      <w:r>
        <w:t>пейском уровне была организована выставка «50 европейских женщин». Цель обеспечения равного участия женщин в культурной жизни преслед</w:t>
      </w:r>
      <w:r>
        <w:t>у</w:t>
      </w:r>
      <w:r>
        <w:t>ет также и оказание содействия деятельности Ассоциации общин же</w:t>
      </w:r>
      <w:r>
        <w:t>н</w:t>
      </w:r>
      <w:r>
        <w:t xml:space="preserve">щин-артисток и спонсоров в области искусства. В пункте 3.4.14 Части </w:t>
      </w:r>
      <w:r>
        <w:rPr>
          <w:lang w:val="en-US"/>
        </w:rPr>
        <w:t>I</w:t>
      </w:r>
      <w:r>
        <w:t xml:space="preserve"> содержится информация и о других аспектах деятельности в этой сфере.</w:t>
      </w:r>
    </w:p>
    <w:p w:rsidR="00000000" w:rsidRDefault="00000000">
      <w:pPr>
        <w:pStyle w:val="H1"/>
      </w:pPr>
      <w:bookmarkStart w:id="621" w:name="_Toc44113544"/>
      <w:bookmarkStart w:id="622" w:name="_Toc44113845"/>
      <w:bookmarkStart w:id="623" w:name="_Toc44114353"/>
      <w:bookmarkStart w:id="624" w:name="_Toc44115598"/>
      <w:bookmarkStart w:id="625" w:name="_Toc44116030"/>
      <w:r>
        <w:t>14.</w:t>
      </w:r>
      <w:r>
        <w:tab/>
        <w:t>Статья 14: Равноправие мужчин и женщин, проживающих в сел</w:t>
      </w:r>
      <w:r>
        <w:t>ь</w:t>
      </w:r>
      <w:r>
        <w:t>ской местности</w:t>
      </w:r>
      <w:bookmarkEnd w:id="621"/>
      <w:bookmarkEnd w:id="622"/>
      <w:bookmarkEnd w:id="623"/>
      <w:bookmarkEnd w:id="624"/>
      <w:bookmarkEnd w:id="625"/>
    </w:p>
    <w:p w:rsidR="00000000" w:rsidRDefault="00000000">
      <w:pPr>
        <w:pStyle w:val="SingleTxt"/>
        <w:ind w:left="1740" w:hanging="476"/>
        <w:rPr>
          <w:i/>
        </w:rPr>
      </w:pPr>
      <w:r>
        <w:rPr>
          <w:i/>
        </w:rPr>
        <w:tab/>
      </w:r>
      <w:r>
        <w:rPr>
          <w:i/>
        </w:rPr>
        <w:tab/>
        <w:t>Статья 14</w:t>
      </w:r>
    </w:p>
    <w:p w:rsidR="00000000" w:rsidRDefault="00000000">
      <w:pPr>
        <w:pStyle w:val="SingleTxt"/>
        <w:ind w:left="1740" w:hanging="476"/>
        <w:rPr>
          <w:i/>
        </w:rPr>
      </w:pPr>
      <w:r>
        <w:rPr>
          <w:i/>
        </w:rPr>
        <w:tab/>
      </w:r>
      <w:r>
        <w:rPr>
          <w:i/>
        </w:rPr>
        <w:tab/>
        <w:t>(1) Государства-участники принимают во внимание особые проблемы, с которыми сталкиваются женщины, проживающие в сельской местн</w:t>
      </w:r>
      <w:r>
        <w:rPr>
          <w:i/>
        </w:rPr>
        <w:t>о</w:t>
      </w:r>
      <w:r>
        <w:rPr>
          <w:i/>
        </w:rPr>
        <w:t>сти, и значительную роль, которую они играют в обеспечении экономич</w:t>
      </w:r>
      <w:r>
        <w:rPr>
          <w:i/>
        </w:rPr>
        <w:t>е</w:t>
      </w:r>
      <w:r>
        <w:rPr>
          <w:i/>
        </w:rPr>
        <w:t>ского благосостояния своих семей, в том числе их деятельность в нет</w:t>
      </w:r>
      <w:r>
        <w:rPr>
          <w:i/>
        </w:rPr>
        <w:t>о</w:t>
      </w:r>
      <w:r>
        <w:rPr>
          <w:i/>
        </w:rPr>
        <w:t>варных отраслях хозяйства, и принимают все соответствующие меры для обеспечения применения положений настоящей Конвенции к женщ</w:t>
      </w:r>
      <w:r>
        <w:rPr>
          <w:i/>
        </w:rPr>
        <w:t>и</w:t>
      </w:r>
      <w:r>
        <w:rPr>
          <w:i/>
        </w:rPr>
        <w:t>нам, проживающим в сел</w:t>
      </w:r>
      <w:r>
        <w:rPr>
          <w:i/>
        </w:rPr>
        <w:t>ь</w:t>
      </w:r>
      <w:r>
        <w:rPr>
          <w:i/>
        </w:rPr>
        <w:t>ской местности.</w:t>
      </w:r>
    </w:p>
    <w:p w:rsidR="00000000" w:rsidRDefault="00000000">
      <w:pPr>
        <w:pStyle w:val="SingleTxt"/>
        <w:ind w:left="1740" w:hanging="476"/>
        <w:rPr>
          <w:i/>
        </w:rPr>
      </w:pPr>
      <w:r>
        <w:rPr>
          <w:i/>
        </w:rPr>
        <w:tab/>
      </w:r>
      <w:r>
        <w:rPr>
          <w:i/>
        </w:rPr>
        <w:tab/>
        <w:t>(2) 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w:t>
      </w:r>
      <w:r>
        <w:rPr>
          <w:i/>
        </w:rPr>
        <w:t>а</w:t>
      </w:r>
      <w:r>
        <w:rPr>
          <w:i/>
        </w:rPr>
        <w:t>стие в развитии сельских районов и в получении выгод от такого разв</w:t>
      </w:r>
      <w:r>
        <w:rPr>
          <w:i/>
        </w:rPr>
        <w:t>и</w:t>
      </w:r>
      <w:r>
        <w:rPr>
          <w:i/>
        </w:rPr>
        <w:t>тия и, в частности, обеспеч</w:t>
      </w:r>
      <w:r>
        <w:rPr>
          <w:i/>
        </w:rPr>
        <w:t>и</w:t>
      </w:r>
      <w:r>
        <w:rPr>
          <w:i/>
        </w:rPr>
        <w:t>вают таким женщинам право:</w:t>
      </w:r>
    </w:p>
    <w:p w:rsidR="00000000" w:rsidRDefault="00000000">
      <w:pPr>
        <w:pStyle w:val="SingleTxt"/>
        <w:ind w:left="1740" w:hanging="476"/>
        <w:rPr>
          <w:i/>
        </w:rPr>
      </w:pPr>
      <w:r>
        <w:rPr>
          <w:i/>
        </w:rPr>
        <w:tab/>
      </w:r>
      <w:r>
        <w:rPr>
          <w:i/>
        </w:rPr>
        <w:tab/>
        <w:t>а) участвовать в разработке и осуществлении планов развития на всех уро</w:t>
      </w:r>
      <w:r>
        <w:rPr>
          <w:i/>
        </w:rPr>
        <w:t>в</w:t>
      </w:r>
      <w:r>
        <w:rPr>
          <w:i/>
        </w:rPr>
        <w:t>нях;</w:t>
      </w:r>
    </w:p>
    <w:p w:rsidR="00000000" w:rsidRDefault="00000000">
      <w:pPr>
        <w:pStyle w:val="SingleTxt"/>
        <w:ind w:left="1740" w:hanging="476"/>
        <w:rPr>
          <w:i/>
        </w:rPr>
      </w:pPr>
      <w:r>
        <w:rPr>
          <w:i/>
        </w:rPr>
        <w:tab/>
      </w:r>
      <w:r>
        <w:rPr>
          <w:i/>
        </w:rPr>
        <w:tab/>
      </w:r>
      <w:r>
        <w:rPr>
          <w:i/>
          <w:lang w:val="en-US"/>
        </w:rPr>
        <w:t>b</w:t>
      </w:r>
      <w:r>
        <w:rPr>
          <w:i/>
        </w:rPr>
        <w:t>) на доступ к соответствующему медицинскому обслуживанию, включая информацию, консультации и обслуживание по вопросам планирования разм</w:t>
      </w:r>
      <w:r>
        <w:rPr>
          <w:i/>
        </w:rPr>
        <w:t>е</w:t>
      </w:r>
      <w:r>
        <w:rPr>
          <w:i/>
        </w:rPr>
        <w:t>ра семьи;</w:t>
      </w:r>
    </w:p>
    <w:p w:rsidR="00000000" w:rsidRDefault="00000000">
      <w:pPr>
        <w:pStyle w:val="SingleTxt"/>
        <w:ind w:left="1740" w:hanging="476"/>
        <w:rPr>
          <w:i/>
        </w:rPr>
      </w:pPr>
      <w:r>
        <w:rPr>
          <w:i/>
        </w:rPr>
        <w:tab/>
      </w:r>
      <w:r>
        <w:rPr>
          <w:i/>
        </w:rPr>
        <w:tab/>
        <w:t>с) непосредственно пользоваться благами программ социального страх</w:t>
      </w:r>
      <w:r>
        <w:rPr>
          <w:i/>
        </w:rPr>
        <w:t>о</w:t>
      </w:r>
      <w:r>
        <w:rPr>
          <w:i/>
        </w:rPr>
        <w:t>вания;</w:t>
      </w:r>
    </w:p>
    <w:p w:rsidR="00000000" w:rsidRDefault="00000000">
      <w:pPr>
        <w:pStyle w:val="SingleTxt"/>
        <w:ind w:left="1740" w:hanging="476"/>
        <w:rPr>
          <w:i/>
        </w:rPr>
      </w:pPr>
      <w:r>
        <w:rPr>
          <w:i/>
        </w:rPr>
        <w:tab/>
      </w:r>
      <w:r>
        <w:rPr>
          <w:i/>
        </w:rPr>
        <w:tab/>
      </w:r>
      <w:r>
        <w:rPr>
          <w:i/>
          <w:lang w:val="en-US"/>
        </w:rPr>
        <w:t>d</w:t>
      </w:r>
      <w:r>
        <w:rPr>
          <w:i/>
        </w:rPr>
        <w:t>) получать все виды подготовки формального и неформального образ</w:t>
      </w:r>
      <w:r>
        <w:rPr>
          <w:i/>
        </w:rPr>
        <w:t>о</w:t>
      </w:r>
      <w:r>
        <w:rPr>
          <w:i/>
        </w:rPr>
        <w:t>вания, включая функциональную грамотность, а также пользоваться у</w:t>
      </w:r>
      <w:r>
        <w:rPr>
          <w:i/>
        </w:rPr>
        <w:t>с</w:t>
      </w:r>
      <w:r>
        <w:rPr>
          <w:i/>
        </w:rPr>
        <w:t>лугами всех средств общинного обслуживания, консультативных служб по сельскохозяйственным вопросам, в частности для повышения их те</w:t>
      </w:r>
      <w:r>
        <w:rPr>
          <w:i/>
        </w:rPr>
        <w:t>х</w:t>
      </w:r>
      <w:r>
        <w:rPr>
          <w:i/>
        </w:rPr>
        <w:t>нического уро</w:t>
      </w:r>
      <w:r>
        <w:rPr>
          <w:i/>
        </w:rPr>
        <w:t>в</w:t>
      </w:r>
      <w:r>
        <w:rPr>
          <w:i/>
        </w:rPr>
        <w:t>ня;</w:t>
      </w:r>
    </w:p>
    <w:p w:rsidR="00000000" w:rsidRDefault="00000000">
      <w:pPr>
        <w:pStyle w:val="SingleTxt"/>
        <w:ind w:left="1740" w:hanging="476"/>
        <w:rPr>
          <w:i/>
        </w:rPr>
      </w:pPr>
      <w:r>
        <w:rPr>
          <w:i/>
        </w:rPr>
        <w:tab/>
      </w:r>
      <w:r>
        <w:rPr>
          <w:i/>
        </w:rPr>
        <w:tab/>
        <w:t>е) организовывать группы самопомощи и кооперативы, с тем чтобы обеспечить равный доступ к экономическим возможностям посредством раб</w:t>
      </w:r>
      <w:r>
        <w:rPr>
          <w:i/>
        </w:rPr>
        <w:t>о</w:t>
      </w:r>
      <w:r>
        <w:rPr>
          <w:i/>
        </w:rPr>
        <w:t>ты по найму или независимой трудовой деятельности;</w:t>
      </w:r>
    </w:p>
    <w:p w:rsidR="00000000" w:rsidRDefault="00000000">
      <w:pPr>
        <w:pStyle w:val="SingleTxt"/>
        <w:ind w:left="1740" w:hanging="476"/>
        <w:rPr>
          <w:i/>
        </w:rPr>
      </w:pPr>
      <w:r>
        <w:rPr>
          <w:i/>
        </w:rPr>
        <w:tab/>
      </w:r>
      <w:r>
        <w:rPr>
          <w:i/>
        </w:rPr>
        <w:tab/>
      </w:r>
      <w:r>
        <w:rPr>
          <w:i/>
          <w:lang w:val="en-US"/>
        </w:rPr>
        <w:t>f</w:t>
      </w:r>
      <w:r>
        <w:rPr>
          <w:i/>
        </w:rPr>
        <w:t>) участвовать во всех видах коллективной деятельности;</w:t>
      </w:r>
    </w:p>
    <w:p w:rsidR="00000000" w:rsidRDefault="00000000">
      <w:pPr>
        <w:pStyle w:val="SingleTxt"/>
        <w:ind w:left="1740" w:hanging="476"/>
        <w:rPr>
          <w:i/>
        </w:rPr>
      </w:pPr>
      <w:r>
        <w:rPr>
          <w:i/>
        </w:rPr>
        <w:tab/>
      </w:r>
      <w:r>
        <w:rPr>
          <w:i/>
        </w:rPr>
        <w:tab/>
      </w:r>
      <w:r>
        <w:rPr>
          <w:i/>
          <w:lang w:val="en-US"/>
        </w:rPr>
        <w:t>g</w:t>
      </w:r>
      <w:r>
        <w:rPr>
          <w:i/>
        </w:rPr>
        <w:t>) на доступ к сельскохозяйственным кредитам и займам, системе сб</w:t>
      </w:r>
      <w:r>
        <w:rPr>
          <w:i/>
        </w:rPr>
        <w:t>ы</w:t>
      </w:r>
      <w:r>
        <w:rPr>
          <w:i/>
        </w:rPr>
        <w:t>та, соответствующей технологии и на равный статус в земельных и а</w:t>
      </w:r>
      <w:r>
        <w:rPr>
          <w:i/>
        </w:rPr>
        <w:t>г</w:t>
      </w:r>
      <w:r>
        <w:rPr>
          <w:i/>
        </w:rPr>
        <w:t>ра</w:t>
      </w:r>
      <w:r>
        <w:rPr>
          <w:i/>
        </w:rPr>
        <w:t>р</w:t>
      </w:r>
      <w:r>
        <w:rPr>
          <w:i/>
        </w:rPr>
        <w:t>ных реформах, а также в планах перезаселения земель;</w:t>
      </w:r>
    </w:p>
    <w:p w:rsidR="00000000" w:rsidRDefault="00000000">
      <w:pPr>
        <w:pStyle w:val="SingleTxt"/>
        <w:ind w:left="1740" w:hanging="476"/>
        <w:rPr>
          <w:i/>
        </w:rPr>
      </w:pPr>
      <w:r>
        <w:rPr>
          <w:i/>
        </w:rPr>
        <w:tab/>
      </w:r>
      <w:r>
        <w:rPr>
          <w:i/>
        </w:rPr>
        <w:tab/>
      </w:r>
      <w:r>
        <w:rPr>
          <w:i/>
          <w:lang w:val="en-US"/>
        </w:rPr>
        <w:t>h</w:t>
      </w:r>
      <w:r>
        <w:rPr>
          <w:i/>
        </w:rPr>
        <w:t>)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SingleTxt"/>
      </w:pPr>
      <w:r>
        <w:t xml:space="preserve">Никаких изменений по сравнению с предыдущим докладом и пунктом 4 Части </w:t>
      </w:r>
      <w:r>
        <w:rPr>
          <w:lang w:val="en-US"/>
        </w:rPr>
        <w:t>I</w:t>
      </w:r>
      <w:r>
        <w:t xml:space="preserve"> не произошло.</w:t>
      </w:r>
    </w:p>
    <w:p w:rsidR="00000000" w:rsidRDefault="00000000">
      <w:pPr>
        <w:pStyle w:val="H1"/>
      </w:pPr>
      <w:bookmarkStart w:id="626" w:name="_Toc44113545"/>
      <w:bookmarkStart w:id="627" w:name="_Toc44113846"/>
      <w:bookmarkStart w:id="628" w:name="_Toc44114354"/>
      <w:bookmarkStart w:id="629" w:name="_Toc44115599"/>
      <w:bookmarkStart w:id="630" w:name="_Toc44116031"/>
      <w:r>
        <w:t xml:space="preserve">15. </w:t>
      </w:r>
      <w:r>
        <w:tab/>
        <w:t>Статья 15: Равная правоспособность и равные права мужчин и женщин в отношении выбора места жительства</w:t>
      </w:r>
      <w:bookmarkEnd w:id="626"/>
      <w:bookmarkEnd w:id="627"/>
      <w:bookmarkEnd w:id="628"/>
      <w:bookmarkEnd w:id="629"/>
      <w:bookmarkEnd w:id="630"/>
    </w:p>
    <w:p w:rsidR="00000000" w:rsidRDefault="00000000">
      <w:pPr>
        <w:pStyle w:val="SingleTxt"/>
        <w:ind w:left="1740" w:hanging="476"/>
        <w:rPr>
          <w:i/>
        </w:rPr>
      </w:pPr>
      <w:r>
        <w:rPr>
          <w:i/>
        </w:rPr>
        <w:tab/>
      </w:r>
      <w:r>
        <w:rPr>
          <w:i/>
        </w:rPr>
        <w:tab/>
        <w:t>Статья 15</w:t>
      </w:r>
    </w:p>
    <w:p w:rsidR="00000000" w:rsidRDefault="00000000">
      <w:pPr>
        <w:pStyle w:val="SingleTxt"/>
        <w:ind w:left="1740" w:hanging="476"/>
        <w:rPr>
          <w:i/>
        </w:rPr>
      </w:pPr>
      <w:r>
        <w:rPr>
          <w:i/>
        </w:rPr>
        <w:tab/>
      </w:r>
      <w:r>
        <w:rPr>
          <w:i/>
        </w:rPr>
        <w:tab/>
        <w:t>(1) Государства-участники признают за женщинами равенство с му</w:t>
      </w:r>
      <w:r>
        <w:rPr>
          <w:i/>
        </w:rPr>
        <w:t>ж</w:t>
      </w:r>
      <w:r>
        <w:rPr>
          <w:i/>
        </w:rPr>
        <w:t>чинами перед законом.</w:t>
      </w:r>
    </w:p>
    <w:p w:rsidR="00000000" w:rsidRDefault="00000000">
      <w:pPr>
        <w:pStyle w:val="SingleTxt"/>
        <w:ind w:left="1740" w:hanging="476"/>
        <w:rPr>
          <w:i/>
        </w:rPr>
      </w:pPr>
      <w:r>
        <w:rPr>
          <w:i/>
        </w:rPr>
        <w:tab/>
      </w:r>
      <w:r>
        <w:rPr>
          <w:i/>
        </w:rPr>
        <w:tab/>
        <w:t>(2) Государства-участники предоставляют женщинам равную с мужч</w:t>
      </w:r>
      <w:r>
        <w:rPr>
          <w:i/>
        </w:rPr>
        <w:t>и</w:t>
      </w:r>
      <w:r>
        <w:rPr>
          <w:i/>
        </w:rPr>
        <w:t>нами гражданскую правоспособность и одинаковые возможности ее ре</w:t>
      </w:r>
      <w:r>
        <w:rPr>
          <w:i/>
        </w:rPr>
        <w:t>а</w:t>
      </w:r>
      <w:r>
        <w:rPr>
          <w:i/>
        </w:rPr>
        <w:t>лизации. Они, в частности, обеспечивают им равные права при заключ</w:t>
      </w:r>
      <w:r>
        <w:rPr>
          <w:i/>
        </w:rPr>
        <w:t>е</w:t>
      </w:r>
      <w:r>
        <w:rPr>
          <w:i/>
        </w:rPr>
        <w:t>нии договоров и управлении имуществом, а также равное отношение к ним на всех этапах разб</w:t>
      </w:r>
      <w:r>
        <w:rPr>
          <w:i/>
        </w:rPr>
        <w:t>и</w:t>
      </w:r>
      <w:r>
        <w:rPr>
          <w:i/>
        </w:rPr>
        <w:t>рательства в судах и трибуналах.</w:t>
      </w:r>
    </w:p>
    <w:p w:rsidR="00000000" w:rsidRDefault="00000000">
      <w:pPr>
        <w:pStyle w:val="SingleTxt"/>
        <w:ind w:left="1740" w:hanging="476"/>
        <w:rPr>
          <w:i/>
        </w:rPr>
      </w:pPr>
      <w:r>
        <w:rPr>
          <w:i/>
        </w:rPr>
        <w:tab/>
      </w:r>
      <w:r>
        <w:rPr>
          <w:i/>
        </w:rPr>
        <w:tab/>
        <w:t>(3) Государства-участники соглашаются, что все договоры и все другие частные документы любого рода, имеющие своим правовым последств</w:t>
      </w:r>
      <w:r>
        <w:rPr>
          <w:i/>
        </w:rPr>
        <w:t>и</w:t>
      </w:r>
      <w:r>
        <w:rPr>
          <w:i/>
        </w:rPr>
        <w:t>ем ограничение правоспособности женщин, считаются недействител</w:t>
      </w:r>
      <w:r>
        <w:rPr>
          <w:i/>
        </w:rPr>
        <w:t>ь</w:t>
      </w:r>
      <w:r>
        <w:rPr>
          <w:i/>
        </w:rPr>
        <w:t>ными.</w:t>
      </w:r>
    </w:p>
    <w:p w:rsidR="00000000" w:rsidRDefault="00000000">
      <w:pPr>
        <w:pStyle w:val="SingleTxt"/>
        <w:ind w:left="1740" w:hanging="476"/>
        <w:rPr>
          <w:i/>
        </w:rPr>
      </w:pPr>
      <w:r>
        <w:rPr>
          <w:i/>
        </w:rPr>
        <w:tab/>
      </w:r>
      <w:r>
        <w:rPr>
          <w:i/>
        </w:rPr>
        <w:tab/>
        <w:t>(4) Государства-участники предоставляют мужчинам и женщинам од</w:t>
      </w:r>
      <w:r>
        <w:rPr>
          <w:i/>
        </w:rPr>
        <w:t>и</w:t>
      </w:r>
      <w:r>
        <w:rPr>
          <w:i/>
        </w:rPr>
        <w:t>наковые права в отношении законодательства, касающегося передвиж</w:t>
      </w:r>
      <w:r>
        <w:rPr>
          <w:i/>
        </w:rPr>
        <w:t>е</w:t>
      </w:r>
      <w:r>
        <w:rPr>
          <w:i/>
        </w:rPr>
        <w:t>ния лиц и свободы выбора места проживания и места жительс</w:t>
      </w:r>
      <w:r>
        <w:rPr>
          <w:i/>
        </w:rPr>
        <w:t>т</w:t>
      </w:r>
      <w:r>
        <w:rPr>
          <w:i/>
        </w:rPr>
        <w:t>ва.</w:t>
      </w:r>
    </w:p>
    <w:p w:rsidR="00000000" w:rsidRDefault="00000000">
      <w:pPr>
        <w:pStyle w:val="SingleTxt"/>
      </w:pPr>
      <w:r>
        <w:t>К предыдущему докладу нет необходимости что-либо добавлять. Как уже указывалось в первом докладе, женщины и мужчины имеют в этом отношении равные права.</w:t>
      </w:r>
    </w:p>
    <w:p w:rsidR="00000000" w:rsidRDefault="00000000">
      <w:pPr>
        <w:pStyle w:val="H1"/>
      </w:pPr>
      <w:bookmarkStart w:id="631" w:name="_Toc44113546"/>
      <w:bookmarkStart w:id="632" w:name="_Toc44113847"/>
      <w:bookmarkStart w:id="633" w:name="_Toc44114355"/>
      <w:bookmarkStart w:id="634" w:name="_Toc44115600"/>
      <w:bookmarkStart w:id="635" w:name="_Toc44116032"/>
      <w:r>
        <w:t>16.</w:t>
      </w:r>
      <w:r>
        <w:tab/>
        <w:t>Статья 16: Равноправие мужчин и женщин во всех вопросах, касающихся брака и семейных о</w:t>
      </w:r>
      <w:r>
        <w:t>т</w:t>
      </w:r>
      <w:r>
        <w:t>ношений</w:t>
      </w:r>
      <w:bookmarkEnd w:id="631"/>
      <w:bookmarkEnd w:id="632"/>
      <w:bookmarkEnd w:id="633"/>
      <w:bookmarkEnd w:id="634"/>
      <w:bookmarkEnd w:id="635"/>
    </w:p>
    <w:p w:rsidR="00000000" w:rsidRDefault="00000000">
      <w:pPr>
        <w:pStyle w:val="SingleTxt"/>
        <w:ind w:left="1740" w:hanging="476"/>
        <w:rPr>
          <w:i/>
        </w:rPr>
      </w:pPr>
      <w:r>
        <w:rPr>
          <w:i/>
        </w:rPr>
        <w:tab/>
      </w:r>
      <w:r>
        <w:rPr>
          <w:i/>
        </w:rPr>
        <w:tab/>
        <w:t>Статья 16</w:t>
      </w:r>
    </w:p>
    <w:p w:rsidR="00000000" w:rsidRDefault="00000000">
      <w:pPr>
        <w:pStyle w:val="SingleTxt"/>
        <w:ind w:left="1740" w:hanging="476"/>
        <w:rPr>
          <w:i/>
        </w:rPr>
      </w:pPr>
      <w:r>
        <w:rPr>
          <w:i/>
        </w:rPr>
        <w:tab/>
      </w:r>
      <w:r>
        <w:rPr>
          <w:i/>
        </w:rPr>
        <w:tab/>
        <w:t>(1) Государства-участники принимают все соответствующие меры для ликвидации дискриминации в отношении женщин во всех вопросах, к</w:t>
      </w:r>
      <w:r>
        <w:rPr>
          <w:i/>
        </w:rPr>
        <w:t>а</w:t>
      </w:r>
      <w:r>
        <w:rPr>
          <w:i/>
        </w:rPr>
        <w:t>сающихся брака и семейных отношений, и, в частности, обеспечивают на основе р</w:t>
      </w:r>
      <w:r>
        <w:rPr>
          <w:i/>
        </w:rPr>
        <w:t>а</w:t>
      </w:r>
      <w:r>
        <w:rPr>
          <w:i/>
        </w:rPr>
        <w:t>венства мужчин и женщин:</w:t>
      </w:r>
    </w:p>
    <w:p w:rsidR="00000000" w:rsidRDefault="00000000">
      <w:pPr>
        <w:pStyle w:val="SingleTxt"/>
        <w:ind w:left="2217" w:hanging="953"/>
        <w:rPr>
          <w:i/>
        </w:rPr>
      </w:pPr>
      <w:r>
        <w:rPr>
          <w:i/>
        </w:rPr>
        <w:tab/>
      </w:r>
      <w:r>
        <w:rPr>
          <w:i/>
        </w:rPr>
        <w:tab/>
      </w:r>
      <w:r>
        <w:rPr>
          <w:i/>
        </w:rPr>
        <w:tab/>
        <w:t>а) одинаковые права на вступление в брак;</w:t>
      </w:r>
    </w:p>
    <w:p w:rsidR="00000000" w:rsidRDefault="00000000">
      <w:pPr>
        <w:pStyle w:val="SingleTxt"/>
        <w:ind w:left="2217" w:hanging="953"/>
        <w:rPr>
          <w:i/>
        </w:rPr>
      </w:pPr>
      <w:r>
        <w:rPr>
          <w:i/>
        </w:rPr>
        <w:tab/>
      </w:r>
      <w:r>
        <w:rPr>
          <w:i/>
        </w:rPr>
        <w:tab/>
      </w:r>
      <w:r>
        <w:rPr>
          <w:i/>
        </w:rPr>
        <w:tab/>
      </w:r>
      <w:r>
        <w:rPr>
          <w:i/>
          <w:lang w:val="en-US"/>
        </w:rPr>
        <w:t>b</w:t>
      </w:r>
      <w:r>
        <w:rPr>
          <w:i/>
        </w:rPr>
        <w:t>) одинаковые права на свободный выбор супруга и на вступление в брак тол</w:t>
      </w:r>
      <w:r>
        <w:rPr>
          <w:i/>
        </w:rPr>
        <w:t>ь</w:t>
      </w:r>
      <w:r>
        <w:rPr>
          <w:i/>
        </w:rPr>
        <w:t>ко со своего свободного и полного согласия;</w:t>
      </w:r>
    </w:p>
    <w:p w:rsidR="00000000" w:rsidRDefault="00000000">
      <w:pPr>
        <w:pStyle w:val="SingleTxt"/>
        <w:ind w:left="2217" w:hanging="953"/>
        <w:rPr>
          <w:i/>
        </w:rPr>
      </w:pPr>
      <w:r>
        <w:rPr>
          <w:i/>
        </w:rPr>
        <w:tab/>
      </w:r>
      <w:r>
        <w:rPr>
          <w:i/>
        </w:rPr>
        <w:tab/>
      </w:r>
      <w:r>
        <w:rPr>
          <w:i/>
        </w:rPr>
        <w:tab/>
        <w:t>с) одинаковые права и обязанности в период брака и при его ра</w:t>
      </w:r>
      <w:r>
        <w:rPr>
          <w:i/>
        </w:rPr>
        <w:t>с</w:t>
      </w:r>
      <w:r>
        <w:rPr>
          <w:i/>
        </w:rPr>
        <w:t>торж</w:t>
      </w:r>
      <w:r>
        <w:rPr>
          <w:i/>
        </w:rPr>
        <w:t>е</w:t>
      </w:r>
      <w:r>
        <w:rPr>
          <w:i/>
        </w:rPr>
        <w:t>нии;</w:t>
      </w:r>
    </w:p>
    <w:p w:rsidR="00000000" w:rsidRDefault="00000000">
      <w:pPr>
        <w:pStyle w:val="SingleTxt"/>
        <w:ind w:left="2217" w:hanging="953"/>
        <w:rPr>
          <w:i/>
        </w:rPr>
      </w:pPr>
      <w:r>
        <w:rPr>
          <w:i/>
        </w:rPr>
        <w:tab/>
      </w:r>
      <w:r>
        <w:rPr>
          <w:i/>
        </w:rPr>
        <w:tab/>
      </w:r>
      <w:r>
        <w:rPr>
          <w:i/>
        </w:rPr>
        <w:tab/>
      </w:r>
      <w:r>
        <w:rPr>
          <w:i/>
          <w:lang w:val="en-US"/>
        </w:rPr>
        <w:t>d</w:t>
      </w:r>
      <w:r>
        <w:rPr>
          <w:i/>
        </w:rPr>
        <w:t>) одинаковые права и обязанности мужчин и женщин как родит</w:t>
      </w:r>
      <w:r>
        <w:rPr>
          <w:i/>
        </w:rPr>
        <w:t>е</w:t>
      </w:r>
      <w:r>
        <w:rPr>
          <w:i/>
        </w:rPr>
        <w:t>лей, независимо от их семейного положения, вопросов, касающихся их детей; во всех случаях интересы детей являются преобладающ</w:t>
      </w:r>
      <w:r>
        <w:rPr>
          <w:i/>
        </w:rPr>
        <w:t>и</w:t>
      </w:r>
      <w:r>
        <w:rPr>
          <w:i/>
        </w:rPr>
        <w:t>ми;</w:t>
      </w:r>
    </w:p>
    <w:p w:rsidR="00000000" w:rsidRDefault="00000000">
      <w:pPr>
        <w:pStyle w:val="SingleTxt"/>
        <w:ind w:left="2217" w:hanging="953"/>
        <w:rPr>
          <w:i/>
        </w:rPr>
      </w:pPr>
      <w:r>
        <w:rPr>
          <w:i/>
        </w:rPr>
        <w:tab/>
      </w:r>
      <w:r>
        <w:rPr>
          <w:i/>
        </w:rPr>
        <w:tab/>
      </w:r>
      <w:r>
        <w:rPr>
          <w:i/>
        </w:rPr>
        <w:tab/>
        <w:t>е) одинаковые права свободно и ответственно решать вопрос о чи</w:t>
      </w:r>
      <w:r>
        <w:rPr>
          <w:i/>
        </w:rPr>
        <w:t>с</w:t>
      </w:r>
      <w:r>
        <w:rPr>
          <w:i/>
        </w:rPr>
        <w:t>ле детей и промежутках между их рождениями и иметь доступ к информации, образованию, а также средствам, которые позволяют им осущ</w:t>
      </w:r>
      <w:r>
        <w:rPr>
          <w:i/>
        </w:rPr>
        <w:t>е</w:t>
      </w:r>
      <w:r>
        <w:rPr>
          <w:i/>
        </w:rPr>
        <w:t>ствлять эти права;</w:t>
      </w:r>
    </w:p>
    <w:p w:rsidR="00000000" w:rsidRDefault="00000000">
      <w:pPr>
        <w:pStyle w:val="SingleTxt"/>
        <w:ind w:left="2217" w:hanging="953"/>
        <w:rPr>
          <w:i/>
        </w:rPr>
      </w:pPr>
      <w:r>
        <w:rPr>
          <w:i/>
        </w:rPr>
        <w:tab/>
      </w:r>
      <w:r>
        <w:rPr>
          <w:i/>
        </w:rPr>
        <w:tab/>
      </w:r>
      <w:r>
        <w:rPr>
          <w:i/>
        </w:rPr>
        <w:tab/>
      </w:r>
      <w:r>
        <w:rPr>
          <w:i/>
          <w:lang w:val="en-US"/>
        </w:rPr>
        <w:t>f</w:t>
      </w:r>
      <w:r>
        <w:rPr>
          <w:i/>
        </w:rPr>
        <w:t>) одинаковые права и обязанности быть опекунами, попечителями, доверителями и усыновителями детей или осуществлять аналоги</w:t>
      </w:r>
      <w:r>
        <w:rPr>
          <w:i/>
        </w:rPr>
        <w:t>ч</w:t>
      </w:r>
      <w:r>
        <w:rPr>
          <w:i/>
        </w:rPr>
        <w:t>ные функции, когда они предусмотрены национальным законод</w:t>
      </w:r>
      <w:r>
        <w:rPr>
          <w:i/>
        </w:rPr>
        <w:t>а</w:t>
      </w:r>
      <w:r>
        <w:rPr>
          <w:i/>
        </w:rPr>
        <w:t>тельством; во всех случаях интересы детей являются преоблада</w:t>
      </w:r>
      <w:r>
        <w:rPr>
          <w:i/>
        </w:rPr>
        <w:t>ю</w:t>
      </w:r>
      <w:r>
        <w:rPr>
          <w:i/>
        </w:rPr>
        <w:t>щими;</w:t>
      </w:r>
    </w:p>
    <w:p w:rsidR="00000000" w:rsidRDefault="00000000">
      <w:pPr>
        <w:pStyle w:val="SingleTxt"/>
        <w:ind w:left="2217" w:hanging="953"/>
        <w:rPr>
          <w:i/>
        </w:rPr>
      </w:pPr>
      <w:r>
        <w:rPr>
          <w:i/>
        </w:rPr>
        <w:tab/>
      </w:r>
      <w:r>
        <w:rPr>
          <w:i/>
        </w:rPr>
        <w:tab/>
      </w:r>
      <w:r>
        <w:rPr>
          <w:i/>
        </w:rPr>
        <w:tab/>
      </w:r>
      <w:r>
        <w:rPr>
          <w:i/>
          <w:lang w:val="en-US"/>
        </w:rPr>
        <w:t>g</w:t>
      </w:r>
      <w:r>
        <w:rPr>
          <w:i/>
        </w:rPr>
        <w:t>) одинаковые личные права мужа и жены, в том числе права выб</w:t>
      </w:r>
      <w:r>
        <w:rPr>
          <w:i/>
        </w:rPr>
        <w:t>о</w:t>
      </w:r>
      <w:r>
        <w:rPr>
          <w:i/>
        </w:rPr>
        <w:t>ра фам</w:t>
      </w:r>
      <w:r>
        <w:rPr>
          <w:i/>
        </w:rPr>
        <w:t>и</w:t>
      </w:r>
      <w:r>
        <w:rPr>
          <w:i/>
        </w:rPr>
        <w:t>лии, профессии и занятия;</w:t>
      </w:r>
    </w:p>
    <w:p w:rsidR="00000000" w:rsidRDefault="00000000">
      <w:pPr>
        <w:pStyle w:val="SingleTxt"/>
        <w:ind w:left="2217" w:hanging="953"/>
        <w:rPr>
          <w:i/>
        </w:rPr>
      </w:pPr>
      <w:r>
        <w:rPr>
          <w:i/>
        </w:rPr>
        <w:tab/>
      </w:r>
      <w:r>
        <w:rPr>
          <w:i/>
        </w:rPr>
        <w:tab/>
      </w:r>
      <w:r>
        <w:rPr>
          <w:i/>
        </w:rPr>
        <w:tab/>
      </w:r>
      <w:r>
        <w:rPr>
          <w:i/>
          <w:lang w:val="en-US"/>
        </w:rPr>
        <w:t>h</w:t>
      </w:r>
      <w:r>
        <w:rPr>
          <w:i/>
        </w:rPr>
        <w:t>) одинаковые права супругов в отношении владения, приобретения, управления, пользования и распоряжения имуществом как беспла</w:t>
      </w:r>
      <w:r>
        <w:rPr>
          <w:i/>
        </w:rPr>
        <w:t>т</w:t>
      </w:r>
      <w:r>
        <w:rPr>
          <w:i/>
        </w:rPr>
        <w:t>но, так и за плату.</w:t>
      </w:r>
    </w:p>
    <w:p w:rsidR="00000000" w:rsidRDefault="00000000">
      <w:pPr>
        <w:pStyle w:val="SingleTxt"/>
        <w:ind w:left="1740" w:hanging="476"/>
        <w:rPr>
          <w:i/>
        </w:rPr>
      </w:pPr>
      <w:r>
        <w:rPr>
          <w:i/>
        </w:rPr>
        <w:tab/>
      </w:r>
      <w:r>
        <w:rPr>
          <w:i/>
        </w:rPr>
        <w:tab/>
        <w:t>(2) Обручение и брак ребенка не имеют юридической силы, и принимаю</w:t>
      </w:r>
      <w:r>
        <w:rPr>
          <w:i/>
        </w:rPr>
        <w:t>т</w:t>
      </w:r>
      <w:r>
        <w:rPr>
          <w:i/>
        </w:rPr>
        <w:t>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SingleTxt"/>
      </w:pPr>
      <w:r>
        <w:t>В порядке обновления предыдущего доклада можно привести следующую дополн</w:t>
      </w:r>
      <w:r>
        <w:t>и</w:t>
      </w:r>
      <w:r>
        <w:t>тельную информацию.</w:t>
      </w:r>
    </w:p>
    <w:p w:rsidR="00000000" w:rsidRDefault="00000000">
      <w:pPr>
        <w:pStyle w:val="H23"/>
      </w:pPr>
      <w:bookmarkStart w:id="636" w:name="_Toc44113547"/>
      <w:bookmarkStart w:id="637" w:name="_Toc44113848"/>
      <w:bookmarkStart w:id="638" w:name="_Toc44114356"/>
      <w:bookmarkStart w:id="639" w:name="_Toc44115601"/>
      <w:bookmarkStart w:id="640" w:name="_Toc44116033"/>
      <w:r>
        <w:t>16.1</w:t>
      </w:r>
      <w:r>
        <w:tab/>
        <w:t>Реформа Закона о браке и семье</w:t>
      </w:r>
      <w:bookmarkEnd w:id="636"/>
      <w:bookmarkEnd w:id="637"/>
      <w:bookmarkEnd w:id="638"/>
      <w:bookmarkEnd w:id="639"/>
      <w:bookmarkEnd w:id="640"/>
    </w:p>
    <w:p w:rsidR="00000000" w:rsidRDefault="00000000">
      <w:pPr>
        <w:pStyle w:val="SingleTxt"/>
      </w:pPr>
      <w:r>
        <w:t>В настоящее время в Федеративной Республике Германии проводится ш</w:t>
      </w:r>
      <w:r>
        <w:t>и</w:t>
      </w:r>
      <w:r>
        <w:t>рокая р</w:t>
      </w:r>
      <w:r>
        <w:t>е</w:t>
      </w:r>
      <w:r>
        <w:t>форма законодательства о браке и семье:</w:t>
      </w:r>
    </w:p>
    <w:p w:rsidR="00000000" w:rsidRDefault="00000000">
      <w:pPr>
        <w:pStyle w:val="SingleTxt"/>
      </w:pPr>
      <w:r>
        <w:t xml:space="preserve">В </w:t>
      </w:r>
      <w:r>
        <w:rPr>
          <w:u w:val="single"/>
        </w:rPr>
        <w:t>Законе о внесении изменений в законодательство о браке (Изменения в законе о браке)</w:t>
      </w:r>
      <w:r>
        <w:t>, который вступил в силу 1 июля 1998 года, было отменено р</w:t>
      </w:r>
      <w:r>
        <w:t>а</w:t>
      </w:r>
      <w:r>
        <w:t>нее действовавшее положение, которое запрещало женщинам повторно вст</w:t>
      </w:r>
      <w:r>
        <w:t>у</w:t>
      </w:r>
      <w:r>
        <w:t>пать в брак до истечения предписанного законом «периода ожидания». Даже в соответствии с прежним законодательством запрет на вступление в брак во время предписанного законом периода ожидания (женщина не должна была вступать в новый брак в течение 10 месяцев с момента расторжения или анн</w:t>
      </w:r>
      <w:r>
        <w:t>у</w:t>
      </w:r>
      <w:r>
        <w:t>лирования предыдущего брака, если только за этот период она не родила р</w:t>
      </w:r>
      <w:r>
        <w:t>е</w:t>
      </w:r>
      <w:r>
        <w:t xml:space="preserve">бенка) практически не применялся, поскольку все отделы регистрации актов гражданского состояния почти всегда освобождали подавших соответствующие заявления от соблюдения этого правила. По этой причине неразумный запрет на вступление в брак до истечения предписанного законом периода ожидания был отменен. </w:t>
      </w:r>
    </w:p>
    <w:p w:rsidR="00000000" w:rsidRDefault="00000000">
      <w:pPr>
        <w:pStyle w:val="SingleTxt"/>
      </w:pPr>
      <w:r>
        <w:t>Закон о внесении изменений в законодательство о родителях и детях, к</w:t>
      </w:r>
      <w:r>
        <w:t>о</w:t>
      </w:r>
      <w:r>
        <w:t xml:space="preserve">торый также вступил в силу 1 июля 1998 года, означал коренную </w:t>
      </w:r>
      <w:r>
        <w:rPr>
          <w:u w:val="single"/>
        </w:rPr>
        <w:t>реформу з</w:t>
      </w:r>
      <w:r>
        <w:rPr>
          <w:u w:val="single"/>
        </w:rPr>
        <w:t>а</w:t>
      </w:r>
      <w:r>
        <w:rPr>
          <w:u w:val="single"/>
        </w:rPr>
        <w:t>конодательства о родителях и детях</w:t>
      </w:r>
      <w:r>
        <w:t>. Основные цели этой реформы заключаю</w:t>
      </w:r>
      <w:r>
        <w:t>т</w:t>
      </w:r>
      <w:r>
        <w:t>ся в следующем:</w:t>
      </w:r>
    </w:p>
    <w:p w:rsidR="00000000" w:rsidRDefault="00000000">
      <w:pPr>
        <w:pStyle w:val="dot"/>
      </w:pPr>
      <w:r>
        <w:tab/>
      </w:r>
      <w:r>
        <w:tab/>
        <w:t>•</w:t>
      </w:r>
      <w:r>
        <w:tab/>
        <w:t>Права детей должны быть расширены в наилучших интересах самих д</w:t>
      </w:r>
      <w:r>
        <w:t>е</w:t>
      </w:r>
      <w:r>
        <w:t>тей и путем оказания всево</w:t>
      </w:r>
      <w:r>
        <w:t>з</w:t>
      </w:r>
      <w:r>
        <w:t>можного содействия этому.</w:t>
      </w:r>
    </w:p>
    <w:p w:rsidR="00000000" w:rsidRDefault="00000000">
      <w:pPr>
        <w:pStyle w:val="dot"/>
      </w:pPr>
      <w:r>
        <w:tab/>
      </w:r>
      <w:r>
        <w:tab/>
        <w:t>•</w:t>
      </w:r>
      <w:r>
        <w:tab/>
        <w:t>Укрепление юридического статуса родителей и защита от неоправданного вмешательства со стороны государства, при условии, что это соответств</w:t>
      </w:r>
      <w:r>
        <w:t>у</w:t>
      </w:r>
      <w:r>
        <w:t>ет наилучшим интересам детей.</w:t>
      </w:r>
    </w:p>
    <w:p w:rsidR="00000000" w:rsidRDefault="00000000">
      <w:pPr>
        <w:pStyle w:val="dot"/>
      </w:pPr>
      <w:r>
        <w:tab/>
      </w:r>
      <w:r>
        <w:tab/>
        <w:t>•</w:t>
      </w:r>
      <w:r>
        <w:tab/>
        <w:t>Ликвидация во всех случаях, когда это возможно, различий в правах з</w:t>
      </w:r>
      <w:r>
        <w:t>а</w:t>
      </w:r>
      <w:r>
        <w:t>коннорожденных и незаконнорожденных детей, которые еще сохраняются в н</w:t>
      </w:r>
      <w:r>
        <w:t>е</w:t>
      </w:r>
      <w:r>
        <w:t>которых секторах.</w:t>
      </w:r>
    </w:p>
    <w:p w:rsidR="00000000" w:rsidRDefault="00000000">
      <w:pPr>
        <w:pStyle w:val="SingleTxt"/>
      </w:pPr>
      <w:r>
        <w:t>В положениях Гражданского кодекса, в которых содержится закон о род</w:t>
      </w:r>
      <w:r>
        <w:t>и</w:t>
      </w:r>
      <w:r>
        <w:t>телях и детях, после начала реформы предусматривает лишь незначительные и немногочисленные изменения, касающиеся того факта, что родители ребенка могут не состоять в браке (право опекунства, материальная поддержка по ух</w:t>
      </w:r>
      <w:r>
        <w:t>о</w:t>
      </w:r>
      <w:r>
        <w:t>ду). Отныне в Гражданском кодексе не употребляются термины законноро</w:t>
      </w:r>
      <w:r>
        <w:t>ж</w:t>
      </w:r>
      <w:r>
        <w:t xml:space="preserve">денный и незаконнорожденный ребенок. Положение об оказании материальной поддержки на цели </w:t>
      </w:r>
      <w:r>
        <w:rPr>
          <w:u w:val="single"/>
        </w:rPr>
        <w:t>ухода за детьми</w:t>
      </w:r>
      <w:r>
        <w:t xml:space="preserve"> распространяется в равной степени на всех детей, независимо от того, состоят ли их родители в браке (раздел 1601 и п</w:t>
      </w:r>
      <w:r>
        <w:t>о</w:t>
      </w:r>
      <w:r>
        <w:t>следу</w:t>
      </w:r>
      <w:r>
        <w:t>ю</w:t>
      </w:r>
      <w:r>
        <w:t>щие разделы Гражданского кодекса).</w:t>
      </w:r>
    </w:p>
    <w:p w:rsidR="00000000" w:rsidRDefault="00000000">
      <w:pPr>
        <w:pStyle w:val="SingleTxt"/>
      </w:pPr>
      <w:r>
        <w:t>Изменения касаются главным образом закона об отцовстве, закона о род</w:t>
      </w:r>
      <w:r>
        <w:t>и</w:t>
      </w:r>
      <w:r>
        <w:t>тельском попечении и о праве на общение с ребенком, закона о выплате ал</w:t>
      </w:r>
      <w:r>
        <w:t>и</w:t>
      </w:r>
      <w:r>
        <w:t>ментов матери, не состоящей в браке с отцом ребенка, закона о фамилии, зак</w:t>
      </w:r>
      <w:r>
        <w:t>о</w:t>
      </w:r>
      <w:r>
        <w:t>на об усыновлении и закона о судебном рассмотрении вопросов, регулируемых законодательством в отн</w:t>
      </w:r>
      <w:r>
        <w:t>о</w:t>
      </w:r>
      <w:r>
        <w:t>шении родителей и детей.</w:t>
      </w:r>
    </w:p>
    <w:p w:rsidR="00000000" w:rsidRDefault="00000000">
      <w:pPr>
        <w:pStyle w:val="SingleTxt"/>
      </w:pPr>
      <w:r>
        <w:t xml:space="preserve">В отличие от прежнего законодательства новый </w:t>
      </w:r>
      <w:r>
        <w:rPr>
          <w:u w:val="single"/>
        </w:rPr>
        <w:t>закон об отцовстве</w:t>
      </w:r>
      <w:r>
        <w:t xml:space="preserve"> не и</w:t>
      </w:r>
      <w:r>
        <w:t>с</w:t>
      </w:r>
      <w:r>
        <w:t>ходит из того, что отцом ребенка, родившегося в пределах определенного п</w:t>
      </w:r>
      <w:r>
        <w:t>е</w:t>
      </w:r>
      <w:r>
        <w:t>риода времени после развода или расторжения брака, обязательно является бывший муж его матери. Такой подход к установлению отцовства на практике оказался нереалистичным – отчасти потому, что развод, как правило, происх</w:t>
      </w:r>
      <w:r>
        <w:t>о</w:t>
      </w:r>
      <w:r>
        <w:t>дит через год после того, как бывшие супруги стали жить раздельно, – и это привело к подаче большого числа ходатайств о признании ребенка незаконн</w:t>
      </w:r>
      <w:r>
        <w:t>о</w:t>
      </w:r>
      <w:r>
        <w:t xml:space="preserve">рожденным. </w:t>
      </w:r>
    </w:p>
    <w:p w:rsidR="00000000" w:rsidRDefault="00000000">
      <w:pPr>
        <w:pStyle w:val="SingleTxt"/>
      </w:pPr>
      <w:r>
        <w:t>Кроме того, дети, родившиеся во время бракоразводного процесса, кот</w:t>
      </w:r>
      <w:r>
        <w:t>о</w:t>
      </w:r>
      <w:r>
        <w:t>рые считаются детьми бывшего мужа их матери, могут в будущем быть пр</w:t>
      </w:r>
      <w:r>
        <w:t>и</w:t>
      </w:r>
      <w:r>
        <w:t>знаны детьми ее нового партнера при помощи более упрощенной процедуры. Для этого необходимо, чтобы все стороны согласились на признание отцовства новым партнером матери. Права матери ребенка расширяются. В будущем именно она (а не ребенок) будет давать согласие на признание отцовства.</w:t>
      </w:r>
    </w:p>
    <w:p w:rsidR="00000000" w:rsidRDefault="00000000">
      <w:pPr>
        <w:pStyle w:val="SingleTxt"/>
      </w:pPr>
      <w:r>
        <w:t>Прежний закон о родительском попечении и праве на общение с ребенком не предусматривал совместного попечения родителей, которые не состоят в браке между собой. Отец незаконнорожденного ребенка мог получить право на отцовское попечение только путем официального объявления отцовства, однако при этом мать теряла право на родительское попечение. Теперь новый закон о родителях и детях предоставляет не состоящим в браке родителям возмо</w:t>
      </w:r>
      <w:r>
        <w:t>ж</w:t>
      </w:r>
      <w:r>
        <w:t>ность совместного родительского попечения. Для этого необходимо, чтобы р</w:t>
      </w:r>
      <w:r>
        <w:t>о</w:t>
      </w:r>
      <w:r>
        <w:t>дители надлежащим образом официально объявили о своем родительском п</w:t>
      </w:r>
      <w:r>
        <w:t>о</w:t>
      </w:r>
      <w:r>
        <w:t>печении. В отсутствие такого объявления право на родительское попечение предоставляется только матери. Новые положения о родительском попечении после разъезда родителей и их развода направлены также на усиление совмес</w:t>
      </w:r>
      <w:r>
        <w:t>т</w:t>
      </w:r>
      <w:r>
        <w:t>ной ответственности родителей. В этих случаях родители будут сохранять пр</w:t>
      </w:r>
      <w:r>
        <w:t>а</w:t>
      </w:r>
      <w:r>
        <w:t>во на совместное родительское попечение, если только один из родителей не обратится с заявлением о предоставлении ему исключительного права род</w:t>
      </w:r>
      <w:r>
        <w:t>и</w:t>
      </w:r>
      <w:r>
        <w:t>тельского п</w:t>
      </w:r>
      <w:r>
        <w:t>о</w:t>
      </w:r>
      <w:r>
        <w:t>печения.</w:t>
      </w:r>
    </w:p>
    <w:p w:rsidR="00000000" w:rsidRDefault="00000000">
      <w:pPr>
        <w:pStyle w:val="SingleTxt"/>
      </w:pPr>
      <w:r>
        <w:rPr>
          <w:u w:val="single"/>
        </w:rPr>
        <w:t>Положения об алиментах</w:t>
      </w:r>
      <w:r>
        <w:t>, которые мать незаконнорожденного ребенка имеет право взыскивать с отца, были расширены в части предварительных у</w:t>
      </w:r>
      <w:r>
        <w:t>с</w:t>
      </w:r>
      <w:r>
        <w:t>ловий для иска и срока действия иска по Закону о внесении изменений в Закон об оказании помощи беременным женщинам и их семьям, который был принят в 1995 году. Согласно Закону о внесении изменений в законодательство о род</w:t>
      </w:r>
      <w:r>
        <w:t>и</w:t>
      </w:r>
      <w:r>
        <w:t>телях и детях, выплата алиментов при определенных условиях может устана</w:t>
      </w:r>
      <w:r>
        <w:t>в</w:t>
      </w:r>
      <w:r>
        <w:t>ливаться на срок, превышающий ныне действующих трехлетний период.</w:t>
      </w:r>
    </w:p>
    <w:p w:rsidR="00000000" w:rsidRDefault="00000000">
      <w:pPr>
        <w:pStyle w:val="SingleTxt"/>
      </w:pPr>
      <w:r>
        <w:t>Закон о внесении изменений в законодательство о родителях и детях н</w:t>
      </w:r>
      <w:r>
        <w:t>а</w:t>
      </w:r>
      <w:r>
        <w:t xml:space="preserve">правлен также на дальнейшее развитие действующего </w:t>
      </w:r>
      <w:r>
        <w:rPr>
          <w:u w:val="single"/>
        </w:rPr>
        <w:t>закона о фамилиях</w:t>
      </w:r>
      <w:r>
        <w:t>. Если родители имеют общую фамилию, то ребенку при рождении также присваив</w:t>
      </w:r>
      <w:r>
        <w:t>а</w:t>
      </w:r>
      <w:r>
        <w:t>ется эта фамилия. Кроме того, по закону о фамилиях в будущем будет учит</w:t>
      </w:r>
      <w:r>
        <w:t>ы</w:t>
      </w:r>
      <w:r>
        <w:t>ваться не разграничение между законнорожденными и незаконнорожденными детьми, а то лицо, на чьем попечении находится ребенок. Если право на род</w:t>
      </w:r>
      <w:r>
        <w:t>и</w:t>
      </w:r>
      <w:r>
        <w:t>тельское попечение имеет только один из родителей, то по закону ребенку при рождении дается фамилия этого родителя. Если ребенок находится на совмес</w:t>
      </w:r>
      <w:r>
        <w:t>т</w:t>
      </w:r>
      <w:r>
        <w:t>ном попечении обоих родителей, родители могут по своему выбору дать этому ребенку при рождении фамилию отца или фамилию мат</w:t>
      </w:r>
      <w:r>
        <w:t>е</w:t>
      </w:r>
      <w:r>
        <w:t>ри.</w:t>
      </w:r>
    </w:p>
    <w:p w:rsidR="00000000" w:rsidRDefault="00000000">
      <w:pPr>
        <w:pStyle w:val="SingleTxt"/>
      </w:pPr>
      <w:r>
        <w:rPr>
          <w:u w:val="single"/>
        </w:rPr>
        <w:t>Закон об отмене юридического опекунства е</w:t>
      </w:r>
      <w:r>
        <w:rPr>
          <w:u w:val="single"/>
          <w:lang w:val="en-US"/>
        </w:rPr>
        <w:t>x</w:t>
      </w:r>
      <w:r>
        <w:rPr>
          <w:u w:val="single"/>
        </w:rPr>
        <w:t xml:space="preserve"> о</w:t>
      </w:r>
      <w:r>
        <w:rPr>
          <w:u w:val="single"/>
          <w:lang w:val="en-US"/>
        </w:rPr>
        <w:t>fficio</w:t>
      </w:r>
      <w:r>
        <w:rPr>
          <w:u w:val="single"/>
        </w:rPr>
        <w:t xml:space="preserve"> и изменении права на юридическую помощь (Закон о юридической помощи),</w:t>
      </w:r>
      <w:r>
        <w:t xml:space="preserve"> который вступил в силу 1 июля 1998 года одновременно с Законом о внесении изменений в законод</w:t>
      </w:r>
      <w:r>
        <w:t>а</w:t>
      </w:r>
      <w:r>
        <w:t>тельство о родителях и детях, предусматривает дальнейшее упрочение полож</w:t>
      </w:r>
      <w:r>
        <w:t>е</w:t>
      </w:r>
      <w:r>
        <w:t>ния женщин. Ранее действовавший в прежних федеральных землях закон пр</w:t>
      </w:r>
      <w:r>
        <w:t>е</w:t>
      </w:r>
      <w:r>
        <w:t>дусматривал, что после рождения незаконнорожденного ребенка Управление по вопросам социального обеспечения молодежи в обычном порядке выступает в качестве опекуна ребенка в некоторых областях юридически регулируемой деятельности, например при установлении отцовства, возбуждении исков об алиментах и обеспечении прав ребенка на наследство и на причитающуюся ему долю наследства в случае смерти отца или его родственников. После отмены положений об опекунстве е</w:t>
      </w:r>
      <w:r>
        <w:rPr>
          <w:lang w:val="en-US"/>
        </w:rPr>
        <w:t>x</w:t>
      </w:r>
      <w:r>
        <w:t xml:space="preserve"> о</w:t>
      </w:r>
      <w:r>
        <w:rPr>
          <w:lang w:val="en-US"/>
        </w:rPr>
        <w:t>fficio</w:t>
      </w:r>
      <w:r>
        <w:t xml:space="preserve"> они были заменены юридической пом</w:t>
      </w:r>
      <w:r>
        <w:t>о</w:t>
      </w:r>
      <w:r>
        <w:t>щью, предоставляемой Управлением по вопросам социального обеспечения молодежи, которое будет заниматься делами об установлении отцовства и и</w:t>
      </w:r>
      <w:r>
        <w:t>с</w:t>
      </w:r>
      <w:r>
        <w:t>ками в отношении алиментов, и к этой помощи могут прибегать все родители, имеющие право на единоличное родительское попечение.</w:t>
      </w:r>
    </w:p>
    <w:p w:rsidR="00000000" w:rsidRDefault="00000000">
      <w:pPr>
        <w:pStyle w:val="SingleTxt"/>
      </w:pPr>
      <w:r>
        <w:t xml:space="preserve">В данном моменте следует также отметить </w:t>
      </w:r>
      <w:r>
        <w:rPr>
          <w:u w:val="single"/>
        </w:rPr>
        <w:t>Закон о защите от насилия</w:t>
      </w:r>
      <w:r>
        <w:t xml:space="preserve"> и </w:t>
      </w:r>
      <w:r>
        <w:rPr>
          <w:u w:val="single"/>
        </w:rPr>
        <w:t>Закон о расширении прав ребенка</w:t>
      </w:r>
      <w:r>
        <w:t xml:space="preserve">, вопрос о которых уже рассматривался в пунктах 2.8 и 2.9 Части </w:t>
      </w:r>
      <w:r>
        <w:rPr>
          <w:lang w:val="en-US"/>
        </w:rPr>
        <w:t>I</w:t>
      </w:r>
      <w:r>
        <w:t>, соответственно.</w:t>
      </w:r>
    </w:p>
    <w:p w:rsidR="00000000" w:rsidRDefault="00000000">
      <w:pPr>
        <w:pStyle w:val="H23"/>
      </w:pPr>
      <w:bookmarkStart w:id="641" w:name="_Toc44113548"/>
      <w:bookmarkStart w:id="642" w:name="_Toc44113849"/>
      <w:bookmarkStart w:id="643" w:name="_Toc44114357"/>
      <w:bookmarkStart w:id="644" w:name="_Toc44115602"/>
      <w:bookmarkStart w:id="645" w:name="_Toc44116034"/>
      <w:r>
        <w:t>16.2</w:t>
      </w:r>
      <w:r>
        <w:tab/>
        <w:t>Закон о наследовании и алиментах</w:t>
      </w:r>
      <w:bookmarkEnd w:id="641"/>
      <w:bookmarkEnd w:id="642"/>
      <w:bookmarkEnd w:id="643"/>
      <w:bookmarkEnd w:id="644"/>
      <w:bookmarkEnd w:id="645"/>
    </w:p>
    <w:p w:rsidR="00000000" w:rsidRDefault="00000000">
      <w:pPr>
        <w:pStyle w:val="SingleTxt"/>
      </w:pPr>
      <w:r>
        <w:t xml:space="preserve">С принятием </w:t>
      </w:r>
      <w:r>
        <w:rPr>
          <w:u w:val="single"/>
        </w:rPr>
        <w:t>Закона о равных возможностях по закону о наследовании</w:t>
      </w:r>
      <w:r>
        <w:t>, который также вступил в силу 1 апреля 1998 года, ребенок, отец которого не женат на его матери, имеет полное право на наследование, также как и другие родственники его отца. До этого ребенок, отец которого не был женат на его матери, имел право только на финансовое возмещение в порядке наследования.</w:t>
      </w:r>
    </w:p>
    <w:p w:rsidR="00000000" w:rsidRDefault="00000000">
      <w:pPr>
        <w:pStyle w:val="SingleTxt"/>
      </w:pPr>
      <w:r>
        <w:t>Подача матерью иска на алименты от отца главным образом регулируется той частью гражданского кодекса, которая четко определяет случаи, когда р</w:t>
      </w:r>
      <w:r>
        <w:t>о</w:t>
      </w:r>
      <w:r>
        <w:t>дители ребенка не состоят в браке («Специальные положения для детей и р</w:t>
      </w:r>
      <w:r>
        <w:t>о</w:t>
      </w:r>
      <w:r>
        <w:t>дителей, не состоящих в браке», разделы 1615а, 1615</w:t>
      </w:r>
      <w:r>
        <w:rPr>
          <w:lang w:val="en-US"/>
        </w:rPr>
        <w:t>l</w:t>
      </w:r>
      <w:r>
        <w:t>, 1615</w:t>
      </w:r>
      <w:r>
        <w:rPr>
          <w:lang w:val="en-US"/>
        </w:rPr>
        <w:t>m</w:t>
      </w:r>
      <w:r>
        <w:t>, 1615</w:t>
      </w:r>
      <w:r>
        <w:rPr>
          <w:lang w:val="en-US"/>
        </w:rPr>
        <w:t>n</w:t>
      </w:r>
      <w:r>
        <w:t xml:space="preserve"> и 1615о Гражданского кодекса). Ребенок имеет также возможность получения време</w:t>
      </w:r>
      <w:r>
        <w:t>н</w:t>
      </w:r>
      <w:r>
        <w:t>ного судебного запрета в отношении отца, который должен выплачивать ал</w:t>
      </w:r>
      <w:r>
        <w:t>и</w:t>
      </w:r>
      <w:r>
        <w:t>менты. Заявление на вынесение такого временного судебного запрета может быть представлено и матерью до рождения ребенка. Цель данного положения – гарантировать, чтобы ребенок получал свои выплаты по уходу за ним своевр</w:t>
      </w:r>
      <w:r>
        <w:t>е</w:t>
      </w:r>
      <w:r>
        <w:t>менно и чтобы не происходило задержек, связанных с откладыванием провед</w:t>
      </w:r>
      <w:r>
        <w:t>е</w:t>
      </w:r>
      <w:r>
        <w:t>ния непростых судебных разбирательств.</w:t>
      </w:r>
    </w:p>
    <w:p w:rsidR="00000000" w:rsidRDefault="00000000">
      <w:pPr>
        <w:pStyle w:val="SingleTxt"/>
      </w:pPr>
      <w:r>
        <w:t>Если родители ребенка не состоят в браке, то мать имеет право потреб</w:t>
      </w:r>
      <w:r>
        <w:t>о</w:t>
      </w:r>
      <w:r>
        <w:t>вать от отца выплаты соответствующих алиментов.</w:t>
      </w:r>
    </w:p>
    <w:p w:rsidR="00000000" w:rsidRDefault="00000000">
      <w:pPr>
        <w:pStyle w:val="SingleTxt"/>
      </w:pPr>
      <w:r>
        <w:t>Отец обязан выплачивать матери алименты на ребенка в течение шести недель до и восьми недель после рождения ребенка. Отец обязан также опл</w:t>
      </w:r>
      <w:r>
        <w:t>а</w:t>
      </w:r>
      <w:r>
        <w:t>чивать расходы, понесенные вне этого периода в результате беременности или рождения ребенка (ра</w:t>
      </w:r>
      <w:r>
        <w:t>з</w:t>
      </w:r>
      <w:r>
        <w:t>дел 1615</w:t>
      </w:r>
      <w:r>
        <w:rPr>
          <w:lang w:val="en-US"/>
        </w:rPr>
        <w:t>l</w:t>
      </w:r>
      <w:r>
        <w:t>, пункт 1 Гражданского кодекса).</w:t>
      </w:r>
    </w:p>
    <w:p w:rsidR="00000000" w:rsidRDefault="00000000">
      <w:pPr>
        <w:pStyle w:val="SingleTxt"/>
      </w:pPr>
      <w:r>
        <w:t>Кроме того, отец обязан вне данного периода выплачивать матери алиме</w:t>
      </w:r>
      <w:r>
        <w:t>н</w:t>
      </w:r>
      <w:r>
        <w:t>ты, если в результате беременности или болезни, вызванной беременностью или же родами, она не может заниматься оплачиваемой работой или же если она не может рассчитывать на оплачиваемую работу в связи с уходом за ребе</w:t>
      </w:r>
      <w:r>
        <w:t>н</w:t>
      </w:r>
      <w:r>
        <w:t>ком или его воспитанием. Обязанность выплачивать такие алименты возникает не ранее четырех месяцев до рождения ребенка; действие ее прекращается спустя три года после рождения, если только, учитывая, в частности, интересы ребенка, было бы крайне несправедливо отказать в продлении срока выплаты алиментов по завершении этого периода.</w:t>
      </w:r>
    </w:p>
    <w:p w:rsidR="00000000" w:rsidRDefault="00000000">
      <w:pPr>
        <w:pStyle w:val="SingleTxt"/>
      </w:pPr>
      <w:r>
        <w:t>Такое основное ограничение тремя годами права на получение алиментов объясняется тем, что изначально отец несет совместную ответственность за ребенка. Как правило нет необходимо в том, чтобы мать с утра до вечера зан</w:t>
      </w:r>
      <w:r>
        <w:t>и</w:t>
      </w:r>
      <w:r>
        <w:t>малась своим ребенком после того, как ему исполнится три года. Опыт показ</w:t>
      </w:r>
      <w:r>
        <w:t>ы</w:t>
      </w:r>
      <w:r>
        <w:t>вает, что обучение ребенка, достигшего трехлетнего возраста, гарантировано, если он помещен в детский сад. Такая возможность имеется, поскольку с трех лет ребенок имеет право на посещение детского сада.</w:t>
      </w:r>
    </w:p>
    <w:p w:rsidR="00000000" w:rsidRDefault="00000000">
      <w:pPr>
        <w:pStyle w:val="SingleTxt"/>
      </w:pPr>
      <w:r>
        <w:t>Ограничение права на получение алиментов тремя годами перестает де</w:t>
      </w:r>
      <w:r>
        <w:t>й</w:t>
      </w:r>
      <w:r>
        <w:t>ствовать, если это было бы крайне несправедливым, учитывая интересы ребе</w:t>
      </w:r>
      <w:r>
        <w:t>н</w:t>
      </w:r>
      <w:r>
        <w:t>ка. Это означает, что иск на востребование можно продлить после истечения трехлетнего периода, если особые интересы ребенка требуют того, чтобы род</w:t>
      </w:r>
      <w:r>
        <w:t>и</w:t>
      </w:r>
      <w:r>
        <w:t>тели проявляли больше солидарности. Это может объясняться, например, и</w:t>
      </w:r>
      <w:r>
        <w:t>н</w:t>
      </w:r>
      <w:r>
        <w:t>валидностью ребенка или же отсутствием каких либо иных подходящих усл</w:t>
      </w:r>
      <w:r>
        <w:t>о</w:t>
      </w:r>
      <w:r>
        <w:t>вий для ухода за ним.</w:t>
      </w:r>
    </w:p>
    <w:p w:rsidR="00000000" w:rsidRDefault="00000000">
      <w:pPr>
        <w:pStyle w:val="SingleTxt"/>
      </w:pPr>
      <w:r>
        <w:t>В случае наличия всех этих предварительных условий отец обязан выпл</w:t>
      </w:r>
      <w:r>
        <w:t>а</w:t>
      </w:r>
      <w:r>
        <w:t>чивать алименты, в равной степени также как и все другие законом устано</w:t>
      </w:r>
      <w:r>
        <w:t>в</w:t>
      </w:r>
      <w:r>
        <w:t>ленные алименты, на которые имеет право ребенок и мать.</w:t>
      </w:r>
    </w:p>
    <w:p w:rsidR="00000000" w:rsidRDefault="00000000">
      <w:pPr>
        <w:pStyle w:val="HCh"/>
        <w:pageBreakBefore/>
        <w:spacing w:before="0"/>
      </w:pPr>
      <w:bookmarkStart w:id="646" w:name="_Toc44113549"/>
      <w:bookmarkStart w:id="647" w:name="_Toc44113850"/>
      <w:bookmarkStart w:id="648" w:name="_Toc44114358"/>
      <w:bookmarkStart w:id="649" w:name="_Toc44115603"/>
      <w:bookmarkStart w:id="650" w:name="_Toc44116035"/>
      <w:r>
        <w:t>Приложения</w:t>
      </w:r>
      <w:bookmarkEnd w:id="646"/>
      <w:bookmarkEnd w:id="647"/>
      <w:bookmarkEnd w:id="648"/>
      <w:bookmarkEnd w:id="649"/>
      <w:bookmarkEnd w:id="65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35"/>
          <w:tab w:val="left" w:pos="4536"/>
        </w:tabs>
        <w:spacing w:before="240"/>
        <w:ind w:firstLine="0"/>
        <w:rPr>
          <w:b/>
        </w:rPr>
      </w:pPr>
      <w:r>
        <w:rPr>
          <w:b/>
        </w:rPr>
        <w:t xml:space="preserve">Приложение </w:t>
      </w:r>
      <w:r>
        <w:rPr>
          <w:b/>
          <w:lang w:val="en-US"/>
        </w:rPr>
        <w:t>I</w:t>
      </w:r>
      <w:r>
        <w:rPr>
          <w:b/>
        </w:rPr>
        <w:tab/>
        <w:t>Таблицы и диаграммы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35"/>
          <w:tab w:val="left" w:pos="4536"/>
        </w:tabs>
        <w:ind w:firstLine="0"/>
      </w:pPr>
      <w:r>
        <w:tab/>
        <w:t>Таблицы 1 и 2:</w:t>
      </w:r>
      <w:r>
        <w:tab/>
        <w:t>Население в Германии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35"/>
          <w:tab w:val="left" w:pos="4536"/>
        </w:tabs>
        <w:ind w:firstLine="0"/>
      </w:pPr>
      <w:r>
        <w:tab/>
        <w:t>Таблица 3:</w:t>
      </w:r>
      <w:r>
        <w:tab/>
        <w:t>Женщины на оплачиваемой работе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35"/>
          <w:tab w:val="left" w:pos="4536"/>
        </w:tabs>
        <w:ind w:firstLine="0"/>
      </w:pPr>
      <w:r>
        <w:tab/>
        <w:t>Таблица 4:</w:t>
      </w:r>
      <w:r>
        <w:tab/>
        <w:t>Женщины в секторе образования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35"/>
          <w:tab w:val="left" w:pos="4536"/>
        </w:tabs>
        <w:spacing w:before="240"/>
        <w:ind w:left="2835" w:hanging="1571"/>
        <w:rPr>
          <w:b/>
        </w:rPr>
      </w:pPr>
      <w:r>
        <w:rPr>
          <w:b/>
        </w:rPr>
        <w:t xml:space="preserve">Приложение </w:t>
      </w:r>
      <w:r>
        <w:rPr>
          <w:b/>
          <w:lang w:val="en-US"/>
        </w:rPr>
        <w:t>II</w:t>
      </w:r>
      <w:r>
        <w:rPr>
          <w:b/>
        </w:rPr>
        <w:tab/>
        <w:t>Обзор мер, принятых с 1998 года для реализации конце</w:t>
      </w:r>
      <w:r>
        <w:rPr>
          <w:b/>
        </w:rPr>
        <w:t>п</w:t>
      </w:r>
      <w:r>
        <w:rPr>
          <w:b/>
        </w:rPr>
        <w:t>ции равноправия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119" w:hanging="284"/>
      </w:pPr>
      <w:r>
        <w:t>1.</w:t>
      </w:r>
      <w:r>
        <w:tab/>
        <w:t>Законодательные положения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119" w:hanging="284"/>
      </w:pPr>
      <w:r>
        <w:t>2.</w:t>
      </w:r>
      <w:r>
        <w:tab/>
        <w:t>Другие важные мероприятия и события, связанные с пол</w:t>
      </w:r>
      <w:r>
        <w:t>и</w:t>
      </w:r>
      <w:r>
        <w:t>тикой обеспечения равных прав (принятые после мая 1998 года)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119" w:hanging="284"/>
      </w:pPr>
      <w:r>
        <w:t>3.</w:t>
      </w:r>
      <w:r>
        <w:tab/>
        <w:t>Меры, осуществляемые советами равных возможностей земель</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544" w:hanging="425"/>
      </w:pPr>
      <w:r>
        <w:t>3.1</w:t>
      </w:r>
      <w:r>
        <w:tab/>
        <w:t>Основная направленность работы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544" w:hanging="425"/>
      </w:pPr>
      <w:r>
        <w:t>3.2</w:t>
      </w:r>
      <w:r>
        <w:tab/>
        <w:t>Общие и специальные меры и программы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119" w:hanging="284"/>
      </w:pPr>
      <w:r>
        <w:t>4.</w:t>
      </w:r>
      <w:r>
        <w:tab/>
        <w:t>Публикации Федерального министерства по делам семьи, престарелых, женщин и молодежи по вопросам политики обеспечения равноправия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544" w:hanging="425"/>
      </w:pPr>
      <w:r>
        <w:t>4.1</w:t>
      </w:r>
      <w:r>
        <w:tab/>
        <w:t>Серии публикаций Федерального министерства по д</w:t>
      </w:r>
      <w:r>
        <w:t>е</w:t>
      </w:r>
      <w:r>
        <w:t>лам семьи, престар</w:t>
      </w:r>
      <w:r>
        <w:t>е</w:t>
      </w:r>
      <w:r>
        <w:t>лых, женщин и молодежи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544" w:hanging="425"/>
      </w:pPr>
      <w:r>
        <w:t>4.2</w:t>
      </w:r>
      <w:r>
        <w:tab/>
        <w:t>Брошюры, доклады, документы и материалы по в</w:t>
      </w:r>
      <w:r>
        <w:t>о</w:t>
      </w:r>
      <w:r>
        <w:t>просам политики в области равноправия, выпуска</w:t>
      </w:r>
      <w:r>
        <w:t>е</w:t>
      </w:r>
      <w:r>
        <w:t>мые Федеральным министерством по делам семьи, прест</w:t>
      </w:r>
      <w:r>
        <w:t>а</w:t>
      </w:r>
      <w:r>
        <w:t>релых, женщин и детей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536"/>
        </w:tabs>
        <w:ind w:left="3119" w:hanging="284"/>
      </w:pPr>
      <w:r>
        <w:t>5.</w:t>
      </w:r>
      <w:r>
        <w:tab/>
        <w:t>Выпущенные другими федеральными министерствами и учреждениями пу</w:t>
      </w:r>
      <w:r>
        <w:t>б</w:t>
      </w:r>
      <w:r>
        <w:t>ликации по вопросам равноправия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35"/>
          <w:tab w:val="left" w:pos="4536"/>
        </w:tabs>
        <w:spacing w:before="240"/>
        <w:ind w:left="2835" w:hanging="1571"/>
        <w:rPr>
          <w:b/>
        </w:rPr>
      </w:pPr>
      <w:r>
        <w:rPr>
          <w:b/>
        </w:rPr>
        <w:t xml:space="preserve">Приложение </w:t>
      </w:r>
      <w:r>
        <w:rPr>
          <w:b/>
          <w:lang w:val="en-US"/>
        </w:rPr>
        <w:t>III</w:t>
      </w:r>
      <w:r>
        <w:rPr>
          <w:b/>
        </w:rPr>
        <w:tab/>
        <w:t>Рассмотрение докладов Комитета по ликвидации дискр</w:t>
      </w:r>
      <w:r>
        <w:rPr>
          <w:b/>
        </w:rPr>
        <w:t>и</w:t>
      </w:r>
      <w:r>
        <w:rPr>
          <w:b/>
        </w:rPr>
        <w:t>минации в отношении женщин от 1 февраля 2000 года</w:t>
      </w:r>
    </w:p>
    <w:p w:rsidR="00000000" w:rsidRDefault="00000000">
      <w:pPr>
        <w:pStyle w:val="HCh"/>
      </w:pPr>
      <w:r>
        <w:br w:type="page"/>
      </w:r>
      <w:bookmarkStart w:id="651" w:name="_Toc44113550"/>
      <w:bookmarkStart w:id="652" w:name="_Toc44113851"/>
      <w:bookmarkStart w:id="653" w:name="_Toc44114359"/>
      <w:bookmarkStart w:id="654" w:name="_Toc44115604"/>
      <w:bookmarkStart w:id="655" w:name="_Toc44116036"/>
      <w:r>
        <w:t xml:space="preserve">Приложение </w:t>
      </w:r>
      <w:r>
        <w:rPr>
          <w:lang w:val="en-US"/>
        </w:rPr>
        <w:t>I</w:t>
      </w:r>
      <w:r>
        <w:t>: Таблицы и диаграммы</w:t>
      </w:r>
      <w:bookmarkEnd w:id="651"/>
      <w:bookmarkEnd w:id="652"/>
      <w:bookmarkEnd w:id="653"/>
      <w:bookmarkEnd w:id="654"/>
      <w:bookmarkEnd w:id="655"/>
    </w:p>
    <w:p w:rsidR="00000000" w:rsidRDefault="00000000">
      <w:pPr>
        <w:pStyle w:val="H23"/>
      </w:pPr>
      <w:bookmarkStart w:id="656" w:name="_Toc44113551"/>
      <w:bookmarkStart w:id="657" w:name="_Toc44113852"/>
      <w:bookmarkStart w:id="658" w:name="_Toc44114360"/>
      <w:bookmarkStart w:id="659" w:name="_Toc44115605"/>
      <w:bookmarkStart w:id="660" w:name="_Toc44116037"/>
      <w:r>
        <w:t>Население Германии</w:t>
      </w:r>
      <w:bookmarkEnd w:id="656"/>
      <w:bookmarkEnd w:id="657"/>
      <w:bookmarkEnd w:id="658"/>
      <w:bookmarkEnd w:id="659"/>
      <w:bookmarkEnd w:id="660"/>
    </w:p>
    <w:p w:rsidR="00000000" w:rsidRDefault="00000000">
      <w:pPr>
        <w:pStyle w:val="H23"/>
      </w:pPr>
      <w:bookmarkStart w:id="661" w:name="_Toc44113552"/>
      <w:bookmarkStart w:id="662" w:name="_Toc44113853"/>
      <w:bookmarkStart w:id="663" w:name="_Toc44114361"/>
      <w:bookmarkStart w:id="664" w:name="_Toc44115606"/>
      <w:bookmarkStart w:id="665" w:name="_Toc44116038"/>
      <w:r>
        <w:t>Таблица 1: Возрастная структура (по состоянию на 31 декабря 2000 года)</w:t>
      </w:r>
      <w:bookmarkEnd w:id="661"/>
      <w:bookmarkEnd w:id="662"/>
      <w:bookmarkEnd w:id="663"/>
      <w:bookmarkEnd w:id="664"/>
      <w:bookmarkEnd w:id="665"/>
    </w:p>
    <w:tbl>
      <w:tblPr>
        <w:tblW w:w="0" w:type="auto"/>
        <w:tblInd w:w="1158" w:type="dxa"/>
        <w:tblLayout w:type="fixed"/>
        <w:tblLook w:val="0000" w:firstRow="0" w:lastRow="0" w:firstColumn="0" w:lastColumn="0" w:noHBand="0" w:noVBand="0"/>
      </w:tblPr>
      <w:tblGrid>
        <w:gridCol w:w="1857"/>
        <w:gridCol w:w="1337"/>
        <w:gridCol w:w="1338"/>
        <w:gridCol w:w="1338"/>
        <w:gridCol w:w="1338"/>
      </w:tblGrid>
      <w:tr w:rsidR="00000000">
        <w:tblPrEx>
          <w:tblCellMar>
            <w:top w:w="0" w:type="dxa"/>
            <w:bottom w:w="0" w:type="dxa"/>
          </w:tblCellMar>
        </w:tblPrEx>
        <w:trPr>
          <w:cantSplit/>
        </w:trPr>
        <w:tc>
          <w:tcPr>
            <w:tcW w:w="1857" w:type="dxa"/>
            <w:vMerge w:val="restart"/>
            <w:tcBorders>
              <w:top w:val="single" w:sz="4" w:space="0" w:color="auto"/>
            </w:tcBorders>
            <w:vAlign w:val="center"/>
          </w:tcPr>
          <w:p w:rsidR="00000000" w:rsidRDefault="00000000">
            <w:pPr>
              <w:pStyle w:val="table"/>
              <w:jc w:val="center"/>
              <w:rPr>
                <w:i/>
              </w:rPr>
            </w:pPr>
            <w:r>
              <w:rPr>
                <w:i/>
              </w:rPr>
              <w:t>Возрастная группа</w:t>
            </w:r>
          </w:p>
        </w:tc>
        <w:tc>
          <w:tcPr>
            <w:tcW w:w="2675" w:type="dxa"/>
            <w:gridSpan w:val="2"/>
            <w:tcBorders>
              <w:top w:val="single" w:sz="4" w:space="0" w:color="auto"/>
              <w:bottom w:val="single" w:sz="4" w:space="0" w:color="auto"/>
            </w:tcBorders>
            <w:vAlign w:val="center"/>
          </w:tcPr>
          <w:p w:rsidR="00000000" w:rsidRDefault="00000000">
            <w:pPr>
              <w:pStyle w:val="table"/>
              <w:jc w:val="center"/>
              <w:rPr>
                <w:i/>
              </w:rPr>
            </w:pPr>
            <w:r>
              <w:rPr>
                <w:i/>
              </w:rPr>
              <w:t>Женщины</w:t>
            </w:r>
          </w:p>
        </w:tc>
        <w:tc>
          <w:tcPr>
            <w:tcW w:w="2676" w:type="dxa"/>
            <w:gridSpan w:val="2"/>
            <w:tcBorders>
              <w:top w:val="single" w:sz="4" w:space="0" w:color="auto"/>
              <w:bottom w:val="single" w:sz="4" w:space="0" w:color="auto"/>
            </w:tcBorders>
            <w:vAlign w:val="center"/>
          </w:tcPr>
          <w:p w:rsidR="00000000" w:rsidRDefault="00000000">
            <w:pPr>
              <w:pStyle w:val="table"/>
              <w:jc w:val="center"/>
              <w:rPr>
                <w:i/>
              </w:rPr>
            </w:pPr>
            <w:r>
              <w:rPr>
                <w:i/>
              </w:rPr>
              <w:t>Мужчины</w:t>
            </w:r>
          </w:p>
        </w:tc>
      </w:tr>
      <w:tr w:rsidR="00000000">
        <w:tblPrEx>
          <w:tblCellMar>
            <w:top w:w="0" w:type="dxa"/>
            <w:bottom w:w="0" w:type="dxa"/>
          </w:tblCellMar>
        </w:tblPrEx>
        <w:trPr>
          <w:cantSplit/>
        </w:trPr>
        <w:tc>
          <w:tcPr>
            <w:tcW w:w="1857" w:type="dxa"/>
            <w:vMerge/>
            <w:tcBorders>
              <w:bottom w:val="single" w:sz="12" w:space="0" w:color="auto"/>
            </w:tcBorders>
            <w:vAlign w:val="center"/>
          </w:tcPr>
          <w:p w:rsidR="00000000" w:rsidRDefault="00000000">
            <w:pPr>
              <w:pStyle w:val="table"/>
              <w:jc w:val="center"/>
              <w:rPr>
                <w:i/>
              </w:rPr>
            </w:pPr>
          </w:p>
        </w:tc>
        <w:tc>
          <w:tcPr>
            <w:tcW w:w="1337"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338" w:type="dxa"/>
            <w:tcBorders>
              <w:top w:val="single" w:sz="4" w:space="0" w:color="auto"/>
              <w:bottom w:val="single" w:sz="12" w:space="0" w:color="auto"/>
            </w:tcBorders>
            <w:vAlign w:val="center"/>
          </w:tcPr>
          <w:p w:rsidR="00000000" w:rsidRDefault="00000000">
            <w:pPr>
              <w:pStyle w:val="table"/>
              <w:jc w:val="center"/>
              <w:rPr>
                <w:i/>
              </w:rPr>
            </w:pPr>
            <w:r>
              <w:rPr>
                <w:i/>
              </w:rPr>
              <w:t>Доля в общей численности нас</w:t>
            </w:r>
            <w:r>
              <w:rPr>
                <w:i/>
              </w:rPr>
              <w:t>е</w:t>
            </w:r>
            <w:r>
              <w:rPr>
                <w:i/>
              </w:rPr>
              <w:t>ления</w:t>
            </w:r>
          </w:p>
        </w:tc>
        <w:tc>
          <w:tcPr>
            <w:tcW w:w="1338"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338" w:type="dxa"/>
            <w:tcBorders>
              <w:top w:val="single" w:sz="4" w:space="0" w:color="auto"/>
              <w:bottom w:val="single" w:sz="12" w:space="0" w:color="auto"/>
            </w:tcBorders>
            <w:vAlign w:val="center"/>
          </w:tcPr>
          <w:p w:rsidR="00000000" w:rsidRDefault="00000000">
            <w:pPr>
              <w:pStyle w:val="table"/>
              <w:jc w:val="center"/>
              <w:rPr>
                <w:i/>
              </w:rPr>
            </w:pPr>
            <w:r>
              <w:rPr>
                <w:i/>
              </w:rPr>
              <w:t>Доля в общей численности н</w:t>
            </w:r>
            <w:r>
              <w:rPr>
                <w:i/>
              </w:rPr>
              <w:t>а</w:t>
            </w:r>
            <w:r>
              <w:rPr>
                <w:i/>
              </w:rPr>
              <w:t>селения</w:t>
            </w:r>
          </w:p>
        </w:tc>
      </w:tr>
      <w:tr w:rsidR="00000000">
        <w:tblPrEx>
          <w:tblCellMar>
            <w:top w:w="0" w:type="dxa"/>
            <w:bottom w:w="0" w:type="dxa"/>
          </w:tblCellMar>
        </w:tblPrEx>
        <w:tc>
          <w:tcPr>
            <w:tcW w:w="1857" w:type="dxa"/>
            <w:tcBorders>
              <w:top w:val="single" w:sz="12" w:space="0" w:color="auto"/>
            </w:tcBorders>
          </w:tcPr>
          <w:p w:rsidR="00000000" w:rsidRDefault="00000000">
            <w:pPr>
              <w:pStyle w:val="table"/>
            </w:pPr>
            <w:r>
              <w:t>0–18 лет</w:t>
            </w:r>
          </w:p>
        </w:tc>
        <w:tc>
          <w:tcPr>
            <w:tcW w:w="1337" w:type="dxa"/>
            <w:tcBorders>
              <w:top w:val="single" w:sz="12" w:space="0" w:color="auto"/>
            </w:tcBorders>
          </w:tcPr>
          <w:p w:rsidR="00000000" w:rsidRDefault="00000000">
            <w:pPr>
              <w:pStyle w:val="table"/>
              <w:tabs>
                <w:tab w:val="decimal" w:pos="567"/>
              </w:tabs>
            </w:pPr>
            <w:r>
              <w:t>7,5 млн.</w:t>
            </w:r>
          </w:p>
        </w:tc>
        <w:tc>
          <w:tcPr>
            <w:tcW w:w="1338" w:type="dxa"/>
            <w:tcBorders>
              <w:top w:val="single" w:sz="12" w:space="0" w:color="auto"/>
            </w:tcBorders>
          </w:tcPr>
          <w:p w:rsidR="00000000" w:rsidRDefault="00000000">
            <w:pPr>
              <w:pStyle w:val="table"/>
              <w:tabs>
                <w:tab w:val="decimal" w:pos="567"/>
              </w:tabs>
            </w:pPr>
            <w:r>
              <w:t>9,2%</w:t>
            </w:r>
          </w:p>
        </w:tc>
        <w:tc>
          <w:tcPr>
            <w:tcW w:w="1338" w:type="dxa"/>
            <w:tcBorders>
              <w:top w:val="single" w:sz="12" w:space="0" w:color="auto"/>
            </w:tcBorders>
          </w:tcPr>
          <w:p w:rsidR="00000000" w:rsidRDefault="00000000">
            <w:pPr>
              <w:pStyle w:val="table"/>
              <w:tabs>
                <w:tab w:val="decimal" w:pos="567"/>
              </w:tabs>
            </w:pPr>
            <w:r>
              <w:t>8,0 млн.</w:t>
            </w:r>
          </w:p>
        </w:tc>
        <w:tc>
          <w:tcPr>
            <w:tcW w:w="1338" w:type="dxa"/>
            <w:tcBorders>
              <w:top w:val="single" w:sz="12" w:space="0" w:color="auto"/>
            </w:tcBorders>
          </w:tcPr>
          <w:p w:rsidR="00000000" w:rsidRDefault="00000000">
            <w:pPr>
              <w:pStyle w:val="table"/>
              <w:tabs>
                <w:tab w:val="decimal" w:pos="567"/>
              </w:tabs>
            </w:pPr>
            <w:r>
              <w:t>9,7%</w:t>
            </w:r>
          </w:p>
        </w:tc>
      </w:tr>
      <w:tr w:rsidR="00000000">
        <w:tblPrEx>
          <w:tblCellMar>
            <w:top w:w="0" w:type="dxa"/>
            <w:bottom w:w="0" w:type="dxa"/>
          </w:tblCellMar>
        </w:tblPrEx>
        <w:tc>
          <w:tcPr>
            <w:tcW w:w="1857" w:type="dxa"/>
          </w:tcPr>
          <w:p w:rsidR="00000000" w:rsidRDefault="00000000">
            <w:pPr>
              <w:pStyle w:val="table"/>
            </w:pPr>
            <w:r>
              <w:t>18–45 лет</w:t>
            </w:r>
          </w:p>
        </w:tc>
        <w:tc>
          <w:tcPr>
            <w:tcW w:w="1337" w:type="dxa"/>
          </w:tcPr>
          <w:p w:rsidR="00000000" w:rsidRDefault="00000000">
            <w:pPr>
              <w:pStyle w:val="table"/>
              <w:tabs>
                <w:tab w:val="decimal" w:pos="567"/>
              </w:tabs>
            </w:pPr>
            <w:r>
              <w:t>15,5 млн.</w:t>
            </w:r>
          </w:p>
        </w:tc>
        <w:tc>
          <w:tcPr>
            <w:tcW w:w="1338" w:type="dxa"/>
          </w:tcPr>
          <w:p w:rsidR="00000000" w:rsidRDefault="00000000">
            <w:pPr>
              <w:pStyle w:val="table"/>
              <w:tabs>
                <w:tab w:val="decimal" w:pos="567"/>
              </w:tabs>
            </w:pPr>
            <w:r>
              <w:t>18,8%</w:t>
            </w:r>
          </w:p>
        </w:tc>
        <w:tc>
          <w:tcPr>
            <w:tcW w:w="1338" w:type="dxa"/>
          </w:tcPr>
          <w:p w:rsidR="00000000" w:rsidRDefault="00000000">
            <w:pPr>
              <w:pStyle w:val="table"/>
              <w:tabs>
                <w:tab w:val="decimal" w:pos="567"/>
              </w:tabs>
            </w:pPr>
            <w:r>
              <w:t>16,3 млн.</w:t>
            </w:r>
          </w:p>
        </w:tc>
        <w:tc>
          <w:tcPr>
            <w:tcW w:w="1338" w:type="dxa"/>
          </w:tcPr>
          <w:p w:rsidR="00000000" w:rsidRDefault="00000000">
            <w:pPr>
              <w:pStyle w:val="table"/>
              <w:tabs>
                <w:tab w:val="decimal" w:pos="567"/>
              </w:tabs>
            </w:pPr>
            <w:r>
              <w:t>19,8%</w:t>
            </w:r>
          </w:p>
        </w:tc>
      </w:tr>
      <w:tr w:rsidR="00000000">
        <w:tblPrEx>
          <w:tblCellMar>
            <w:top w:w="0" w:type="dxa"/>
            <w:bottom w:w="0" w:type="dxa"/>
          </w:tblCellMar>
        </w:tblPrEx>
        <w:tc>
          <w:tcPr>
            <w:tcW w:w="1857" w:type="dxa"/>
          </w:tcPr>
          <w:p w:rsidR="00000000" w:rsidRDefault="00000000">
            <w:pPr>
              <w:pStyle w:val="table"/>
            </w:pPr>
            <w:r>
              <w:t>45–65 лет</w:t>
            </w:r>
          </w:p>
        </w:tc>
        <w:tc>
          <w:tcPr>
            <w:tcW w:w="1337" w:type="dxa"/>
          </w:tcPr>
          <w:p w:rsidR="00000000" w:rsidRDefault="00000000">
            <w:pPr>
              <w:pStyle w:val="table"/>
              <w:tabs>
                <w:tab w:val="decimal" w:pos="567"/>
              </w:tabs>
            </w:pPr>
            <w:r>
              <w:t>10,7 млн.</w:t>
            </w:r>
          </w:p>
        </w:tc>
        <w:tc>
          <w:tcPr>
            <w:tcW w:w="1338" w:type="dxa"/>
          </w:tcPr>
          <w:p w:rsidR="00000000" w:rsidRDefault="00000000">
            <w:pPr>
              <w:pStyle w:val="table"/>
              <w:tabs>
                <w:tab w:val="decimal" w:pos="567"/>
              </w:tabs>
            </w:pPr>
            <w:r>
              <w:t>13,0%</w:t>
            </w:r>
          </w:p>
        </w:tc>
        <w:tc>
          <w:tcPr>
            <w:tcW w:w="1338" w:type="dxa"/>
          </w:tcPr>
          <w:p w:rsidR="00000000" w:rsidRDefault="00000000">
            <w:pPr>
              <w:pStyle w:val="table"/>
              <w:tabs>
                <w:tab w:val="decimal" w:pos="567"/>
              </w:tabs>
            </w:pPr>
            <w:r>
              <w:t>10,6 млн.</w:t>
            </w:r>
          </w:p>
        </w:tc>
        <w:tc>
          <w:tcPr>
            <w:tcW w:w="1338" w:type="dxa"/>
          </w:tcPr>
          <w:p w:rsidR="00000000" w:rsidRDefault="00000000">
            <w:pPr>
              <w:pStyle w:val="table"/>
              <w:tabs>
                <w:tab w:val="decimal" w:pos="567"/>
              </w:tabs>
            </w:pPr>
            <w:r>
              <w:t>12,9%</w:t>
            </w:r>
          </w:p>
        </w:tc>
      </w:tr>
      <w:tr w:rsidR="00000000">
        <w:tblPrEx>
          <w:tblCellMar>
            <w:top w:w="0" w:type="dxa"/>
            <w:bottom w:w="0" w:type="dxa"/>
          </w:tblCellMar>
        </w:tblPrEx>
        <w:tc>
          <w:tcPr>
            <w:tcW w:w="1857" w:type="dxa"/>
            <w:tcBorders>
              <w:bottom w:val="single" w:sz="12" w:space="0" w:color="auto"/>
            </w:tcBorders>
          </w:tcPr>
          <w:p w:rsidR="00000000" w:rsidRDefault="00000000">
            <w:pPr>
              <w:pStyle w:val="table"/>
            </w:pPr>
            <w:r>
              <w:t>Старше 65 лет</w:t>
            </w:r>
          </w:p>
        </w:tc>
        <w:tc>
          <w:tcPr>
            <w:tcW w:w="1337" w:type="dxa"/>
            <w:tcBorders>
              <w:bottom w:val="single" w:sz="12" w:space="0" w:color="auto"/>
            </w:tcBorders>
          </w:tcPr>
          <w:p w:rsidR="00000000" w:rsidRDefault="00000000">
            <w:pPr>
              <w:pStyle w:val="table"/>
              <w:tabs>
                <w:tab w:val="decimal" w:pos="567"/>
              </w:tabs>
            </w:pPr>
            <w:r>
              <w:t>8,4 млн.</w:t>
            </w:r>
          </w:p>
        </w:tc>
        <w:tc>
          <w:tcPr>
            <w:tcW w:w="1338" w:type="dxa"/>
            <w:tcBorders>
              <w:bottom w:val="single" w:sz="12" w:space="0" w:color="auto"/>
            </w:tcBorders>
          </w:tcPr>
          <w:p w:rsidR="00000000" w:rsidRDefault="00000000">
            <w:pPr>
              <w:pStyle w:val="table"/>
              <w:tabs>
                <w:tab w:val="decimal" w:pos="567"/>
              </w:tabs>
            </w:pPr>
            <w:r>
              <w:t>10,2%</w:t>
            </w:r>
          </w:p>
        </w:tc>
        <w:tc>
          <w:tcPr>
            <w:tcW w:w="1338" w:type="dxa"/>
            <w:tcBorders>
              <w:bottom w:val="single" w:sz="12" w:space="0" w:color="auto"/>
            </w:tcBorders>
          </w:tcPr>
          <w:p w:rsidR="00000000" w:rsidRDefault="00000000">
            <w:pPr>
              <w:pStyle w:val="table"/>
              <w:tabs>
                <w:tab w:val="decimal" w:pos="567"/>
              </w:tabs>
            </w:pPr>
            <w:r>
              <w:t>5,3 млн.</w:t>
            </w:r>
          </w:p>
        </w:tc>
        <w:tc>
          <w:tcPr>
            <w:tcW w:w="1338" w:type="dxa"/>
            <w:tcBorders>
              <w:bottom w:val="single" w:sz="12" w:space="0" w:color="auto"/>
            </w:tcBorders>
          </w:tcPr>
          <w:p w:rsidR="00000000" w:rsidRDefault="00000000">
            <w:pPr>
              <w:pStyle w:val="table"/>
              <w:tabs>
                <w:tab w:val="decimal" w:pos="567"/>
              </w:tabs>
            </w:pPr>
            <w:r>
              <w:t>6,4%</w:t>
            </w:r>
          </w:p>
        </w:tc>
      </w:tr>
    </w:tbl>
    <w:p w:rsidR="00000000" w:rsidRDefault="00000000">
      <w:pPr>
        <w:pStyle w:val="SingleTxt"/>
      </w:pPr>
      <w:r>
        <w:t>Общая численность населения: 82 259 540 = 100%</w:t>
      </w:r>
    </w:p>
    <w:p w:rsidR="00000000" w:rsidRDefault="00000000">
      <w:pPr>
        <w:pStyle w:val="H23"/>
      </w:pPr>
      <w:bookmarkStart w:id="666" w:name="_Toc44113553"/>
      <w:bookmarkStart w:id="667" w:name="_Toc44113854"/>
      <w:bookmarkStart w:id="668" w:name="_Toc44114362"/>
      <w:bookmarkStart w:id="669" w:name="_Toc44115607"/>
      <w:bookmarkStart w:id="670" w:name="_Toc44116039"/>
      <w:r>
        <w:t>Таблица 2.1: Семейное положение женщин (2000 год)</w:t>
      </w:r>
      <w:bookmarkEnd w:id="666"/>
      <w:bookmarkEnd w:id="667"/>
      <w:bookmarkEnd w:id="668"/>
      <w:bookmarkEnd w:id="669"/>
      <w:bookmarkEnd w:id="670"/>
    </w:p>
    <w:tbl>
      <w:tblPr>
        <w:tblW w:w="0" w:type="auto"/>
        <w:tblInd w:w="1158" w:type="dxa"/>
        <w:tblLayout w:type="fixed"/>
        <w:tblLook w:val="0000" w:firstRow="0" w:lastRow="0" w:firstColumn="0" w:lastColumn="0" w:noHBand="0" w:noVBand="0"/>
      </w:tblPr>
      <w:tblGrid>
        <w:gridCol w:w="2402"/>
        <w:gridCol w:w="2403"/>
        <w:gridCol w:w="2403"/>
      </w:tblGrid>
      <w:tr w:rsidR="00000000">
        <w:tblPrEx>
          <w:tblCellMar>
            <w:top w:w="0" w:type="dxa"/>
            <w:bottom w:w="0" w:type="dxa"/>
          </w:tblCellMar>
        </w:tblPrEx>
        <w:tc>
          <w:tcPr>
            <w:tcW w:w="2402" w:type="dxa"/>
            <w:tcBorders>
              <w:top w:val="single" w:sz="6" w:space="0" w:color="auto"/>
              <w:bottom w:val="single" w:sz="12" w:space="0" w:color="auto"/>
            </w:tcBorders>
          </w:tcPr>
          <w:p w:rsidR="00000000" w:rsidRDefault="00000000">
            <w:pPr>
              <w:pStyle w:val="table"/>
              <w:jc w:val="center"/>
              <w:rPr>
                <w:i/>
              </w:rPr>
            </w:pPr>
            <w:r>
              <w:rPr>
                <w:i/>
              </w:rPr>
              <w:t>Семейное п</w:t>
            </w:r>
            <w:r>
              <w:rPr>
                <w:i/>
              </w:rPr>
              <w:t>о</w:t>
            </w:r>
            <w:r>
              <w:rPr>
                <w:i/>
              </w:rPr>
              <w:t>ложение</w:t>
            </w:r>
          </w:p>
        </w:tc>
        <w:tc>
          <w:tcPr>
            <w:tcW w:w="2403" w:type="dxa"/>
            <w:tcBorders>
              <w:top w:val="single" w:sz="6" w:space="0" w:color="auto"/>
              <w:bottom w:val="single" w:sz="12" w:space="0" w:color="auto"/>
            </w:tcBorders>
          </w:tcPr>
          <w:p w:rsidR="00000000" w:rsidRDefault="00000000">
            <w:pPr>
              <w:pStyle w:val="table"/>
              <w:jc w:val="center"/>
              <w:rPr>
                <w:i/>
              </w:rPr>
            </w:pPr>
            <w:r>
              <w:rPr>
                <w:i/>
              </w:rPr>
              <w:t>Чи</w:t>
            </w:r>
            <w:r>
              <w:rPr>
                <w:i/>
              </w:rPr>
              <w:t>с</w:t>
            </w:r>
            <w:r>
              <w:rPr>
                <w:i/>
              </w:rPr>
              <w:t>ленность женщин</w:t>
            </w:r>
          </w:p>
        </w:tc>
        <w:tc>
          <w:tcPr>
            <w:tcW w:w="2403" w:type="dxa"/>
            <w:tcBorders>
              <w:top w:val="single" w:sz="6" w:space="0" w:color="auto"/>
              <w:bottom w:val="single" w:sz="12" w:space="0" w:color="auto"/>
            </w:tcBorders>
          </w:tcPr>
          <w:p w:rsidR="00000000" w:rsidRDefault="00000000">
            <w:pPr>
              <w:pStyle w:val="table"/>
              <w:jc w:val="center"/>
              <w:rPr>
                <w:i/>
              </w:rPr>
            </w:pPr>
            <w:r>
              <w:rPr>
                <w:i/>
              </w:rPr>
              <w:t>Доля женского насел</w:t>
            </w:r>
            <w:r>
              <w:rPr>
                <w:i/>
              </w:rPr>
              <w:t>е</w:t>
            </w:r>
            <w:r>
              <w:rPr>
                <w:i/>
              </w:rPr>
              <w:t>ния</w:t>
            </w:r>
          </w:p>
        </w:tc>
      </w:tr>
      <w:tr w:rsidR="00000000">
        <w:tblPrEx>
          <w:tblCellMar>
            <w:top w:w="0" w:type="dxa"/>
            <w:bottom w:w="0" w:type="dxa"/>
          </w:tblCellMar>
        </w:tblPrEx>
        <w:tc>
          <w:tcPr>
            <w:tcW w:w="2402" w:type="dxa"/>
            <w:tcBorders>
              <w:top w:val="single" w:sz="12" w:space="0" w:color="auto"/>
            </w:tcBorders>
          </w:tcPr>
          <w:p w:rsidR="00000000" w:rsidRDefault="00000000">
            <w:pPr>
              <w:pStyle w:val="table"/>
            </w:pPr>
            <w:r>
              <w:t>Нез</w:t>
            </w:r>
            <w:r>
              <w:t>а</w:t>
            </w:r>
            <w:r>
              <w:t>мужние</w:t>
            </w:r>
          </w:p>
        </w:tc>
        <w:tc>
          <w:tcPr>
            <w:tcW w:w="2403" w:type="dxa"/>
            <w:tcBorders>
              <w:top w:val="single" w:sz="12" w:space="0" w:color="auto"/>
            </w:tcBorders>
          </w:tcPr>
          <w:p w:rsidR="00000000" w:rsidRDefault="00000000">
            <w:pPr>
              <w:pStyle w:val="table"/>
            </w:pPr>
            <w:r>
              <w:t>15,2 млн.</w:t>
            </w:r>
          </w:p>
        </w:tc>
        <w:tc>
          <w:tcPr>
            <w:tcW w:w="2403" w:type="dxa"/>
            <w:tcBorders>
              <w:top w:val="single" w:sz="12" w:space="0" w:color="auto"/>
            </w:tcBorders>
          </w:tcPr>
          <w:p w:rsidR="00000000" w:rsidRDefault="00000000">
            <w:pPr>
              <w:pStyle w:val="table"/>
            </w:pPr>
            <w:r>
              <w:t>36,0%</w:t>
            </w:r>
          </w:p>
        </w:tc>
      </w:tr>
      <w:tr w:rsidR="00000000">
        <w:tblPrEx>
          <w:tblCellMar>
            <w:top w:w="0" w:type="dxa"/>
            <w:bottom w:w="0" w:type="dxa"/>
          </w:tblCellMar>
        </w:tblPrEx>
        <w:tc>
          <w:tcPr>
            <w:tcW w:w="2402" w:type="dxa"/>
          </w:tcPr>
          <w:p w:rsidR="00000000" w:rsidRDefault="00000000">
            <w:pPr>
              <w:pStyle w:val="table"/>
            </w:pPr>
            <w:r>
              <w:t>З</w:t>
            </w:r>
            <w:r>
              <w:t>а</w:t>
            </w:r>
            <w:r>
              <w:t>мужние</w:t>
            </w:r>
          </w:p>
        </w:tc>
        <w:tc>
          <w:tcPr>
            <w:tcW w:w="2403" w:type="dxa"/>
          </w:tcPr>
          <w:p w:rsidR="00000000" w:rsidRDefault="00000000">
            <w:pPr>
              <w:pStyle w:val="table"/>
            </w:pPr>
            <w:r>
              <w:t>19,1 млн.</w:t>
            </w:r>
          </w:p>
        </w:tc>
        <w:tc>
          <w:tcPr>
            <w:tcW w:w="2403" w:type="dxa"/>
          </w:tcPr>
          <w:p w:rsidR="00000000" w:rsidRDefault="00000000">
            <w:pPr>
              <w:pStyle w:val="table"/>
            </w:pPr>
            <w:r>
              <w:t>45,3%</w:t>
            </w:r>
          </w:p>
        </w:tc>
      </w:tr>
      <w:tr w:rsidR="00000000">
        <w:tblPrEx>
          <w:tblCellMar>
            <w:top w:w="0" w:type="dxa"/>
            <w:bottom w:w="0" w:type="dxa"/>
          </w:tblCellMar>
        </w:tblPrEx>
        <w:tc>
          <w:tcPr>
            <w:tcW w:w="2402" w:type="dxa"/>
          </w:tcPr>
          <w:p w:rsidR="00000000" w:rsidRDefault="00000000">
            <w:pPr>
              <w:pStyle w:val="table"/>
            </w:pPr>
            <w:r>
              <w:t>Вд</w:t>
            </w:r>
            <w:r>
              <w:t>о</w:t>
            </w:r>
            <w:r>
              <w:t>вы</w:t>
            </w:r>
          </w:p>
        </w:tc>
        <w:tc>
          <w:tcPr>
            <w:tcW w:w="2403" w:type="dxa"/>
          </w:tcPr>
          <w:p w:rsidR="00000000" w:rsidRDefault="00000000">
            <w:pPr>
              <w:pStyle w:val="table"/>
            </w:pPr>
            <w:r>
              <w:t>5,2 млн.</w:t>
            </w:r>
          </w:p>
        </w:tc>
        <w:tc>
          <w:tcPr>
            <w:tcW w:w="2403" w:type="dxa"/>
          </w:tcPr>
          <w:p w:rsidR="00000000" w:rsidRDefault="00000000">
            <w:pPr>
              <w:pStyle w:val="table"/>
            </w:pPr>
            <w:r>
              <w:t>12,4%</w:t>
            </w:r>
          </w:p>
        </w:tc>
      </w:tr>
      <w:tr w:rsidR="00000000">
        <w:tblPrEx>
          <w:tblCellMar>
            <w:top w:w="0" w:type="dxa"/>
            <w:bottom w:w="0" w:type="dxa"/>
          </w:tblCellMar>
        </w:tblPrEx>
        <w:tc>
          <w:tcPr>
            <w:tcW w:w="2402" w:type="dxa"/>
            <w:tcBorders>
              <w:bottom w:val="single" w:sz="12" w:space="0" w:color="auto"/>
            </w:tcBorders>
          </w:tcPr>
          <w:p w:rsidR="00000000" w:rsidRDefault="00000000">
            <w:pPr>
              <w:pStyle w:val="table"/>
            </w:pPr>
            <w:r>
              <w:t>Разв</w:t>
            </w:r>
            <w:r>
              <w:t>е</w:t>
            </w:r>
            <w:r>
              <w:t>денные</w:t>
            </w:r>
          </w:p>
        </w:tc>
        <w:tc>
          <w:tcPr>
            <w:tcW w:w="2403" w:type="dxa"/>
            <w:tcBorders>
              <w:bottom w:val="single" w:sz="12" w:space="0" w:color="auto"/>
            </w:tcBorders>
          </w:tcPr>
          <w:p w:rsidR="00000000" w:rsidRDefault="00000000">
            <w:pPr>
              <w:pStyle w:val="table"/>
            </w:pPr>
            <w:r>
              <w:t>2,6 млн.</w:t>
            </w:r>
          </w:p>
        </w:tc>
        <w:tc>
          <w:tcPr>
            <w:tcW w:w="2403" w:type="dxa"/>
            <w:tcBorders>
              <w:bottom w:val="single" w:sz="12" w:space="0" w:color="auto"/>
            </w:tcBorders>
          </w:tcPr>
          <w:p w:rsidR="00000000" w:rsidRDefault="00000000">
            <w:pPr>
              <w:pStyle w:val="table"/>
            </w:pPr>
            <w:r>
              <w:t>6,3%</w:t>
            </w:r>
          </w:p>
        </w:tc>
      </w:tr>
    </w:tbl>
    <w:p w:rsidR="00000000" w:rsidRDefault="00000000">
      <w:pPr>
        <w:pStyle w:val="SingleTxt"/>
      </w:pPr>
      <w:r>
        <w:t>Общая численность женщин: 42 103 004 = 100%</w:t>
      </w:r>
    </w:p>
    <w:p w:rsidR="00000000" w:rsidRDefault="00000000">
      <w:pPr>
        <w:pStyle w:val="istochnik"/>
      </w:pPr>
      <w:r>
        <w:rPr>
          <w:i/>
        </w:rPr>
        <w:t>Источник</w:t>
      </w:r>
      <w:r>
        <w:t>: Федеральное статистическое управление</w:t>
      </w:r>
    </w:p>
    <w:p w:rsidR="00000000" w:rsidRDefault="00000000">
      <w:pPr>
        <w:pStyle w:val="H23"/>
      </w:pPr>
      <w:bookmarkStart w:id="671" w:name="_Toc44113554"/>
      <w:bookmarkStart w:id="672" w:name="_Toc44113855"/>
      <w:bookmarkStart w:id="673" w:name="_Toc44114363"/>
      <w:bookmarkStart w:id="674" w:name="_Toc44115608"/>
      <w:bookmarkStart w:id="675" w:name="_Toc44116040"/>
      <w:r>
        <w:t>Таблица 2.2: Число детей на семью (дети в возрасте до 18 лет)</w:t>
      </w:r>
      <w:bookmarkEnd w:id="671"/>
      <w:bookmarkEnd w:id="672"/>
      <w:bookmarkEnd w:id="673"/>
      <w:bookmarkEnd w:id="674"/>
      <w:bookmarkEnd w:id="675"/>
    </w:p>
    <w:tbl>
      <w:tblPr>
        <w:tblW w:w="0" w:type="auto"/>
        <w:tblInd w:w="1238" w:type="dxa"/>
        <w:tblLayout w:type="fixed"/>
        <w:tblCellMar>
          <w:left w:w="28" w:type="dxa"/>
          <w:right w:w="28" w:type="dxa"/>
        </w:tblCellMar>
        <w:tblLook w:val="0000" w:firstRow="0" w:lastRow="0" w:firstColumn="0" w:lastColumn="0" w:noHBand="0" w:noVBand="0"/>
      </w:tblPr>
      <w:tblGrid>
        <w:gridCol w:w="2013"/>
        <w:gridCol w:w="1278"/>
        <w:gridCol w:w="1279"/>
        <w:gridCol w:w="1279"/>
        <w:gridCol w:w="1279"/>
      </w:tblGrid>
      <w:tr w:rsidR="00000000">
        <w:tblPrEx>
          <w:tblCellMar>
            <w:top w:w="0" w:type="dxa"/>
            <w:bottom w:w="0" w:type="dxa"/>
          </w:tblCellMar>
        </w:tblPrEx>
        <w:trPr>
          <w:cantSplit/>
          <w:tblHeader/>
        </w:trPr>
        <w:tc>
          <w:tcPr>
            <w:tcW w:w="2013" w:type="dxa"/>
            <w:vMerge w:val="restart"/>
            <w:tcBorders>
              <w:top w:val="single" w:sz="4" w:space="0" w:color="auto"/>
              <w:bottom w:val="single" w:sz="4" w:space="0" w:color="auto"/>
            </w:tcBorders>
            <w:vAlign w:val="center"/>
          </w:tcPr>
          <w:p w:rsidR="00000000" w:rsidRDefault="00000000">
            <w:pPr>
              <w:pStyle w:val="table"/>
              <w:jc w:val="center"/>
              <w:rPr>
                <w:i/>
              </w:rPr>
            </w:pPr>
            <w:r>
              <w:rPr>
                <w:i/>
              </w:rPr>
              <w:t>Характеристика</w:t>
            </w:r>
          </w:p>
        </w:tc>
        <w:tc>
          <w:tcPr>
            <w:tcW w:w="2557" w:type="dxa"/>
            <w:gridSpan w:val="2"/>
            <w:tcBorders>
              <w:top w:val="single" w:sz="4" w:space="0" w:color="auto"/>
              <w:bottom w:val="single" w:sz="4" w:space="0" w:color="auto"/>
            </w:tcBorders>
            <w:vAlign w:val="center"/>
          </w:tcPr>
          <w:p w:rsidR="00000000" w:rsidRDefault="00000000">
            <w:pPr>
              <w:pStyle w:val="table"/>
              <w:jc w:val="center"/>
              <w:rPr>
                <w:i/>
              </w:rPr>
            </w:pPr>
            <w:r>
              <w:rPr>
                <w:i/>
              </w:rPr>
              <w:t>Супруж</w:t>
            </w:r>
            <w:r>
              <w:rPr>
                <w:i/>
              </w:rPr>
              <w:t>е</w:t>
            </w:r>
            <w:r>
              <w:rPr>
                <w:i/>
              </w:rPr>
              <w:t>ские пары с детьми</w:t>
            </w:r>
          </w:p>
        </w:tc>
        <w:tc>
          <w:tcPr>
            <w:tcW w:w="2558" w:type="dxa"/>
            <w:gridSpan w:val="2"/>
            <w:tcBorders>
              <w:top w:val="single" w:sz="4" w:space="0" w:color="auto"/>
              <w:bottom w:val="single" w:sz="4" w:space="0" w:color="auto"/>
            </w:tcBorders>
            <w:vAlign w:val="center"/>
          </w:tcPr>
          <w:p w:rsidR="00000000" w:rsidRDefault="00000000">
            <w:pPr>
              <w:pStyle w:val="table"/>
              <w:jc w:val="center"/>
              <w:rPr>
                <w:i/>
              </w:rPr>
            </w:pPr>
            <w:r>
              <w:rPr>
                <w:i/>
              </w:rPr>
              <w:t>Род</w:t>
            </w:r>
            <w:r>
              <w:rPr>
                <w:i/>
              </w:rPr>
              <w:t>и</w:t>
            </w:r>
            <w:r>
              <w:rPr>
                <w:i/>
              </w:rPr>
              <w:t>тели-одиночки</w:t>
            </w:r>
          </w:p>
        </w:tc>
      </w:tr>
      <w:tr w:rsidR="00000000">
        <w:tblPrEx>
          <w:tblCellMar>
            <w:top w:w="0" w:type="dxa"/>
            <w:bottom w:w="0" w:type="dxa"/>
          </w:tblCellMar>
        </w:tblPrEx>
        <w:trPr>
          <w:cantSplit/>
          <w:tblHeader/>
        </w:trPr>
        <w:tc>
          <w:tcPr>
            <w:tcW w:w="2013" w:type="dxa"/>
            <w:vMerge/>
            <w:tcBorders>
              <w:top w:val="single" w:sz="4" w:space="0" w:color="auto"/>
              <w:bottom w:val="single" w:sz="12" w:space="0" w:color="auto"/>
            </w:tcBorders>
            <w:vAlign w:val="center"/>
          </w:tcPr>
          <w:p w:rsidR="00000000" w:rsidRDefault="00000000">
            <w:pPr>
              <w:pStyle w:val="table"/>
              <w:jc w:val="center"/>
              <w:rPr>
                <w:i/>
              </w:rPr>
            </w:pPr>
          </w:p>
        </w:tc>
        <w:tc>
          <w:tcPr>
            <w:tcW w:w="1278" w:type="dxa"/>
            <w:tcBorders>
              <w:top w:val="single" w:sz="4" w:space="0" w:color="auto"/>
              <w:bottom w:val="single" w:sz="12" w:space="0" w:color="auto"/>
            </w:tcBorders>
            <w:vAlign w:val="center"/>
          </w:tcPr>
          <w:p w:rsidR="00000000" w:rsidRDefault="00000000">
            <w:pPr>
              <w:pStyle w:val="table"/>
              <w:jc w:val="center"/>
              <w:rPr>
                <w:i/>
              </w:rPr>
            </w:pPr>
            <w:r>
              <w:rPr>
                <w:i/>
              </w:rPr>
              <w:t>В млн.</w:t>
            </w:r>
          </w:p>
        </w:tc>
        <w:tc>
          <w:tcPr>
            <w:tcW w:w="1279" w:type="dxa"/>
            <w:tcBorders>
              <w:top w:val="single" w:sz="4" w:space="0" w:color="auto"/>
              <w:bottom w:val="single" w:sz="12" w:space="0" w:color="auto"/>
            </w:tcBorders>
            <w:vAlign w:val="center"/>
          </w:tcPr>
          <w:p w:rsidR="00000000" w:rsidRDefault="00000000">
            <w:pPr>
              <w:pStyle w:val="table"/>
              <w:jc w:val="center"/>
              <w:rPr>
                <w:i/>
              </w:rPr>
            </w:pPr>
            <w:r>
              <w:rPr>
                <w:i/>
              </w:rPr>
              <w:t>В процентах</w:t>
            </w:r>
          </w:p>
        </w:tc>
        <w:tc>
          <w:tcPr>
            <w:tcW w:w="1279" w:type="dxa"/>
            <w:tcBorders>
              <w:top w:val="single" w:sz="4" w:space="0" w:color="auto"/>
              <w:bottom w:val="single" w:sz="12" w:space="0" w:color="auto"/>
            </w:tcBorders>
            <w:vAlign w:val="center"/>
          </w:tcPr>
          <w:p w:rsidR="00000000" w:rsidRDefault="00000000">
            <w:pPr>
              <w:pStyle w:val="table"/>
              <w:jc w:val="center"/>
              <w:rPr>
                <w:i/>
              </w:rPr>
            </w:pPr>
            <w:r>
              <w:rPr>
                <w:i/>
              </w:rPr>
              <w:t>В млн.</w:t>
            </w:r>
          </w:p>
        </w:tc>
        <w:tc>
          <w:tcPr>
            <w:tcW w:w="1279" w:type="dxa"/>
            <w:tcBorders>
              <w:top w:val="single" w:sz="4" w:space="0" w:color="auto"/>
              <w:bottom w:val="single" w:sz="12" w:space="0" w:color="auto"/>
            </w:tcBorders>
            <w:vAlign w:val="center"/>
          </w:tcPr>
          <w:p w:rsidR="00000000" w:rsidRDefault="00000000">
            <w:pPr>
              <w:pStyle w:val="table"/>
              <w:jc w:val="center"/>
              <w:rPr>
                <w:i/>
              </w:rPr>
            </w:pPr>
            <w:r>
              <w:rPr>
                <w:i/>
              </w:rPr>
              <w:t>В проце</w:t>
            </w:r>
            <w:r>
              <w:rPr>
                <w:i/>
              </w:rPr>
              <w:t>н</w:t>
            </w:r>
            <w:r>
              <w:rPr>
                <w:i/>
              </w:rPr>
              <w:t>тах</w:t>
            </w:r>
          </w:p>
        </w:tc>
      </w:tr>
      <w:tr w:rsidR="00000000">
        <w:tblPrEx>
          <w:tblCellMar>
            <w:top w:w="0" w:type="dxa"/>
            <w:bottom w:w="0" w:type="dxa"/>
          </w:tblCellMar>
        </w:tblPrEx>
        <w:tc>
          <w:tcPr>
            <w:tcW w:w="2013" w:type="dxa"/>
            <w:tcBorders>
              <w:top w:val="single" w:sz="12" w:space="0" w:color="auto"/>
            </w:tcBorders>
          </w:tcPr>
          <w:p w:rsidR="00000000" w:rsidRDefault="00000000">
            <w:pPr>
              <w:pStyle w:val="table"/>
            </w:pPr>
            <w:r>
              <w:t>1993 год</w:t>
            </w:r>
          </w:p>
        </w:tc>
        <w:tc>
          <w:tcPr>
            <w:tcW w:w="1278" w:type="dxa"/>
            <w:tcBorders>
              <w:top w:val="single" w:sz="12" w:space="0" w:color="auto"/>
            </w:tcBorders>
          </w:tcPr>
          <w:p w:rsidR="00000000" w:rsidRDefault="00000000">
            <w:pPr>
              <w:pStyle w:val="table"/>
              <w:tabs>
                <w:tab w:val="decimal" w:pos="567"/>
              </w:tabs>
            </w:pPr>
          </w:p>
        </w:tc>
        <w:tc>
          <w:tcPr>
            <w:tcW w:w="1279" w:type="dxa"/>
            <w:tcBorders>
              <w:top w:val="single" w:sz="12" w:space="0" w:color="auto"/>
            </w:tcBorders>
          </w:tcPr>
          <w:p w:rsidR="00000000" w:rsidRDefault="00000000">
            <w:pPr>
              <w:pStyle w:val="table"/>
              <w:tabs>
                <w:tab w:val="decimal" w:pos="567"/>
              </w:tabs>
            </w:pPr>
          </w:p>
        </w:tc>
        <w:tc>
          <w:tcPr>
            <w:tcW w:w="1279" w:type="dxa"/>
            <w:tcBorders>
              <w:top w:val="single" w:sz="12" w:space="0" w:color="auto"/>
            </w:tcBorders>
          </w:tcPr>
          <w:p w:rsidR="00000000" w:rsidRDefault="00000000">
            <w:pPr>
              <w:pStyle w:val="table"/>
              <w:tabs>
                <w:tab w:val="decimal" w:pos="567"/>
              </w:tabs>
            </w:pPr>
          </w:p>
        </w:tc>
        <w:tc>
          <w:tcPr>
            <w:tcW w:w="1279" w:type="dxa"/>
            <w:tcBorders>
              <w:top w:val="single" w:sz="12" w:space="0" w:color="auto"/>
            </w:tcBorders>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всего</w:t>
            </w:r>
          </w:p>
        </w:tc>
        <w:tc>
          <w:tcPr>
            <w:tcW w:w="1278" w:type="dxa"/>
          </w:tcPr>
          <w:p w:rsidR="00000000" w:rsidRDefault="00000000">
            <w:pPr>
              <w:pStyle w:val="table"/>
              <w:tabs>
                <w:tab w:val="decimal" w:pos="567"/>
              </w:tabs>
            </w:pPr>
            <w:r>
              <w:t>7,91</w:t>
            </w:r>
          </w:p>
        </w:tc>
        <w:tc>
          <w:tcPr>
            <w:tcW w:w="1279" w:type="dxa"/>
          </w:tcPr>
          <w:p w:rsidR="00000000" w:rsidRDefault="00000000">
            <w:pPr>
              <w:pStyle w:val="table"/>
              <w:tabs>
                <w:tab w:val="decimal" w:pos="567"/>
              </w:tabs>
            </w:pPr>
            <w:r>
              <w:t>100,0</w:t>
            </w:r>
          </w:p>
        </w:tc>
        <w:tc>
          <w:tcPr>
            <w:tcW w:w="1279" w:type="dxa"/>
          </w:tcPr>
          <w:p w:rsidR="00000000" w:rsidRDefault="00000000">
            <w:pPr>
              <w:pStyle w:val="table"/>
              <w:tabs>
                <w:tab w:val="decimal" w:pos="567"/>
              </w:tabs>
            </w:pPr>
            <w:r>
              <w:t>1,58</w:t>
            </w:r>
          </w:p>
        </w:tc>
        <w:tc>
          <w:tcPr>
            <w:tcW w:w="1279" w:type="dxa"/>
          </w:tcPr>
          <w:p w:rsidR="00000000" w:rsidRDefault="00000000">
            <w:pPr>
              <w:pStyle w:val="table"/>
              <w:tabs>
                <w:tab w:val="decimal" w:pos="567"/>
              </w:tabs>
            </w:pPr>
            <w:r>
              <w:t>100,0</w:t>
            </w:r>
          </w:p>
        </w:tc>
      </w:tr>
      <w:tr w:rsidR="00000000">
        <w:tblPrEx>
          <w:tblCellMar>
            <w:top w:w="0" w:type="dxa"/>
            <w:bottom w:w="0" w:type="dxa"/>
          </w:tblCellMar>
        </w:tblPrEx>
        <w:tc>
          <w:tcPr>
            <w:tcW w:w="2013" w:type="dxa"/>
          </w:tcPr>
          <w:p w:rsidR="00000000" w:rsidRDefault="00000000">
            <w:pPr>
              <w:pStyle w:val="table"/>
            </w:pPr>
            <w:r>
              <w:t>из них имеют:</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1 ребенка</w:t>
            </w:r>
          </w:p>
        </w:tc>
        <w:tc>
          <w:tcPr>
            <w:tcW w:w="1278" w:type="dxa"/>
          </w:tcPr>
          <w:p w:rsidR="00000000" w:rsidRDefault="00000000">
            <w:pPr>
              <w:pStyle w:val="table"/>
              <w:tabs>
                <w:tab w:val="decimal" w:pos="567"/>
              </w:tabs>
            </w:pPr>
            <w:r>
              <w:t>3,70</w:t>
            </w:r>
          </w:p>
        </w:tc>
        <w:tc>
          <w:tcPr>
            <w:tcW w:w="1279" w:type="dxa"/>
          </w:tcPr>
          <w:p w:rsidR="00000000" w:rsidRDefault="00000000">
            <w:pPr>
              <w:pStyle w:val="table"/>
              <w:tabs>
                <w:tab w:val="decimal" w:pos="567"/>
              </w:tabs>
            </w:pPr>
            <w:r>
              <w:t>46,8</w:t>
            </w:r>
          </w:p>
        </w:tc>
        <w:tc>
          <w:tcPr>
            <w:tcW w:w="1279" w:type="dxa"/>
          </w:tcPr>
          <w:p w:rsidR="00000000" w:rsidRDefault="00000000">
            <w:pPr>
              <w:pStyle w:val="table"/>
              <w:tabs>
                <w:tab w:val="decimal" w:pos="567"/>
              </w:tabs>
            </w:pPr>
            <w:r>
              <w:t>1,10</w:t>
            </w:r>
          </w:p>
        </w:tc>
        <w:tc>
          <w:tcPr>
            <w:tcW w:w="1279" w:type="dxa"/>
          </w:tcPr>
          <w:p w:rsidR="00000000" w:rsidRDefault="00000000">
            <w:pPr>
              <w:pStyle w:val="table"/>
              <w:tabs>
                <w:tab w:val="decimal" w:pos="567"/>
              </w:tabs>
            </w:pPr>
            <w:r>
              <w:t>69,8</w:t>
            </w:r>
          </w:p>
        </w:tc>
      </w:tr>
      <w:tr w:rsidR="00000000">
        <w:tblPrEx>
          <w:tblCellMar>
            <w:top w:w="0" w:type="dxa"/>
            <w:bottom w:w="0" w:type="dxa"/>
          </w:tblCellMar>
        </w:tblPrEx>
        <w:tc>
          <w:tcPr>
            <w:tcW w:w="2013" w:type="dxa"/>
          </w:tcPr>
          <w:p w:rsidR="00000000" w:rsidRDefault="00000000">
            <w:pPr>
              <w:pStyle w:val="table"/>
            </w:pPr>
            <w:r>
              <w:t>2 детей</w:t>
            </w:r>
          </w:p>
        </w:tc>
        <w:tc>
          <w:tcPr>
            <w:tcW w:w="1278" w:type="dxa"/>
          </w:tcPr>
          <w:p w:rsidR="00000000" w:rsidRDefault="00000000">
            <w:pPr>
              <w:pStyle w:val="table"/>
              <w:tabs>
                <w:tab w:val="decimal" w:pos="567"/>
              </w:tabs>
            </w:pPr>
            <w:r>
              <w:t>3,20</w:t>
            </w:r>
          </w:p>
        </w:tc>
        <w:tc>
          <w:tcPr>
            <w:tcW w:w="1279" w:type="dxa"/>
          </w:tcPr>
          <w:p w:rsidR="00000000" w:rsidRDefault="00000000">
            <w:pPr>
              <w:pStyle w:val="table"/>
              <w:tabs>
                <w:tab w:val="decimal" w:pos="567"/>
              </w:tabs>
            </w:pPr>
            <w:r>
              <w:t>40,5</w:t>
            </w:r>
          </w:p>
        </w:tc>
        <w:tc>
          <w:tcPr>
            <w:tcW w:w="1279" w:type="dxa"/>
          </w:tcPr>
          <w:p w:rsidR="00000000" w:rsidRDefault="00000000">
            <w:pPr>
              <w:pStyle w:val="table"/>
              <w:tabs>
                <w:tab w:val="decimal" w:pos="567"/>
              </w:tabs>
            </w:pPr>
            <w:r>
              <w:t>0,38</w:t>
            </w:r>
          </w:p>
        </w:tc>
        <w:tc>
          <w:tcPr>
            <w:tcW w:w="1279" w:type="dxa"/>
          </w:tcPr>
          <w:p w:rsidR="00000000" w:rsidRDefault="00000000">
            <w:pPr>
              <w:pStyle w:val="table"/>
              <w:tabs>
                <w:tab w:val="decimal" w:pos="567"/>
              </w:tabs>
            </w:pPr>
            <w:r>
              <w:t>23,9</w:t>
            </w:r>
          </w:p>
        </w:tc>
      </w:tr>
      <w:tr w:rsidR="00000000">
        <w:tblPrEx>
          <w:tblCellMar>
            <w:top w:w="0" w:type="dxa"/>
            <w:bottom w:w="0" w:type="dxa"/>
          </w:tblCellMar>
        </w:tblPrEx>
        <w:tc>
          <w:tcPr>
            <w:tcW w:w="2013" w:type="dxa"/>
          </w:tcPr>
          <w:p w:rsidR="00000000" w:rsidRDefault="00000000">
            <w:pPr>
              <w:pStyle w:val="table"/>
            </w:pPr>
            <w:r>
              <w:t>3 детей</w:t>
            </w:r>
          </w:p>
        </w:tc>
        <w:tc>
          <w:tcPr>
            <w:tcW w:w="1278" w:type="dxa"/>
          </w:tcPr>
          <w:p w:rsidR="00000000" w:rsidRDefault="00000000">
            <w:pPr>
              <w:pStyle w:val="table"/>
              <w:tabs>
                <w:tab w:val="decimal" w:pos="567"/>
              </w:tabs>
            </w:pPr>
            <w:r>
              <w:t>0,78</w:t>
            </w:r>
          </w:p>
        </w:tc>
        <w:tc>
          <w:tcPr>
            <w:tcW w:w="1279" w:type="dxa"/>
          </w:tcPr>
          <w:p w:rsidR="00000000" w:rsidRDefault="00000000">
            <w:pPr>
              <w:pStyle w:val="table"/>
              <w:tabs>
                <w:tab w:val="decimal" w:pos="567"/>
              </w:tabs>
            </w:pPr>
            <w:r>
              <w:t>9,9</w:t>
            </w:r>
          </w:p>
        </w:tc>
        <w:tc>
          <w:tcPr>
            <w:tcW w:w="1279" w:type="dxa"/>
          </w:tcPr>
          <w:p w:rsidR="00000000" w:rsidRDefault="00000000">
            <w:pPr>
              <w:pStyle w:val="table"/>
              <w:tabs>
                <w:tab w:val="decimal" w:pos="567"/>
              </w:tabs>
            </w:pPr>
            <w:r>
              <w:t>0,08</w:t>
            </w:r>
          </w:p>
        </w:tc>
        <w:tc>
          <w:tcPr>
            <w:tcW w:w="1279" w:type="dxa"/>
          </w:tcPr>
          <w:p w:rsidR="00000000" w:rsidRDefault="00000000">
            <w:pPr>
              <w:pStyle w:val="table"/>
              <w:tabs>
                <w:tab w:val="decimal" w:pos="567"/>
              </w:tabs>
            </w:pPr>
            <w:r>
              <w:t>4,7</w:t>
            </w:r>
          </w:p>
        </w:tc>
      </w:tr>
      <w:tr w:rsidR="00000000">
        <w:tblPrEx>
          <w:tblCellMar>
            <w:top w:w="0" w:type="dxa"/>
            <w:bottom w:w="0" w:type="dxa"/>
          </w:tblCellMar>
        </w:tblPrEx>
        <w:tc>
          <w:tcPr>
            <w:tcW w:w="2013" w:type="dxa"/>
          </w:tcPr>
          <w:p w:rsidR="00000000" w:rsidRDefault="00000000">
            <w:pPr>
              <w:pStyle w:val="table"/>
            </w:pPr>
            <w:r>
              <w:t>4 и более детей</w:t>
            </w:r>
          </w:p>
        </w:tc>
        <w:tc>
          <w:tcPr>
            <w:tcW w:w="1278" w:type="dxa"/>
          </w:tcPr>
          <w:p w:rsidR="00000000" w:rsidRDefault="00000000">
            <w:pPr>
              <w:pStyle w:val="table"/>
              <w:tabs>
                <w:tab w:val="decimal" w:pos="567"/>
              </w:tabs>
            </w:pPr>
            <w:r>
              <w:t>0,21</w:t>
            </w:r>
          </w:p>
        </w:tc>
        <w:tc>
          <w:tcPr>
            <w:tcW w:w="1279" w:type="dxa"/>
          </w:tcPr>
          <w:p w:rsidR="00000000" w:rsidRDefault="00000000">
            <w:pPr>
              <w:pStyle w:val="table"/>
              <w:tabs>
                <w:tab w:val="decimal" w:pos="567"/>
              </w:tabs>
            </w:pPr>
            <w:r>
              <w:t>2,7</w:t>
            </w:r>
          </w:p>
        </w:tc>
        <w:tc>
          <w:tcPr>
            <w:tcW w:w="1279" w:type="dxa"/>
          </w:tcPr>
          <w:p w:rsidR="00000000" w:rsidRDefault="00000000">
            <w:pPr>
              <w:pStyle w:val="table"/>
              <w:tabs>
                <w:tab w:val="decimal" w:pos="567"/>
              </w:tabs>
            </w:pPr>
            <w:r>
              <w:t>0,02</w:t>
            </w:r>
          </w:p>
        </w:tc>
        <w:tc>
          <w:tcPr>
            <w:tcW w:w="1279" w:type="dxa"/>
          </w:tcPr>
          <w:p w:rsidR="00000000" w:rsidRDefault="00000000">
            <w:pPr>
              <w:pStyle w:val="table"/>
              <w:tabs>
                <w:tab w:val="decimal" w:pos="567"/>
              </w:tabs>
            </w:pPr>
            <w:r>
              <w:t>1,7</w:t>
            </w:r>
          </w:p>
        </w:tc>
      </w:tr>
      <w:tr w:rsidR="00000000">
        <w:tblPrEx>
          <w:tblCellMar>
            <w:top w:w="0" w:type="dxa"/>
            <w:bottom w:w="0" w:type="dxa"/>
          </w:tblCellMar>
        </w:tblPrEx>
        <w:tc>
          <w:tcPr>
            <w:tcW w:w="2013" w:type="dxa"/>
          </w:tcPr>
          <w:p w:rsidR="00000000" w:rsidRDefault="00000000">
            <w:pPr>
              <w:pStyle w:val="table"/>
            </w:pPr>
            <w:r>
              <w:t>1996 год</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всего</w:t>
            </w:r>
          </w:p>
        </w:tc>
        <w:tc>
          <w:tcPr>
            <w:tcW w:w="1278" w:type="dxa"/>
          </w:tcPr>
          <w:p w:rsidR="00000000" w:rsidRDefault="00000000">
            <w:pPr>
              <w:pStyle w:val="table"/>
              <w:tabs>
                <w:tab w:val="decimal" w:pos="567"/>
              </w:tabs>
            </w:pPr>
            <w:r>
              <w:t>7,67</w:t>
            </w:r>
          </w:p>
        </w:tc>
        <w:tc>
          <w:tcPr>
            <w:tcW w:w="1279" w:type="dxa"/>
          </w:tcPr>
          <w:p w:rsidR="00000000" w:rsidRDefault="00000000">
            <w:pPr>
              <w:pStyle w:val="table"/>
              <w:tabs>
                <w:tab w:val="decimal" w:pos="567"/>
              </w:tabs>
            </w:pPr>
            <w:r>
              <w:t>100,0</w:t>
            </w:r>
          </w:p>
        </w:tc>
        <w:tc>
          <w:tcPr>
            <w:tcW w:w="1279" w:type="dxa"/>
          </w:tcPr>
          <w:p w:rsidR="00000000" w:rsidRDefault="00000000">
            <w:pPr>
              <w:pStyle w:val="table"/>
              <w:tabs>
                <w:tab w:val="decimal" w:pos="567"/>
              </w:tabs>
            </w:pPr>
            <w:r>
              <w:t>1,77</w:t>
            </w:r>
          </w:p>
        </w:tc>
        <w:tc>
          <w:tcPr>
            <w:tcW w:w="1279" w:type="dxa"/>
          </w:tcPr>
          <w:p w:rsidR="00000000" w:rsidRDefault="00000000">
            <w:pPr>
              <w:pStyle w:val="table"/>
              <w:tabs>
                <w:tab w:val="decimal" w:pos="567"/>
              </w:tabs>
            </w:pPr>
            <w:r>
              <w:t>100,0</w:t>
            </w:r>
          </w:p>
        </w:tc>
      </w:tr>
      <w:tr w:rsidR="00000000">
        <w:tblPrEx>
          <w:tblCellMar>
            <w:top w:w="0" w:type="dxa"/>
            <w:bottom w:w="0" w:type="dxa"/>
          </w:tblCellMar>
        </w:tblPrEx>
        <w:tc>
          <w:tcPr>
            <w:tcW w:w="2013" w:type="dxa"/>
          </w:tcPr>
          <w:p w:rsidR="00000000" w:rsidRDefault="00000000">
            <w:pPr>
              <w:pStyle w:val="table"/>
            </w:pPr>
            <w:r>
              <w:t>из них имеют:</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1 ребенка</w:t>
            </w:r>
          </w:p>
        </w:tc>
        <w:tc>
          <w:tcPr>
            <w:tcW w:w="1278" w:type="dxa"/>
          </w:tcPr>
          <w:p w:rsidR="00000000" w:rsidRDefault="00000000">
            <w:pPr>
              <w:pStyle w:val="table"/>
              <w:tabs>
                <w:tab w:val="decimal" w:pos="567"/>
              </w:tabs>
            </w:pPr>
            <w:r>
              <w:t>3,56</w:t>
            </w:r>
          </w:p>
        </w:tc>
        <w:tc>
          <w:tcPr>
            <w:tcW w:w="1279" w:type="dxa"/>
          </w:tcPr>
          <w:p w:rsidR="00000000" w:rsidRDefault="00000000">
            <w:pPr>
              <w:pStyle w:val="table"/>
              <w:tabs>
                <w:tab w:val="decimal" w:pos="567"/>
              </w:tabs>
            </w:pPr>
            <w:r>
              <w:t>46,4</w:t>
            </w:r>
          </w:p>
        </w:tc>
        <w:tc>
          <w:tcPr>
            <w:tcW w:w="1279" w:type="dxa"/>
          </w:tcPr>
          <w:p w:rsidR="00000000" w:rsidRDefault="00000000">
            <w:pPr>
              <w:pStyle w:val="table"/>
              <w:tabs>
                <w:tab w:val="decimal" w:pos="567"/>
              </w:tabs>
            </w:pPr>
            <w:r>
              <w:t>1,20</w:t>
            </w:r>
          </w:p>
        </w:tc>
        <w:tc>
          <w:tcPr>
            <w:tcW w:w="1279" w:type="dxa"/>
          </w:tcPr>
          <w:p w:rsidR="00000000" w:rsidRDefault="00000000">
            <w:pPr>
              <w:pStyle w:val="table"/>
              <w:tabs>
                <w:tab w:val="decimal" w:pos="567"/>
              </w:tabs>
            </w:pPr>
            <w:r>
              <w:t>67,5</w:t>
            </w:r>
          </w:p>
        </w:tc>
      </w:tr>
      <w:tr w:rsidR="00000000">
        <w:tblPrEx>
          <w:tblCellMar>
            <w:top w:w="0" w:type="dxa"/>
            <w:bottom w:w="0" w:type="dxa"/>
          </w:tblCellMar>
        </w:tblPrEx>
        <w:tc>
          <w:tcPr>
            <w:tcW w:w="2013" w:type="dxa"/>
          </w:tcPr>
          <w:p w:rsidR="00000000" w:rsidRDefault="00000000">
            <w:pPr>
              <w:pStyle w:val="table"/>
            </w:pPr>
            <w:r>
              <w:t>2 детей</w:t>
            </w:r>
          </w:p>
        </w:tc>
        <w:tc>
          <w:tcPr>
            <w:tcW w:w="1278" w:type="dxa"/>
          </w:tcPr>
          <w:p w:rsidR="00000000" w:rsidRDefault="00000000">
            <w:pPr>
              <w:pStyle w:val="table"/>
              <w:tabs>
                <w:tab w:val="decimal" w:pos="567"/>
              </w:tabs>
            </w:pPr>
            <w:r>
              <w:t>3,12</w:t>
            </w:r>
          </w:p>
        </w:tc>
        <w:tc>
          <w:tcPr>
            <w:tcW w:w="1279" w:type="dxa"/>
          </w:tcPr>
          <w:p w:rsidR="00000000" w:rsidRDefault="00000000">
            <w:pPr>
              <w:pStyle w:val="table"/>
              <w:tabs>
                <w:tab w:val="decimal" w:pos="567"/>
              </w:tabs>
            </w:pPr>
            <w:r>
              <w:t>40,6</w:t>
            </w:r>
          </w:p>
        </w:tc>
        <w:tc>
          <w:tcPr>
            <w:tcW w:w="1279" w:type="dxa"/>
          </w:tcPr>
          <w:p w:rsidR="00000000" w:rsidRDefault="00000000">
            <w:pPr>
              <w:pStyle w:val="table"/>
              <w:tabs>
                <w:tab w:val="decimal" w:pos="567"/>
              </w:tabs>
            </w:pPr>
            <w:r>
              <w:t>0,46</w:t>
            </w:r>
          </w:p>
        </w:tc>
        <w:tc>
          <w:tcPr>
            <w:tcW w:w="1279" w:type="dxa"/>
          </w:tcPr>
          <w:p w:rsidR="00000000" w:rsidRDefault="00000000">
            <w:pPr>
              <w:pStyle w:val="table"/>
              <w:tabs>
                <w:tab w:val="decimal" w:pos="567"/>
              </w:tabs>
            </w:pPr>
            <w:r>
              <w:t>25,7</w:t>
            </w:r>
          </w:p>
        </w:tc>
      </w:tr>
      <w:tr w:rsidR="00000000">
        <w:tblPrEx>
          <w:tblCellMar>
            <w:top w:w="0" w:type="dxa"/>
            <w:bottom w:w="0" w:type="dxa"/>
          </w:tblCellMar>
        </w:tblPrEx>
        <w:tc>
          <w:tcPr>
            <w:tcW w:w="2013" w:type="dxa"/>
          </w:tcPr>
          <w:p w:rsidR="00000000" w:rsidRDefault="00000000">
            <w:pPr>
              <w:pStyle w:val="table"/>
            </w:pPr>
            <w:r>
              <w:t>3 детей</w:t>
            </w:r>
          </w:p>
        </w:tc>
        <w:tc>
          <w:tcPr>
            <w:tcW w:w="1278" w:type="dxa"/>
          </w:tcPr>
          <w:p w:rsidR="00000000" w:rsidRDefault="00000000">
            <w:pPr>
              <w:pStyle w:val="table"/>
              <w:tabs>
                <w:tab w:val="decimal" w:pos="567"/>
              </w:tabs>
            </w:pPr>
            <w:r>
              <w:t>0,78</w:t>
            </w:r>
          </w:p>
        </w:tc>
        <w:tc>
          <w:tcPr>
            <w:tcW w:w="1279" w:type="dxa"/>
          </w:tcPr>
          <w:p w:rsidR="00000000" w:rsidRDefault="00000000">
            <w:pPr>
              <w:pStyle w:val="table"/>
              <w:tabs>
                <w:tab w:val="decimal" w:pos="567"/>
              </w:tabs>
            </w:pPr>
            <w:r>
              <w:t>10,2</w:t>
            </w:r>
          </w:p>
        </w:tc>
        <w:tc>
          <w:tcPr>
            <w:tcW w:w="1279" w:type="dxa"/>
          </w:tcPr>
          <w:p w:rsidR="00000000" w:rsidRDefault="00000000">
            <w:pPr>
              <w:pStyle w:val="table"/>
              <w:tabs>
                <w:tab w:val="decimal" w:pos="567"/>
              </w:tabs>
            </w:pPr>
            <w:r>
              <w:t>0,09</w:t>
            </w:r>
          </w:p>
        </w:tc>
        <w:tc>
          <w:tcPr>
            <w:tcW w:w="1279" w:type="dxa"/>
          </w:tcPr>
          <w:p w:rsidR="00000000" w:rsidRDefault="00000000">
            <w:pPr>
              <w:pStyle w:val="table"/>
              <w:tabs>
                <w:tab w:val="decimal" w:pos="567"/>
              </w:tabs>
            </w:pPr>
            <w:r>
              <w:t>5,2</w:t>
            </w:r>
          </w:p>
        </w:tc>
      </w:tr>
      <w:tr w:rsidR="00000000">
        <w:tblPrEx>
          <w:tblCellMar>
            <w:top w:w="0" w:type="dxa"/>
            <w:bottom w:w="0" w:type="dxa"/>
          </w:tblCellMar>
        </w:tblPrEx>
        <w:tc>
          <w:tcPr>
            <w:tcW w:w="2013" w:type="dxa"/>
          </w:tcPr>
          <w:p w:rsidR="00000000" w:rsidRDefault="00000000">
            <w:pPr>
              <w:pStyle w:val="table"/>
            </w:pPr>
            <w:r>
              <w:t>4 и более детей</w:t>
            </w:r>
          </w:p>
        </w:tc>
        <w:tc>
          <w:tcPr>
            <w:tcW w:w="1278" w:type="dxa"/>
          </w:tcPr>
          <w:p w:rsidR="00000000" w:rsidRDefault="00000000">
            <w:pPr>
              <w:pStyle w:val="table"/>
              <w:tabs>
                <w:tab w:val="decimal" w:pos="567"/>
              </w:tabs>
            </w:pPr>
            <w:r>
              <w:t>0,22</w:t>
            </w:r>
          </w:p>
        </w:tc>
        <w:tc>
          <w:tcPr>
            <w:tcW w:w="1279" w:type="dxa"/>
          </w:tcPr>
          <w:p w:rsidR="00000000" w:rsidRDefault="00000000">
            <w:pPr>
              <w:pStyle w:val="table"/>
              <w:tabs>
                <w:tab w:val="decimal" w:pos="567"/>
              </w:tabs>
            </w:pPr>
            <w:r>
              <w:t>2,9</w:t>
            </w:r>
          </w:p>
        </w:tc>
        <w:tc>
          <w:tcPr>
            <w:tcW w:w="1279" w:type="dxa"/>
          </w:tcPr>
          <w:p w:rsidR="00000000" w:rsidRDefault="00000000">
            <w:pPr>
              <w:pStyle w:val="table"/>
              <w:tabs>
                <w:tab w:val="decimal" w:pos="567"/>
              </w:tabs>
            </w:pPr>
            <w:r>
              <w:t>0,03</w:t>
            </w:r>
          </w:p>
        </w:tc>
        <w:tc>
          <w:tcPr>
            <w:tcW w:w="1279" w:type="dxa"/>
          </w:tcPr>
          <w:p w:rsidR="00000000" w:rsidRDefault="00000000">
            <w:pPr>
              <w:pStyle w:val="table"/>
              <w:tabs>
                <w:tab w:val="decimal" w:pos="567"/>
              </w:tabs>
            </w:pPr>
            <w:r>
              <w:t>1,6</w:t>
            </w:r>
          </w:p>
        </w:tc>
      </w:tr>
      <w:tr w:rsidR="00000000">
        <w:tblPrEx>
          <w:tblCellMar>
            <w:top w:w="0" w:type="dxa"/>
            <w:bottom w:w="0" w:type="dxa"/>
          </w:tblCellMar>
        </w:tblPrEx>
        <w:tc>
          <w:tcPr>
            <w:tcW w:w="2013" w:type="dxa"/>
          </w:tcPr>
          <w:p w:rsidR="00000000" w:rsidRDefault="00000000">
            <w:pPr>
              <w:pStyle w:val="table"/>
            </w:pPr>
            <w:r>
              <w:t>1999 год</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всего</w:t>
            </w:r>
          </w:p>
        </w:tc>
        <w:tc>
          <w:tcPr>
            <w:tcW w:w="1278" w:type="dxa"/>
          </w:tcPr>
          <w:p w:rsidR="00000000" w:rsidRDefault="00000000">
            <w:pPr>
              <w:pStyle w:val="table"/>
              <w:tabs>
                <w:tab w:val="decimal" w:pos="567"/>
              </w:tabs>
            </w:pPr>
            <w:r>
              <w:t>7,36</w:t>
            </w:r>
          </w:p>
        </w:tc>
        <w:tc>
          <w:tcPr>
            <w:tcW w:w="1279" w:type="dxa"/>
          </w:tcPr>
          <w:p w:rsidR="00000000" w:rsidRDefault="00000000">
            <w:pPr>
              <w:pStyle w:val="table"/>
              <w:tabs>
                <w:tab w:val="decimal" w:pos="567"/>
              </w:tabs>
            </w:pPr>
            <w:r>
              <w:t>100,0</w:t>
            </w:r>
          </w:p>
        </w:tc>
        <w:tc>
          <w:tcPr>
            <w:tcW w:w="1279" w:type="dxa"/>
          </w:tcPr>
          <w:p w:rsidR="00000000" w:rsidRDefault="00000000">
            <w:pPr>
              <w:pStyle w:val="table"/>
              <w:tabs>
                <w:tab w:val="decimal" w:pos="567"/>
              </w:tabs>
            </w:pPr>
            <w:r>
              <w:t>1,95</w:t>
            </w:r>
          </w:p>
        </w:tc>
        <w:tc>
          <w:tcPr>
            <w:tcW w:w="1279" w:type="dxa"/>
          </w:tcPr>
          <w:p w:rsidR="00000000" w:rsidRDefault="00000000">
            <w:pPr>
              <w:pStyle w:val="table"/>
              <w:tabs>
                <w:tab w:val="decimal" w:pos="567"/>
              </w:tabs>
            </w:pPr>
            <w:r>
              <w:t>100,0</w:t>
            </w:r>
          </w:p>
        </w:tc>
      </w:tr>
      <w:tr w:rsidR="00000000">
        <w:tblPrEx>
          <w:tblCellMar>
            <w:top w:w="0" w:type="dxa"/>
            <w:bottom w:w="0" w:type="dxa"/>
          </w:tblCellMar>
        </w:tblPrEx>
        <w:tc>
          <w:tcPr>
            <w:tcW w:w="2013" w:type="dxa"/>
          </w:tcPr>
          <w:p w:rsidR="00000000" w:rsidRDefault="00000000">
            <w:pPr>
              <w:pStyle w:val="table"/>
            </w:pPr>
            <w:r>
              <w:t>из них имеют:</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1 ребенка</w:t>
            </w:r>
          </w:p>
        </w:tc>
        <w:tc>
          <w:tcPr>
            <w:tcW w:w="1278" w:type="dxa"/>
          </w:tcPr>
          <w:p w:rsidR="00000000" w:rsidRDefault="00000000">
            <w:pPr>
              <w:pStyle w:val="table"/>
              <w:tabs>
                <w:tab w:val="decimal" w:pos="567"/>
              </w:tabs>
            </w:pPr>
            <w:r>
              <w:t>3,45</w:t>
            </w:r>
          </w:p>
        </w:tc>
        <w:tc>
          <w:tcPr>
            <w:tcW w:w="1279" w:type="dxa"/>
          </w:tcPr>
          <w:p w:rsidR="00000000" w:rsidRDefault="00000000">
            <w:pPr>
              <w:pStyle w:val="table"/>
              <w:tabs>
                <w:tab w:val="decimal" w:pos="567"/>
              </w:tabs>
            </w:pPr>
            <w:r>
              <w:t>46,9</w:t>
            </w:r>
          </w:p>
        </w:tc>
        <w:tc>
          <w:tcPr>
            <w:tcW w:w="1279" w:type="dxa"/>
          </w:tcPr>
          <w:p w:rsidR="00000000" w:rsidRDefault="00000000">
            <w:pPr>
              <w:pStyle w:val="table"/>
              <w:tabs>
                <w:tab w:val="decimal" w:pos="567"/>
              </w:tabs>
            </w:pPr>
            <w:r>
              <w:t>1,32</w:t>
            </w:r>
          </w:p>
        </w:tc>
        <w:tc>
          <w:tcPr>
            <w:tcW w:w="1279" w:type="dxa"/>
          </w:tcPr>
          <w:p w:rsidR="00000000" w:rsidRDefault="00000000">
            <w:pPr>
              <w:pStyle w:val="table"/>
              <w:tabs>
                <w:tab w:val="decimal" w:pos="567"/>
              </w:tabs>
            </w:pPr>
            <w:r>
              <w:t>67,5</w:t>
            </w:r>
          </w:p>
        </w:tc>
      </w:tr>
      <w:tr w:rsidR="00000000">
        <w:tblPrEx>
          <w:tblCellMar>
            <w:top w:w="0" w:type="dxa"/>
            <w:bottom w:w="0" w:type="dxa"/>
          </w:tblCellMar>
        </w:tblPrEx>
        <w:tc>
          <w:tcPr>
            <w:tcW w:w="2013" w:type="dxa"/>
          </w:tcPr>
          <w:p w:rsidR="00000000" w:rsidRDefault="00000000">
            <w:pPr>
              <w:pStyle w:val="table"/>
            </w:pPr>
            <w:r>
              <w:t>2 детей</w:t>
            </w:r>
          </w:p>
        </w:tc>
        <w:tc>
          <w:tcPr>
            <w:tcW w:w="1278" w:type="dxa"/>
          </w:tcPr>
          <w:p w:rsidR="00000000" w:rsidRDefault="00000000">
            <w:pPr>
              <w:pStyle w:val="table"/>
              <w:tabs>
                <w:tab w:val="decimal" w:pos="567"/>
              </w:tabs>
            </w:pPr>
            <w:r>
              <w:t>2,96</w:t>
            </w:r>
          </w:p>
        </w:tc>
        <w:tc>
          <w:tcPr>
            <w:tcW w:w="1279" w:type="dxa"/>
          </w:tcPr>
          <w:p w:rsidR="00000000" w:rsidRDefault="00000000">
            <w:pPr>
              <w:pStyle w:val="table"/>
              <w:tabs>
                <w:tab w:val="decimal" w:pos="567"/>
              </w:tabs>
            </w:pPr>
            <w:r>
              <w:t>40,2</w:t>
            </w:r>
          </w:p>
        </w:tc>
        <w:tc>
          <w:tcPr>
            <w:tcW w:w="1279" w:type="dxa"/>
          </w:tcPr>
          <w:p w:rsidR="00000000" w:rsidRDefault="00000000">
            <w:pPr>
              <w:pStyle w:val="table"/>
              <w:tabs>
                <w:tab w:val="decimal" w:pos="567"/>
              </w:tabs>
            </w:pPr>
            <w:r>
              <w:t>0,50</w:t>
            </w:r>
          </w:p>
        </w:tc>
        <w:tc>
          <w:tcPr>
            <w:tcW w:w="1279" w:type="dxa"/>
          </w:tcPr>
          <w:p w:rsidR="00000000" w:rsidRDefault="00000000">
            <w:pPr>
              <w:pStyle w:val="table"/>
              <w:tabs>
                <w:tab w:val="decimal" w:pos="567"/>
              </w:tabs>
            </w:pPr>
            <w:r>
              <w:t>25,6</w:t>
            </w:r>
          </w:p>
        </w:tc>
      </w:tr>
      <w:tr w:rsidR="00000000">
        <w:tblPrEx>
          <w:tblCellMar>
            <w:top w:w="0" w:type="dxa"/>
            <w:bottom w:w="0" w:type="dxa"/>
          </w:tblCellMar>
        </w:tblPrEx>
        <w:tc>
          <w:tcPr>
            <w:tcW w:w="2013" w:type="dxa"/>
          </w:tcPr>
          <w:p w:rsidR="00000000" w:rsidRDefault="00000000">
            <w:pPr>
              <w:pStyle w:val="table"/>
            </w:pPr>
            <w:r>
              <w:t>3 детей</w:t>
            </w:r>
          </w:p>
        </w:tc>
        <w:tc>
          <w:tcPr>
            <w:tcW w:w="1278" w:type="dxa"/>
          </w:tcPr>
          <w:p w:rsidR="00000000" w:rsidRDefault="00000000">
            <w:pPr>
              <w:pStyle w:val="table"/>
              <w:tabs>
                <w:tab w:val="decimal" w:pos="567"/>
              </w:tabs>
            </w:pPr>
            <w:r>
              <w:t>0,74</w:t>
            </w:r>
          </w:p>
        </w:tc>
        <w:tc>
          <w:tcPr>
            <w:tcW w:w="1279" w:type="dxa"/>
          </w:tcPr>
          <w:p w:rsidR="00000000" w:rsidRDefault="00000000">
            <w:pPr>
              <w:pStyle w:val="table"/>
              <w:tabs>
                <w:tab w:val="decimal" w:pos="567"/>
              </w:tabs>
            </w:pPr>
            <w:r>
              <w:t>10,0</w:t>
            </w:r>
          </w:p>
        </w:tc>
        <w:tc>
          <w:tcPr>
            <w:tcW w:w="1279" w:type="dxa"/>
          </w:tcPr>
          <w:p w:rsidR="00000000" w:rsidRDefault="00000000">
            <w:pPr>
              <w:pStyle w:val="table"/>
              <w:tabs>
                <w:tab w:val="decimal" w:pos="567"/>
              </w:tabs>
            </w:pPr>
            <w:r>
              <w:t>0,11</w:t>
            </w:r>
          </w:p>
        </w:tc>
        <w:tc>
          <w:tcPr>
            <w:tcW w:w="1279" w:type="dxa"/>
          </w:tcPr>
          <w:p w:rsidR="00000000" w:rsidRDefault="00000000">
            <w:pPr>
              <w:pStyle w:val="table"/>
              <w:tabs>
                <w:tab w:val="decimal" w:pos="567"/>
              </w:tabs>
            </w:pPr>
            <w:r>
              <w:t>5,4</w:t>
            </w:r>
          </w:p>
        </w:tc>
      </w:tr>
      <w:tr w:rsidR="00000000">
        <w:tblPrEx>
          <w:tblCellMar>
            <w:top w:w="0" w:type="dxa"/>
            <w:bottom w:w="0" w:type="dxa"/>
          </w:tblCellMar>
        </w:tblPrEx>
        <w:tc>
          <w:tcPr>
            <w:tcW w:w="2013" w:type="dxa"/>
          </w:tcPr>
          <w:p w:rsidR="00000000" w:rsidRDefault="00000000">
            <w:pPr>
              <w:pStyle w:val="table"/>
            </w:pPr>
            <w:r>
              <w:t>4 и более детей</w:t>
            </w:r>
          </w:p>
        </w:tc>
        <w:tc>
          <w:tcPr>
            <w:tcW w:w="1278" w:type="dxa"/>
          </w:tcPr>
          <w:p w:rsidR="00000000" w:rsidRDefault="00000000">
            <w:pPr>
              <w:pStyle w:val="table"/>
              <w:tabs>
                <w:tab w:val="decimal" w:pos="567"/>
              </w:tabs>
            </w:pPr>
            <w:r>
              <w:t>0,21</w:t>
            </w:r>
          </w:p>
        </w:tc>
        <w:tc>
          <w:tcPr>
            <w:tcW w:w="1279" w:type="dxa"/>
          </w:tcPr>
          <w:p w:rsidR="00000000" w:rsidRDefault="00000000">
            <w:pPr>
              <w:pStyle w:val="table"/>
              <w:tabs>
                <w:tab w:val="decimal" w:pos="567"/>
              </w:tabs>
            </w:pPr>
            <w:r>
              <w:t>2,9</w:t>
            </w:r>
          </w:p>
        </w:tc>
        <w:tc>
          <w:tcPr>
            <w:tcW w:w="1279" w:type="dxa"/>
          </w:tcPr>
          <w:p w:rsidR="00000000" w:rsidRDefault="00000000">
            <w:pPr>
              <w:pStyle w:val="table"/>
              <w:tabs>
                <w:tab w:val="decimal" w:pos="567"/>
              </w:tabs>
            </w:pPr>
            <w:r>
              <w:t>0,03</w:t>
            </w:r>
          </w:p>
        </w:tc>
        <w:tc>
          <w:tcPr>
            <w:tcW w:w="1279" w:type="dxa"/>
          </w:tcPr>
          <w:p w:rsidR="00000000" w:rsidRDefault="00000000">
            <w:pPr>
              <w:pStyle w:val="table"/>
              <w:tabs>
                <w:tab w:val="decimal" w:pos="567"/>
              </w:tabs>
            </w:pPr>
            <w:r>
              <w:t>1,6</w:t>
            </w:r>
          </w:p>
        </w:tc>
      </w:tr>
      <w:tr w:rsidR="00000000">
        <w:tblPrEx>
          <w:tblCellMar>
            <w:top w:w="0" w:type="dxa"/>
            <w:bottom w:w="0" w:type="dxa"/>
          </w:tblCellMar>
        </w:tblPrEx>
        <w:tc>
          <w:tcPr>
            <w:tcW w:w="2013" w:type="dxa"/>
          </w:tcPr>
          <w:p w:rsidR="00000000" w:rsidRDefault="00000000">
            <w:pPr>
              <w:pStyle w:val="table"/>
            </w:pPr>
            <w:r>
              <w:t>2000 год</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всего</w:t>
            </w:r>
          </w:p>
        </w:tc>
        <w:tc>
          <w:tcPr>
            <w:tcW w:w="1278" w:type="dxa"/>
          </w:tcPr>
          <w:p w:rsidR="00000000" w:rsidRDefault="00000000">
            <w:pPr>
              <w:pStyle w:val="table"/>
              <w:tabs>
                <w:tab w:val="decimal" w:pos="567"/>
              </w:tabs>
            </w:pPr>
            <w:r>
              <w:t>7,26</w:t>
            </w:r>
          </w:p>
        </w:tc>
        <w:tc>
          <w:tcPr>
            <w:tcW w:w="1279" w:type="dxa"/>
          </w:tcPr>
          <w:p w:rsidR="00000000" w:rsidRDefault="00000000">
            <w:pPr>
              <w:pStyle w:val="table"/>
              <w:tabs>
                <w:tab w:val="decimal" w:pos="567"/>
              </w:tabs>
            </w:pPr>
            <w:r>
              <w:t>100,0</w:t>
            </w:r>
          </w:p>
        </w:tc>
        <w:tc>
          <w:tcPr>
            <w:tcW w:w="1279" w:type="dxa"/>
          </w:tcPr>
          <w:p w:rsidR="00000000" w:rsidRDefault="00000000">
            <w:pPr>
              <w:pStyle w:val="table"/>
              <w:tabs>
                <w:tab w:val="decimal" w:pos="567"/>
              </w:tabs>
            </w:pPr>
            <w:r>
              <w:t>2,00</w:t>
            </w:r>
          </w:p>
        </w:tc>
        <w:tc>
          <w:tcPr>
            <w:tcW w:w="1279" w:type="dxa"/>
          </w:tcPr>
          <w:p w:rsidR="00000000" w:rsidRDefault="00000000">
            <w:pPr>
              <w:pStyle w:val="table"/>
              <w:tabs>
                <w:tab w:val="decimal" w:pos="567"/>
              </w:tabs>
            </w:pPr>
            <w:r>
              <w:t>100,0</w:t>
            </w:r>
          </w:p>
        </w:tc>
      </w:tr>
      <w:tr w:rsidR="00000000">
        <w:tblPrEx>
          <w:tblCellMar>
            <w:top w:w="0" w:type="dxa"/>
            <w:bottom w:w="0" w:type="dxa"/>
          </w:tblCellMar>
        </w:tblPrEx>
        <w:tc>
          <w:tcPr>
            <w:tcW w:w="2013" w:type="dxa"/>
          </w:tcPr>
          <w:p w:rsidR="00000000" w:rsidRDefault="00000000">
            <w:pPr>
              <w:pStyle w:val="table"/>
            </w:pPr>
            <w:r>
              <w:t>из них имеют:</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1 ребенка</w:t>
            </w:r>
          </w:p>
        </w:tc>
        <w:tc>
          <w:tcPr>
            <w:tcW w:w="1278" w:type="dxa"/>
          </w:tcPr>
          <w:p w:rsidR="00000000" w:rsidRDefault="00000000">
            <w:pPr>
              <w:pStyle w:val="table"/>
              <w:tabs>
                <w:tab w:val="decimal" w:pos="567"/>
              </w:tabs>
            </w:pPr>
            <w:r>
              <w:t>3,39</w:t>
            </w:r>
          </w:p>
        </w:tc>
        <w:tc>
          <w:tcPr>
            <w:tcW w:w="1279" w:type="dxa"/>
          </w:tcPr>
          <w:p w:rsidR="00000000" w:rsidRDefault="00000000">
            <w:pPr>
              <w:pStyle w:val="table"/>
              <w:tabs>
                <w:tab w:val="decimal" w:pos="567"/>
              </w:tabs>
            </w:pPr>
            <w:r>
              <w:t>46,7</w:t>
            </w:r>
          </w:p>
        </w:tc>
        <w:tc>
          <w:tcPr>
            <w:tcW w:w="1279" w:type="dxa"/>
          </w:tcPr>
          <w:p w:rsidR="00000000" w:rsidRDefault="00000000">
            <w:pPr>
              <w:pStyle w:val="table"/>
              <w:tabs>
                <w:tab w:val="decimal" w:pos="567"/>
              </w:tabs>
            </w:pPr>
            <w:r>
              <w:t>1,35</w:t>
            </w:r>
          </w:p>
        </w:tc>
        <w:tc>
          <w:tcPr>
            <w:tcW w:w="1279" w:type="dxa"/>
          </w:tcPr>
          <w:p w:rsidR="00000000" w:rsidRDefault="00000000">
            <w:pPr>
              <w:pStyle w:val="table"/>
              <w:tabs>
                <w:tab w:val="decimal" w:pos="567"/>
              </w:tabs>
            </w:pPr>
            <w:r>
              <w:t>67,8</w:t>
            </w:r>
          </w:p>
        </w:tc>
      </w:tr>
      <w:tr w:rsidR="00000000">
        <w:tblPrEx>
          <w:tblCellMar>
            <w:top w:w="0" w:type="dxa"/>
            <w:bottom w:w="0" w:type="dxa"/>
          </w:tblCellMar>
        </w:tblPrEx>
        <w:tc>
          <w:tcPr>
            <w:tcW w:w="2013" w:type="dxa"/>
          </w:tcPr>
          <w:p w:rsidR="00000000" w:rsidRDefault="00000000">
            <w:pPr>
              <w:pStyle w:val="table"/>
            </w:pPr>
            <w:r>
              <w:t>2 детей</w:t>
            </w:r>
          </w:p>
        </w:tc>
        <w:tc>
          <w:tcPr>
            <w:tcW w:w="1278" w:type="dxa"/>
          </w:tcPr>
          <w:p w:rsidR="00000000" w:rsidRDefault="00000000">
            <w:pPr>
              <w:pStyle w:val="table"/>
              <w:tabs>
                <w:tab w:val="decimal" w:pos="567"/>
              </w:tabs>
            </w:pPr>
            <w:r>
              <w:t>2,93</w:t>
            </w:r>
          </w:p>
        </w:tc>
        <w:tc>
          <w:tcPr>
            <w:tcW w:w="1279" w:type="dxa"/>
          </w:tcPr>
          <w:p w:rsidR="00000000" w:rsidRDefault="00000000">
            <w:pPr>
              <w:pStyle w:val="table"/>
              <w:tabs>
                <w:tab w:val="decimal" w:pos="567"/>
              </w:tabs>
            </w:pPr>
            <w:r>
              <w:t>40,3</w:t>
            </w:r>
          </w:p>
        </w:tc>
        <w:tc>
          <w:tcPr>
            <w:tcW w:w="1279" w:type="dxa"/>
          </w:tcPr>
          <w:p w:rsidR="00000000" w:rsidRDefault="00000000">
            <w:pPr>
              <w:pStyle w:val="table"/>
              <w:tabs>
                <w:tab w:val="decimal" w:pos="567"/>
              </w:tabs>
            </w:pPr>
            <w:r>
              <w:t>0,50</w:t>
            </w:r>
          </w:p>
        </w:tc>
        <w:tc>
          <w:tcPr>
            <w:tcW w:w="1279" w:type="dxa"/>
          </w:tcPr>
          <w:p w:rsidR="00000000" w:rsidRDefault="00000000">
            <w:pPr>
              <w:pStyle w:val="table"/>
              <w:tabs>
                <w:tab w:val="decimal" w:pos="567"/>
              </w:tabs>
            </w:pPr>
            <w:r>
              <w:t>25,2</w:t>
            </w:r>
          </w:p>
        </w:tc>
      </w:tr>
      <w:tr w:rsidR="00000000">
        <w:tblPrEx>
          <w:tblCellMar>
            <w:top w:w="0" w:type="dxa"/>
            <w:bottom w:w="0" w:type="dxa"/>
          </w:tblCellMar>
        </w:tblPrEx>
        <w:tc>
          <w:tcPr>
            <w:tcW w:w="2013" w:type="dxa"/>
          </w:tcPr>
          <w:p w:rsidR="00000000" w:rsidRDefault="00000000">
            <w:pPr>
              <w:pStyle w:val="table"/>
            </w:pPr>
            <w:r>
              <w:t>3 детей</w:t>
            </w:r>
          </w:p>
        </w:tc>
        <w:tc>
          <w:tcPr>
            <w:tcW w:w="1278" w:type="dxa"/>
          </w:tcPr>
          <w:p w:rsidR="00000000" w:rsidRDefault="00000000">
            <w:pPr>
              <w:pStyle w:val="table"/>
              <w:tabs>
                <w:tab w:val="decimal" w:pos="567"/>
              </w:tabs>
            </w:pPr>
            <w:r>
              <w:t>0,74</w:t>
            </w:r>
          </w:p>
        </w:tc>
        <w:tc>
          <w:tcPr>
            <w:tcW w:w="1279" w:type="dxa"/>
          </w:tcPr>
          <w:p w:rsidR="00000000" w:rsidRDefault="00000000">
            <w:pPr>
              <w:pStyle w:val="table"/>
              <w:tabs>
                <w:tab w:val="decimal" w:pos="567"/>
              </w:tabs>
            </w:pPr>
            <w:r>
              <w:t>10,1</w:t>
            </w:r>
          </w:p>
        </w:tc>
        <w:tc>
          <w:tcPr>
            <w:tcW w:w="1279" w:type="dxa"/>
          </w:tcPr>
          <w:p w:rsidR="00000000" w:rsidRDefault="00000000">
            <w:pPr>
              <w:pStyle w:val="table"/>
              <w:tabs>
                <w:tab w:val="decimal" w:pos="567"/>
              </w:tabs>
            </w:pPr>
            <w:r>
              <w:t>0,11</w:t>
            </w:r>
          </w:p>
        </w:tc>
        <w:tc>
          <w:tcPr>
            <w:tcW w:w="1279" w:type="dxa"/>
          </w:tcPr>
          <w:p w:rsidR="00000000" w:rsidRDefault="00000000">
            <w:pPr>
              <w:pStyle w:val="table"/>
              <w:tabs>
                <w:tab w:val="decimal" w:pos="567"/>
              </w:tabs>
            </w:pPr>
            <w:r>
              <w:t>5,4</w:t>
            </w:r>
          </w:p>
        </w:tc>
      </w:tr>
      <w:tr w:rsidR="00000000">
        <w:tblPrEx>
          <w:tblCellMar>
            <w:top w:w="0" w:type="dxa"/>
            <w:bottom w:w="0" w:type="dxa"/>
          </w:tblCellMar>
        </w:tblPrEx>
        <w:tc>
          <w:tcPr>
            <w:tcW w:w="2013" w:type="dxa"/>
          </w:tcPr>
          <w:p w:rsidR="00000000" w:rsidRDefault="00000000">
            <w:pPr>
              <w:pStyle w:val="table"/>
            </w:pPr>
            <w:r>
              <w:t>4 и более детей</w:t>
            </w:r>
          </w:p>
        </w:tc>
        <w:tc>
          <w:tcPr>
            <w:tcW w:w="1278" w:type="dxa"/>
          </w:tcPr>
          <w:p w:rsidR="00000000" w:rsidRDefault="00000000">
            <w:pPr>
              <w:pStyle w:val="table"/>
              <w:tabs>
                <w:tab w:val="decimal" w:pos="567"/>
              </w:tabs>
            </w:pPr>
            <w:r>
              <w:t>0,21</w:t>
            </w:r>
          </w:p>
        </w:tc>
        <w:tc>
          <w:tcPr>
            <w:tcW w:w="1279" w:type="dxa"/>
          </w:tcPr>
          <w:p w:rsidR="00000000" w:rsidRDefault="00000000">
            <w:pPr>
              <w:pStyle w:val="table"/>
              <w:tabs>
                <w:tab w:val="decimal" w:pos="567"/>
              </w:tabs>
            </w:pPr>
            <w:r>
              <w:t>2,9</w:t>
            </w:r>
          </w:p>
        </w:tc>
        <w:tc>
          <w:tcPr>
            <w:tcW w:w="1279" w:type="dxa"/>
          </w:tcPr>
          <w:p w:rsidR="00000000" w:rsidRDefault="00000000">
            <w:pPr>
              <w:pStyle w:val="table"/>
              <w:tabs>
                <w:tab w:val="decimal" w:pos="567"/>
              </w:tabs>
            </w:pPr>
            <w:r>
              <w:t>0,03</w:t>
            </w:r>
          </w:p>
        </w:tc>
        <w:tc>
          <w:tcPr>
            <w:tcW w:w="1279" w:type="dxa"/>
          </w:tcPr>
          <w:p w:rsidR="00000000" w:rsidRDefault="00000000">
            <w:pPr>
              <w:pStyle w:val="table"/>
              <w:tabs>
                <w:tab w:val="decimal" w:pos="567"/>
              </w:tabs>
            </w:pPr>
            <w:r>
              <w:t>1,6</w:t>
            </w:r>
          </w:p>
        </w:tc>
      </w:tr>
      <w:tr w:rsidR="00000000">
        <w:tblPrEx>
          <w:tblCellMar>
            <w:top w:w="0" w:type="dxa"/>
            <w:bottom w:w="0" w:type="dxa"/>
          </w:tblCellMar>
        </w:tblPrEx>
        <w:tc>
          <w:tcPr>
            <w:tcW w:w="2013" w:type="dxa"/>
          </w:tcPr>
          <w:p w:rsidR="00000000" w:rsidRDefault="00000000">
            <w:pPr>
              <w:pStyle w:val="table"/>
            </w:pPr>
            <w:r>
              <w:t>2001 год</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всего</w:t>
            </w:r>
          </w:p>
        </w:tc>
        <w:tc>
          <w:tcPr>
            <w:tcW w:w="1278" w:type="dxa"/>
          </w:tcPr>
          <w:p w:rsidR="00000000" w:rsidRDefault="00000000">
            <w:pPr>
              <w:pStyle w:val="table"/>
              <w:tabs>
                <w:tab w:val="decimal" w:pos="567"/>
              </w:tabs>
            </w:pPr>
            <w:r>
              <w:t>7,11</w:t>
            </w:r>
          </w:p>
        </w:tc>
        <w:tc>
          <w:tcPr>
            <w:tcW w:w="1279" w:type="dxa"/>
          </w:tcPr>
          <w:p w:rsidR="00000000" w:rsidRDefault="00000000">
            <w:pPr>
              <w:pStyle w:val="table"/>
              <w:tabs>
                <w:tab w:val="decimal" w:pos="567"/>
              </w:tabs>
            </w:pPr>
            <w:r>
              <w:t>100,0</w:t>
            </w:r>
          </w:p>
        </w:tc>
        <w:tc>
          <w:tcPr>
            <w:tcW w:w="1279" w:type="dxa"/>
          </w:tcPr>
          <w:p w:rsidR="00000000" w:rsidRDefault="00000000">
            <w:pPr>
              <w:pStyle w:val="table"/>
              <w:tabs>
                <w:tab w:val="decimal" w:pos="567"/>
              </w:tabs>
            </w:pPr>
            <w:r>
              <w:t>2,08</w:t>
            </w:r>
          </w:p>
        </w:tc>
        <w:tc>
          <w:tcPr>
            <w:tcW w:w="1279" w:type="dxa"/>
          </w:tcPr>
          <w:p w:rsidR="00000000" w:rsidRDefault="00000000">
            <w:pPr>
              <w:pStyle w:val="table"/>
              <w:tabs>
                <w:tab w:val="decimal" w:pos="567"/>
              </w:tabs>
            </w:pPr>
            <w:r>
              <w:t>100,0</w:t>
            </w:r>
          </w:p>
        </w:tc>
      </w:tr>
      <w:tr w:rsidR="00000000">
        <w:tblPrEx>
          <w:tblCellMar>
            <w:top w:w="0" w:type="dxa"/>
            <w:bottom w:w="0" w:type="dxa"/>
          </w:tblCellMar>
        </w:tblPrEx>
        <w:tc>
          <w:tcPr>
            <w:tcW w:w="2013" w:type="dxa"/>
          </w:tcPr>
          <w:p w:rsidR="00000000" w:rsidRDefault="00000000">
            <w:pPr>
              <w:pStyle w:val="table"/>
            </w:pPr>
            <w:r>
              <w:t>из них имеют:</w:t>
            </w:r>
          </w:p>
        </w:tc>
        <w:tc>
          <w:tcPr>
            <w:tcW w:w="1278"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c>
          <w:tcPr>
            <w:tcW w:w="1279" w:type="dxa"/>
          </w:tcPr>
          <w:p w:rsidR="00000000" w:rsidRDefault="00000000">
            <w:pPr>
              <w:pStyle w:val="table"/>
              <w:tabs>
                <w:tab w:val="decimal" w:pos="567"/>
              </w:tabs>
            </w:pPr>
          </w:p>
        </w:tc>
      </w:tr>
      <w:tr w:rsidR="00000000">
        <w:tblPrEx>
          <w:tblCellMar>
            <w:top w:w="0" w:type="dxa"/>
            <w:bottom w:w="0" w:type="dxa"/>
          </w:tblCellMar>
        </w:tblPrEx>
        <w:tc>
          <w:tcPr>
            <w:tcW w:w="2013" w:type="dxa"/>
          </w:tcPr>
          <w:p w:rsidR="00000000" w:rsidRDefault="00000000">
            <w:pPr>
              <w:pStyle w:val="table"/>
            </w:pPr>
            <w:r>
              <w:t>1 ребенка</w:t>
            </w:r>
          </w:p>
        </w:tc>
        <w:tc>
          <w:tcPr>
            <w:tcW w:w="1278" w:type="dxa"/>
          </w:tcPr>
          <w:p w:rsidR="00000000" w:rsidRDefault="00000000">
            <w:pPr>
              <w:pStyle w:val="table"/>
              <w:tabs>
                <w:tab w:val="decimal" w:pos="567"/>
              </w:tabs>
            </w:pPr>
            <w:r>
              <w:t>3,29</w:t>
            </w:r>
          </w:p>
        </w:tc>
        <w:tc>
          <w:tcPr>
            <w:tcW w:w="1279" w:type="dxa"/>
          </w:tcPr>
          <w:p w:rsidR="00000000" w:rsidRDefault="00000000">
            <w:pPr>
              <w:pStyle w:val="table"/>
              <w:tabs>
                <w:tab w:val="decimal" w:pos="567"/>
              </w:tabs>
            </w:pPr>
            <w:r>
              <w:t>46,3</w:t>
            </w:r>
          </w:p>
        </w:tc>
        <w:tc>
          <w:tcPr>
            <w:tcW w:w="1279" w:type="dxa"/>
          </w:tcPr>
          <w:p w:rsidR="00000000" w:rsidRDefault="00000000">
            <w:pPr>
              <w:pStyle w:val="table"/>
              <w:tabs>
                <w:tab w:val="decimal" w:pos="567"/>
              </w:tabs>
            </w:pPr>
            <w:r>
              <w:t>1,41</w:t>
            </w:r>
          </w:p>
        </w:tc>
        <w:tc>
          <w:tcPr>
            <w:tcW w:w="1279" w:type="dxa"/>
          </w:tcPr>
          <w:p w:rsidR="00000000" w:rsidRDefault="00000000">
            <w:pPr>
              <w:pStyle w:val="table"/>
              <w:tabs>
                <w:tab w:val="decimal" w:pos="567"/>
              </w:tabs>
            </w:pPr>
            <w:r>
              <w:t>67,8</w:t>
            </w:r>
          </w:p>
        </w:tc>
      </w:tr>
      <w:tr w:rsidR="00000000">
        <w:tblPrEx>
          <w:tblCellMar>
            <w:top w:w="0" w:type="dxa"/>
            <w:bottom w:w="0" w:type="dxa"/>
          </w:tblCellMar>
        </w:tblPrEx>
        <w:tc>
          <w:tcPr>
            <w:tcW w:w="2013" w:type="dxa"/>
          </w:tcPr>
          <w:p w:rsidR="00000000" w:rsidRDefault="00000000">
            <w:pPr>
              <w:pStyle w:val="table"/>
            </w:pPr>
            <w:r>
              <w:t>2 детей</w:t>
            </w:r>
          </w:p>
        </w:tc>
        <w:tc>
          <w:tcPr>
            <w:tcW w:w="1278" w:type="dxa"/>
          </w:tcPr>
          <w:p w:rsidR="00000000" w:rsidRDefault="00000000">
            <w:pPr>
              <w:pStyle w:val="table"/>
              <w:tabs>
                <w:tab w:val="decimal" w:pos="567"/>
              </w:tabs>
            </w:pPr>
            <w:r>
              <w:t>2,88</w:t>
            </w:r>
          </w:p>
        </w:tc>
        <w:tc>
          <w:tcPr>
            <w:tcW w:w="1279" w:type="dxa"/>
          </w:tcPr>
          <w:p w:rsidR="00000000" w:rsidRDefault="00000000">
            <w:pPr>
              <w:pStyle w:val="table"/>
              <w:tabs>
                <w:tab w:val="decimal" w:pos="567"/>
              </w:tabs>
            </w:pPr>
            <w:r>
              <w:t>40,5</w:t>
            </w:r>
          </w:p>
        </w:tc>
        <w:tc>
          <w:tcPr>
            <w:tcW w:w="1279" w:type="dxa"/>
          </w:tcPr>
          <w:p w:rsidR="00000000" w:rsidRDefault="00000000">
            <w:pPr>
              <w:pStyle w:val="table"/>
              <w:tabs>
                <w:tab w:val="decimal" w:pos="567"/>
              </w:tabs>
            </w:pPr>
            <w:r>
              <w:t>0,53</w:t>
            </w:r>
          </w:p>
        </w:tc>
        <w:tc>
          <w:tcPr>
            <w:tcW w:w="1279" w:type="dxa"/>
          </w:tcPr>
          <w:p w:rsidR="00000000" w:rsidRDefault="00000000">
            <w:pPr>
              <w:pStyle w:val="table"/>
              <w:tabs>
                <w:tab w:val="decimal" w:pos="567"/>
              </w:tabs>
            </w:pPr>
            <w:r>
              <w:t>25,4</w:t>
            </w:r>
          </w:p>
        </w:tc>
      </w:tr>
      <w:tr w:rsidR="00000000">
        <w:tblPrEx>
          <w:tblCellMar>
            <w:top w:w="0" w:type="dxa"/>
            <w:bottom w:w="0" w:type="dxa"/>
          </w:tblCellMar>
        </w:tblPrEx>
        <w:tc>
          <w:tcPr>
            <w:tcW w:w="2013" w:type="dxa"/>
          </w:tcPr>
          <w:p w:rsidR="00000000" w:rsidRDefault="00000000">
            <w:pPr>
              <w:pStyle w:val="table"/>
            </w:pPr>
            <w:r>
              <w:t>3 детей</w:t>
            </w:r>
          </w:p>
        </w:tc>
        <w:tc>
          <w:tcPr>
            <w:tcW w:w="1278" w:type="dxa"/>
          </w:tcPr>
          <w:p w:rsidR="00000000" w:rsidRDefault="00000000">
            <w:pPr>
              <w:pStyle w:val="table"/>
              <w:tabs>
                <w:tab w:val="decimal" w:pos="567"/>
              </w:tabs>
            </w:pPr>
            <w:r>
              <w:t>0,73</w:t>
            </w:r>
          </w:p>
        </w:tc>
        <w:tc>
          <w:tcPr>
            <w:tcW w:w="1279" w:type="dxa"/>
          </w:tcPr>
          <w:p w:rsidR="00000000" w:rsidRDefault="00000000">
            <w:pPr>
              <w:pStyle w:val="table"/>
              <w:tabs>
                <w:tab w:val="decimal" w:pos="567"/>
              </w:tabs>
            </w:pPr>
            <w:r>
              <w:t>10,3</w:t>
            </w:r>
          </w:p>
        </w:tc>
        <w:tc>
          <w:tcPr>
            <w:tcW w:w="1279" w:type="dxa"/>
          </w:tcPr>
          <w:p w:rsidR="00000000" w:rsidRDefault="00000000">
            <w:pPr>
              <w:pStyle w:val="table"/>
              <w:tabs>
                <w:tab w:val="decimal" w:pos="567"/>
              </w:tabs>
            </w:pPr>
            <w:r>
              <w:t>0,11</w:t>
            </w:r>
          </w:p>
        </w:tc>
        <w:tc>
          <w:tcPr>
            <w:tcW w:w="1279" w:type="dxa"/>
          </w:tcPr>
          <w:p w:rsidR="00000000" w:rsidRDefault="00000000">
            <w:pPr>
              <w:pStyle w:val="table"/>
              <w:tabs>
                <w:tab w:val="decimal" w:pos="567"/>
              </w:tabs>
            </w:pPr>
            <w:r>
              <w:t>5,4</w:t>
            </w:r>
          </w:p>
        </w:tc>
      </w:tr>
      <w:tr w:rsidR="00000000">
        <w:tblPrEx>
          <w:tblCellMar>
            <w:top w:w="0" w:type="dxa"/>
            <w:bottom w:w="0" w:type="dxa"/>
          </w:tblCellMar>
        </w:tblPrEx>
        <w:tc>
          <w:tcPr>
            <w:tcW w:w="2013" w:type="dxa"/>
            <w:tcBorders>
              <w:bottom w:val="single" w:sz="12" w:space="0" w:color="auto"/>
            </w:tcBorders>
          </w:tcPr>
          <w:p w:rsidR="00000000" w:rsidRDefault="00000000">
            <w:pPr>
              <w:pStyle w:val="table"/>
            </w:pPr>
            <w:r>
              <w:t>4 и более детей</w:t>
            </w:r>
          </w:p>
        </w:tc>
        <w:tc>
          <w:tcPr>
            <w:tcW w:w="1278" w:type="dxa"/>
            <w:tcBorders>
              <w:bottom w:val="single" w:sz="12" w:space="0" w:color="auto"/>
            </w:tcBorders>
          </w:tcPr>
          <w:p w:rsidR="00000000" w:rsidRDefault="00000000">
            <w:pPr>
              <w:pStyle w:val="table"/>
              <w:tabs>
                <w:tab w:val="decimal" w:pos="567"/>
              </w:tabs>
            </w:pPr>
            <w:r>
              <w:t>0,21</w:t>
            </w:r>
          </w:p>
        </w:tc>
        <w:tc>
          <w:tcPr>
            <w:tcW w:w="1279" w:type="dxa"/>
            <w:tcBorders>
              <w:bottom w:val="single" w:sz="12" w:space="0" w:color="auto"/>
            </w:tcBorders>
          </w:tcPr>
          <w:p w:rsidR="00000000" w:rsidRDefault="00000000">
            <w:pPr>
              <w:pStyle w:val="table"/>
              <w:tabs>
                <w:tab w:val="decimal" w:pos="567"/>
              </w:tabs>
            </w:pPr>
            <w:r>
              <w:t>3,0</w:t>
            </w:r>
          </w:p>
        </w:tc>
        <w:tc>
          <w:tcPr>
            <w:tcW w:w="1279" w:type="dxa"/>
            <w:tcBorders>
              <w:bottom w:val="single" w:sz="12" w:space="0" w:color="auto"/>
            </w:tcBorders>
          </w:tcPr>
          <w:p w:rsidR="00000000" w:rsidRDefault="00000000">
            <w:pPr>
              <w:pStyle w:val="table"/>
              <w:tabs>
                <w:tab w:val="decimal" w:pos="567"/>
              </w:tabs>
            </w:pPr>
            <w:r>
              <w:t>0,03</w:t>
            </w:r>
          </w:p>
        </w:tc>
        <w:tc>
          <w:tcPr>
            <w:tcW w:w="1279" w:type="dxa"/>
            <w:tcBorders>
              <w:bottom w:val="single" w:sz="12" w:space="0" w:color="auto"/>
            </w:tcBorders>
          </w:tcPr>
          <w:p w:rsidR="00000000" w:rsidRDefault="00000000">
            <w:pPr>
              <w:pStyle w:val="table"/>
              <w:tabs>
                <w:tab w:val="decimal" w:pos="567"/>
              </w:tabs>
            </w:pPr>
            <w:r>
              <w:t>1,5</w:t>
            </w:r>
          </w:p>
        </w:tc>
      </w:tr>
    </w:tbl>
    <w:p w:rsidR="00000000" w:rsidRDefault="00000000">
      <w:pPr>
        <w:pStyle w:val="istochnik"/>
      </w:pPr>
      <w:r>
        <w:rPr>
          <w:i/>
        </w:rPr>
        <w:t>Источник</w:t>
      </w:r>
      <w:r>
        <w:t>: Федеральное статистическое управление</w:t>
      </w:r>
    </w:p>
    <w:p w:rsidR="00000000" w:rsidRDefault="00000000">
      <w:pPr>
        <w:pStyle w:val="H1"/>
      </w:pPr>
      <w:bookmarkStart w:id="676" w:name="_Toc44113555"/>
      <w:bookmarkStart w:id="677" w:name="_Toc44113856"/>
      <w:bookmarkStart w:id="678" w:name="_Toc44114364"/>
      <w:bookmarkStart w:id="679" w:name="_Toc44115609"/>
      <w:bookmarkStart w:id="680" w:name="_Toc44116041"/>
      <w:r>
        <w:t>Женщины на оплачиваемой работе</w:t>
      </w:r>
      <w:bookmarkEnd w:id="676"/>
      <w:bookmarkEnd w:id="677"/>
      <w:bookmarkEnd w:id="678"/>
      <w:bookmarkEnd w:id="679"/>
      <w:bookmarkEnd w:id="680"/>
    </w:p>
    <w:p w:rsidR="00000000" w:rsidRDefault="00000000">
      <w:pPr>
        <w:pStyle w:val="H23"/>
        <w:ind w:left="1264" w:firstLine="0"/>
      </w:pPr>
      <w:bookmarkStart w:id="681" w:name="_Toc44113556"/>
      <w:bookmarkStart w:id="682" w:name="_Toc44113857"/>
      <w:bookmarkStart w:id="683" w:name="_Toc44114365"/>
      <w:bookmarkStart w:id="684" w:name="_Toc44115610"/>
      <w:bookmarkStart w:id="685" w:name="_Toc44116042"/>
      <w:r>
        <w:t>Таблица 3.1: Численность и доля женщин, занятых на оплачиваемой работе, 1988–2001 год (по результатам микропереписи населения)</w:t>
      </w:r>
      <w:bookmarkEnd w:id="681"/>
      <w:bookmarkEnd w:id="682"/>
      <w:bookmarkEnd w:id="683"/>
      <w:bookmarkEnd w:id="684"/>
      <w:bookmarkEnd w:id="685"/>
    </w:p>
    <w:tbl>
      <w:tblPr>
        <w:tblW w:w="0" w:type="auto"/>
        <w:tblInd w:w="1158" w:type="dxa"/>
        <w:tblLayout w:type="fixed"/>
        <w:tblLook w:val="0000" w:firstRow="0" w:lastRow="0" w:firstColumn="0" w:lastColumn="0" w:noHBand="0" w:noVBand="0"/>
      </w:tblPr>
      <w:tblGrid>
        <w:gridCol w:w="1857"/>
        <w:gridCol w:w="1337"/>
        <w:gridCol w:w="1338"/>
        <w:gridCol w:w="1338"/>
        <w:gridCol w:w="1338"/>
      </w:tblGrid>
      <w:tr w:rsidR="00000000">
        <w:tblPrEx>
          <w:tblCellMar>
            <w:top w:w="0" w:type="dxa"/>
            <w:bottom w:w="0" w:type="dxa"/>
          </w:tblCellMar>
        </w:tblPrEx>
        <w:tc>
          <w:tcPr>
            <w:tcW w:w="1857" w:type="dxa"/>
            <w:tcBorders>
              <w:top w:val="single" w:sz="6" w:space="0" w:color="auto"/>
              <w:bottom w:val="single" w:sz="12" w:space="0" w:color="auto"/>
            </w:tcBorders>
            <w:vAlign w:val="center"/>
          </w:tcPr>
          <w:p w:rsidR="00000000" w:rsidRDefault="00000000">
            <w:pPr>
              <w:pStyle w:val="table"/>
              <w:keepNext/>
              <w:jc w:val="center"/>
              <w:rPr>
                <w:i/>
              </w:rPr>
            </w:pPr>
            <w:r>
              <w:rPr>
                <w:i/>
              </w:rPr>
              <w:t>Год</w:t>
            </w:r>
          </w:p>
        </w:tc>
        <w:tc>
          <w:tcPr>
            <w:tcW w:w="1337" w:type="dxa"/>
            <w:tcBorders>
              <w:top w:val="single" w:sz="6" w:space="0" w:color="auto"/>
              <w:bottom w:val="single" w:sz="12" w:space="0" w:color="auto"/>
            </w:tcBorders>
            <w:vAlign w:val="center"/>
          </w:tcPr>
          <w:p w:rsidR="00000000" w:rsidRDefault="00000000">
            <w:pPr>
              <w:pStyle w:val="table"/>
              <w:keepNext/>
              <w:jc w:val="center"/>
              <w:rPr>
                <w:i/>
              </w:rPr>
            </w:pPr>
            <w:r>
              <w:rPr>
                <w:i/>
              </w:rPr>
              <w:t>Всего в тыс. человек</w:t>
            </w:r>
          </w:p>
        </w:tc>
        <w:tc>
          <w:tcPr>
            <w:tcW w:w="1338" w:type="dxa"/>
            <w:tcBorders>
              <w:top w:val="single" w:sz="6" w:space="0" w:color="auto"/>
              <w:bottom w:val="single" w:sz="12" w:space="0" w:color="auto"/>
            </w:tcBorders>
            <w:vAlign w:val="center"/>
          </w:tcPr>
          <w:p w:rsidR="00000000" w:rsidRDefault="00000000">
            <w:pPr>
              <w:pStyle w:val="table"/>
              <w:keepNext/>
              <w:jc w:val="center"/>
              <w:rPr>
                <w:i/>
              </w:rPr>
            </w:pPr>
            <w:r>
              <w:rPr>
                <w:i/>
              </w:rPr>
              <w:t>Мужчин в тыс. ч</w:t>
            </w:r>
            <w:r>
              <w:rPr>
                <w:i/>
              </w:rPr>
              <w:t>е</w:t>
            </w:r>
            <w:r>
              <w:rPr>
                <w:i/>
              </w:rPr>
              <w:t>ловек</w:t>
            </w:r>
          </w:p>
        </w:tc>
        <w:tc>
          <w:tcPr>
            <w:tcW w:w="1338" w:type="dxa"/>
            <w:tcBorders>
              <w:top w:val="single" w:sz="6" w:space="0" w:color="auto"/>
              <w:bottom w:val="single" w:sz="12" w:space="0" w:color="auto"/>
            </w:tcBorders>
            <w:vAlign w:val="center"/>
          </w:tcPr>
          <w:p w:rsidR="00000000" w:rsidRDefault="00000000">
            <w:pPr>
              <w:pStyle w:val="table"/>
              <w:keepNext/>
              <w:jc w:val="center"/>
              <w:rPr>
                <w:i/>
              </w:rPr>
            </w:pPr>
            <w:r>
              <w:rPr>
                <w:i/>
              </w:rPr>
              <w:t>Женщин в тыс. ч</w:t>
            </w:r>
            <w:r>
              <w:rPr>
                <w:i/>
              </w:rPr>
              <w:t>е</w:t>
            </w:r>
            <w:r>
              <w:rPr>
                <w:i/>
              </w:rPr>
              <w:t>ловек</w:t>
            </w:r>
          </w:p>
        </w:tc>
        <w:tc>
          <w:tcPr>
            <w:tcW w:w="1338" w:type="dxa"/>
            <w:tcBorders>
              <w:top w:val="single" w:sz="6" w:space="0" w:color="auto"/>
              <w:bottom w:val="single" w:sz="12" w:space="0" w:color="auto"/>
            </w:tcBorders>
            <w:vAlign w:val="center"/>
          </w:tcPr>
          <w:p w:rsidR="00000000" w:rsidRDefault="00000000">
            <w:pPr>
              <w:pStyle w:val="table"/>
              <w:keepNext/>
              <w:jc w:val="center"/>
              <w:rPr>
                <w:i/>
              </w:rPr>
            </w:pPr>
            <w:r>
              <w:rPr>
                <w:i/>
              </w:rPr>
              <w:t>Доля женщин в проце</w:t>
            </w:r>
            <w:r>
              <w:rPr>
                <w:i/>
              </w:rPr>
              <w:t>н</w:t>
            </w:r>
            <w:r>
              <w:rPr>
                <w:i/>
              </w:rPr>
              <w:t>тах</w:t>
            </w:r>
          </w:p>
        </w:tc>
      </w:tr>
      <w:tr w:rsidR="00000000">
        <w:tblPrEx>
          <w:tblCellMar>
            <w:top w:w="0" w:type="dxa"/>
            <w:bottom w:w="0" w:type="dxa"/>
          </w:tblCellMar>
        </w:tblPrEx>
        <w:tc>
          <w:tcPr>
            <w:tcW w:w="7208" w:type="dxa"/>
            <w:gridSpan w:val="5"/>
            <w:tcBorders>
              <w:top w:val="single" w:sz="12" w:space="0" w:color="auto"/>
            </w:tcBorders>
          </w:tcPr>
          <w:p w:rsidR="00000000" w:rsidRDefault="00000000">
            <w:pPr>
              <w:pStyle w:val="table"/>
              <w:keepNext/>
            </w:pPr>
            <w:r>
              <w:t>Прежняя федеральная территория</w:t>
            </w:r>
          </w:p>
        </w:tc>
      </w:tr>
      <w:tr w:rsidR="00000000">
        <w:tblPrEx>
          <w:tblCellMar>
            <w:top w:w="0" w:type="dxa"/>
            <w:bottom w:w="0" w:type="dxa"/>
          </w:tblCellMar>
        </w:tblPrEx>
        <w:tc>
          <w:tcPr>
            <w:tcW w:w="1857" w:type="dxa"/>
          </w:tcPr>
          <w:p w:rsidR="00000000" w:rsidRDefault="00000000">
            <w:pPr>
              <w:pStyle w:val="table"/>
            </w:pPr>
            <w:r>
              <w:t>1988</w:t>
            </w:r>
          </w:p>
        </w:tc>
        <w:tc>
          <w:tcPr>
            <w:tcW w:w="1337" w:type="dxa"/>
          </w:tcPr>
          <w:p w:rsidR="00000000" w:rsidRDefault="00000000">
            <w:pPr>
              <w:pStyle w:val="table"/>
              <w:tabs>
                <w:tab w:val="decimal" w:pos="707"/>
              </w:tabs>
            </w:pPr>
            <w:r>
              <w:t>27 366</w:t>
            </w:r>
          </w:p>
        </w:tc>
        <w:tc>
          <w:tcPr>
            <w:tcW w:w="1338" w:type="dxa"/>
          </w:tcPr>
          <w:p w:rsidR="00000000" w:rsidRDefault="00000000">
            <w:pPr>
              <w:pStyle w:val="table"/>
              <w:tabs>
                <w:tab w:val="decimal" w:pos="707"/>
              </w:tabs>
            </w:pPr>
            <w:r>
              <w:t>16 759</w:t>
            </w:r>
          </w:p>
        </w:tc>
        <w:tc>
          <w:tcPr>
            <w:tcW w:w="1338" w:type="dxa"/>
          </w:tcPr>
          <w:p w:rsidR="00000000" w:rsidRDefault="00000000">
            <w:pPr>
              <w:pStyle w:val="table"/>
              <w:tabs>
                <w:tab w:val="decimal" w:pos="707"/>
              </w:tabs>
            </w:pPr>
            <w:r>
              <w:t>10 607</w:t>
            </w:r>
          </w:p>
        </w:tc>
        <w:tc>
          <w:tcPr>
            <w:tcW w:w="1338" w:type="dxa"/>
          </w:tcPr>
          <w:p w:rsidR="00000000" w:rsidRDefault="00000000">
            <w:pPr>
              <w:pStyle w:val="table"/>
              <w:tabs>
                <w:tab w:val="decimal" w:pos="707"/>
              </w:tabs>
            </w:pPr>
            <w:r>
              <w:t>38,8</w:t>
            </w:r>
          </w:p>
        </w:tc>
      </w:tr>
      <w:tr w:rsidR="00000000">
        <w:tblPrEx>
          <w:tblCellMar>
            <w:top w:w="0" w:type="dxa"/>
            <w:bottom w:w="0" w:type="dxa"/>
          </w:tblCellMar>
        </w:tblPrEx>
        <w:tc>
          <w:tcPr>
            <w:tcW w:w="1857" w:type="dxa"/>
          </w:tcPr>
          <w:p w:rsidR="00000000" w:rsidRDefault="00000000">
            <w:pPr>
              <w:pStyle w:val="table"/>
            </w:pPr>
            <w:r>
              <w:t>1989</w:t>
            </w:r>
          </w:p>
        </w:tc>
        <w:tc>
          <w:tcPr>
            <w:tcW w:w="1337" w:type="dxa"/>
          </w:tcPr>
          <w:p w:rsidR="00000000" w:rsidRDefault="00000000">
            <w:pPr>
              <w:pStyle w:val="table"/>
              <w:tabs>
                <w:tab w:val="decimal" w:pos="707"/>
              </w:tabs>
            </w:pPr>
            <w:r>
              <w:t>27 742</w:t>
            </w:r>
          </w:p>
        </w:tc>
        <w:tc>
          <w:tcPr>
            <w:tcW w:w="1338" w:type="dxa"/>
          </w:tcPr>
          <w:p w:rsidR="00000000" w:rsidRDefault="00000000">
            <w:pPr>
              <w:pStyle w:val="table"/>
              <w:tabs>
                <w:tab w:val="decimal" w:pos="707"/>
              </w:tabs>
            </w:pPr>
            <w:r>
              <w:t>16 948</w:t>
            </w:r>
          </w:p>
        </w:tc>
        <w:tc>
          <w:tcPr>
            <w:tcW w:w="1338" w:type="dxa"/>
          </w:tcPr>
          <w:p w:rsidR="00000000" w:rsidRDefault="00000000">
            <w:pPr>
              <w:pStyle w:val="table"/>
              <w:tabs>
                <w:tab w:val="decimal" w:pos="707"/>
              </w:tabs>
            </w:pPr>
            <w:r>
              <w:t>10 794</w:t>
            </w:r>
          </w:p>
        </w:tc>
        <w:tc>
          <w:tcPr>
            <w:tcW w:w="1338" w:type="dxa"/>
          </w:tcPr>
          <w:p w:rsidR="00000000" w:rsidRDefault="00000000">
            <w:pPr>
              <w:pStyle w:val="table"/>
              <w:tabs>
                <w:tab w:val="decimal" w:pos="707"/>
              </w:tabs>
            </w:pPr>
            <w:r>
              <w:t>38,9</w:t>
            </w:r>
          </w:p>
        </w:tc>
      </w:tr>
      <w:tr w:rsidR="00000000">
        <w:tblPrEx>
          <w:tblCellMar>
            <w:top w:w="0" w:type="dxa"/>
            <w:bottom w:w="0" w:type="dxa"/>
          </w:tblCellMar>
        </w:tblPrEx>
        <w:tc>
          <w:tcPr>
            <w:tcW w:w="1857" w:type="dxa"/>
          </w:tcPr>
          <w:p w:rsidR="00000000" w:rsidRDefault="00000000">
            <w:pPr>
              <w:pStyle w:val="table"/>
            </w:pPr>
            <w:r>
              <w:t>1990</w:t>
            </w:r>
          </w:p>
        </w:tc>
        <w:tc>
          <w:tcPr>
            <w:tcW w:w="1337" w:type="dxa"/>
          </w:tcPr>
          <w:p w:rsidR="00000000" w:rsidRDefault="00000000">
            <w:pPr>
              <w:pStyle w:val="table"/>
              <w:tabs>
                <w:tab w:val="decimal" w:pos="707"/>
              </w:tabs>
            </w:pPr>
            <w:r>
              <w:t>29 334</w:t>
            </w:r>
          </w:p>
        </w:tc>
        <w:tc>
          <w:tcPr>
            <w:tcW w:w="1338" w:type="dxa"/>
          </w:tcPr>
          <w:p w:rsidR="00000000" w:rsidRDefault="00000000">
            <w:pPr>
              <w:pStyle w:val="table"/>
              <w:tabs>
                <w:tab w:val="decimal" w:pos="707"/>
              </w:tabs>
            </w:pPr>
            <w:r>
              <w:t>17 585</w:t>
            </w:r>
          </w:p>
        </w:tc>
        <w:tc>
          <w:tcPr>
            <w:tcW w:w="1338" w:type="dxa"/>
          </w:tcPr>
          <w:p w:rsidR="00000000" w:rsidRDefault="00000000">
            <w:pPr>
              <w:pStyle w:val="table"/>
              <w:tabs>
                <w:tab w:val="decimal" w:pos="707"/>
              </w:tabs>
            </w:pPr>
            <w:r>
              <w:t>11 749</w:t>
            </w:r>
          </w:p>
        </w:tc>
        <w:tc>
          <w:tcPr>
            <w:tcW w:w="1338" w:type="dxa"/>
          </w:tcPr>
          <w:p w:rsidR="00000000" w:rsidRDefault="00000000">
            <w:pPr>
              <w:pStyle w:val="table"/>
              <w:tabs>
                <w:tab w:val="decimal" w:pos="707"/>
              </w:tabs>
            </w:pPr>
            <w:r>
              <w:t>40,1</w:t>
            </w:r>
          </w:p>
        </w:tc>
      </w:tr>
      <w:tr w:rsidR="00000000">
        <w:tblPrEx>
          <w:tblCellMar>
            <w:top w:w="0" w:type="dxa"/>
            <w:bottom w:w="0" w:type="dxa"/>
          </w:tblCellMar>
        </w:tblPrEx>
        <w:tc>
          <w:tcPr>
            <w:tcW w:w="1857" w:type="dxa"/>
          </w:tcPr>
          <w:p w:rsidR="00000000" w:rsidRDefault="00000000">
            <w:pPr>
              <w:pStyle w:val="table"/>
            </w:pPr>
            <w:r>
              <w:t>1991</w:t>
            </w:r>
          </w:p>
        </w:tc>
        <w:tc>
          <w:tcPr>
            <w:tcW w:w="1337" w:type="dxa"/>
          </w:tcPr>
          <w:p w:rsidR="00000000" w:rsidRDefault="00000000">
            <w:pPr>
              <w:pStyle w:val="table"/>
              <w:tabs>
                <w:tab w:val="decimal" w:pos="707"/>
              </w:tabs>
            </w:pPr>
            <w:r>
              <w:t>29 684</w:t>
            </w:r>
          </w:p>
        </w:tc>
        <w:tc>
          <w:tcPr>
            <w:tcW w:w="1338" w:type="dxa"/>
          </w:tcPr>
          <w:p w:rsidR="00000000" w:rsidRDefault="00000000">
            <w:pPr>
              <w:pStyle w:val="table"/>
              <w:tabs>
                <w:tab w:val="decimal" w:pos="707"/>
              </w:tabs>
            </w:pPr>
            <w:r>
              <w:t>17 719</w:t>
            </w:r>
          </w:p>
        </w:tc>
        <w:tc>
          <w:tcPr>
            <w:tcW w:w="1338" w:type="dxa"/>
          </w:tcPr>
          <w:p w:rsidR="00000000" w:rsidRDefault="00000000">
            <w:pPr>
              <w:pStyle w:val="table"/>
              <w:tabs>
                <w:tab w:val="decimal" w:pos="707"/>
              </w:tabs>
            </w:pPr>
            <w:r>
              <w:t>11 965</w:t>
            </w:r>
          </w:p>
        </w:tc>
        <w:tc>
          <w:tcPr>
            <w:tcW w:w="1338" w:type="dxa"/>
          </w:tcPr>
          <w:p w:rsidR="00000000" w:rsidRDefault="00000000">
            <w:pPr>
              <w:pStyle w:val="table"/>
              <w:tabs>
                <w:tab w:val="decimal" w:pos="707"/>
              </w:tabs>
            </w:pPr>
            <w:r>
              <w:t>40,3</w:t>
            </w:r>
          </w:p>
        </w:tc>
      </w:tr>
      <w:tr w:rsidR="00000000">
        <w:tblPrEx>
          <w:tblCellMar>
            <w:top w:w="0" w:type="dxa"/>
            <w:bottom w:w="0" w:type="dxa"/>
          </w:tblCellMar>
        </w:tblPrEx>
        <w:tc>
          <w:tcPr>
            <w:tcW w:w="1857" w:type="dxa"/>
          </w:tcPr>
          <w:p w:rsidR="00000000" w:rsidRDefault="00000000">
            <w:pPr>
              <w:pStyle w:val="table"/>
            </w:pPr>
            <w:r>
              <w:t>1992</w:t>
            </w:r>
          </w:p>
        </w:tc>
        <w:tc>
          <w:tcPr>
            <w:tcW w:w="1337" w:type="dxa"/>
          </w:tcPr>
          <w:p w:rsidR="00000000" w:rsidRDefault="00000000">
            <w:pPr>
              <w:pStyle w:val="table"/>
              <w:tabs>
                <w:tab w:val="decimal" w:pos="707"/>
              </w:tabs>
            </w:pPr>
            <w:r>
              <w:t>30 094</w:t>
            </w:r>
          </w:p>
        </w:tc>
        <w:tc>
          <w:tcPr>
            <w:tcW w:w="1338" w:type="dxa"/>
          </w:tcPr>
          <w:p w:rsidR="00000000" w:rsidRDefault="00000000">
            <w:pPr>
              <w:pStyle w:val="table"/>
              <w:tabs>
                <w:tab w:val="decimal" w:pos="707"/>
              </w:tabs>
            </w:pPr>
            <w:r>
              <w:t>17 845</w:t>
            </w:r>
          </w:p>
        </w:tc>
        <w:tc>
          <w:tcPr>
            <w:tcW w:w="1338" w:type="dxa"/>
          </w:tcPr>
          <w:p w:rsidR="00000000" w:rsidRDefault="00000000">
            <w:pPr>
              <w:pStyle w:val="table"/>
              <w:tabs>
                <w:tab w:val="decimal" w:pos="707"/>
              </w:tabs>
            </w:pPr>
            <w:r>
              <w:t>12 249</w:t>
            </w:r>
          </w:p>
        </w:tc>
        <w:tc>
          <w:tcPr>
            <w:tcW w:w="1338" w:type="dxa"/>
          </w:tcPr>
          <w:p w:rsidR="00000000" w:rsidRDefault="00000000">
            <w:pPr>
              <w:pStyle w:val="table"/>
              <w:tabs>
                <w:tab w:val="decimal" w:pos="707"/>
              </w:tabs>
            </w:pPr>
            <w:r>
              <w:t>40,7</w:t>
            </w:r>
          </w:p>
        </w:tc>
      </w:tr>
      <w:tr w:rsidR="00000000">
        <w:tblPrEx>
          <w:tblCellMar>
            <w:top w:w="0" w:type="dxa"/>
            <w:bottom w:w="0" w:type="dxa"/>
          </w:tblCellMar>
        </w:tblPrEx>
        <w:tc>
          <w:tcPr>
            <w:tcW w:w="1857" w:type="dxa"/>
          </w:tcPr>
          <w:p w:rsidR="00000000" w:rsidRDefault="00000000">
            <w:pPr>
              <w:pStyle w:val="table"/>
            </w:pPr>
            <w:r>
              <w:t>1993</w:t>
            </w:r>
          </w:p>
        </w:tc>
        <w:tc>
          <w:tcPr>
            <w:tcW w:w="1337" w:type="dxa"/>
          </w:tcPr>
          <w:p w:rsidR="00000000" w:rsidRDefault="00000000">
            <w:pPr>
              <w:pStyle w:val="table"/>
              <w:tabs>
                <w:tab w:val="decimal" w:pos="707"/>
              </w:tabs>
            </w:pPr>
            <w:r>
              <w:t>29 782</w:t>
            </w:r>
          </w:p>
        </w:tc>
        <w:tc>
          <w:tcPr>
            <w:tcW w:w="1338" w:type="dxa"/>
          </w:tcPr>
          <w:p w:rsidR="00000000" w:rsidRDefault="00000000">
            <w:pPr>
              <w:pStyle w:val="table"/>
              <w:tabs>
                <w:tab w:val="decimal" w:pos="707"/>
              </w:tabs>
            </w:pPr>
            <w:r>
              <w:t>17 621</w:t>
            </w:r>
          </w:p>
        </w:tc>
        <w:tc>
          <w:tcPr>
            <w:tcW w:w="1338" w:type="dxa"/>
          </w:tcPr>
          <w:p w:rsidR="00000000" w:rsidRDefault="00000000">
            <w:pPr>
              <w:pStyle w:val="table"/>
              <w:tabs>
                <w:tab w:val="decimal" w:pos="707"/>
              </w:tabs>
            </w:pPr>
            <w:r>
              <w:t>12 161</w:t>
            </w:r>
          </w:p>
        </w:tc>
        <w:tc>
          <w:tcPr>
            <w:tcW w:w="1338" w:type="dxa"/>
          </w:tcPr>
          <w:p w:rsidR="00000000" w:rsidRDefault="00000000">
            <w:pPr>
              <w:pStyle w:val="table"/>
              <w:tabs>
                <w:tab w:val="decimal" w:pos="707"/>
              </w:tabs>
            </w:pPr>
            <w:r>
              <w:t>40,8</w:t>
            </w:r>
          </w:p>
        </w:tc>
      </w:tr>
      <w:tr w:rsidR="00000000">
        <w:tblPrEx>
          <w:tblCellMar>
            <w:top w:w="0" w:type="dxa"/>
            <w:bottom w:w="0" w:type="dxa"/>
          </w:tblCellMar>
        </w:tblPrEx>
        <w:tc>
          <w:tcPr>
            <w:tcW w:w="1857" w:type="dxa"/>
          </w:tcPr>
          <w:p w:rsidR="00000000" w:rsidRDefault="00000000">
            <w:pPr>
              <w:pStyle w:val="table"/>
            </w:pPr>
            <w:r>
              <w:t>1994</w:t>
            </w:r>
          </w:p>
        </w:tc>
        <w:tc>
          <w:tcPr>
            <w:tcW w:w="1337" w:type="dxa"/>
          </w:tcPr>
          <w:p w:rsidR="00000000" w:rsidRDefault="00000000">
            <w:pPr>
              <w:pStyle w:val="table"/>
              <w:tabs>
                <w:tab w:val="decimal" w:pos="707"/>
              </w:tabs>
            </w:pPr>
            <w:r>
              <w:t>29 397</w:t>
            </w:r>
          </w:p>
        </w:tc>
        <w:tc>
          <w:tcPr>
            <w:tcW w:w="1338" w:type="dxa"/>
          </w:tcPr>
          <w:p w:rsidR="00000000" w:rsidRDefault="00000000">
            <w:pPr>
              <w:pStyle w:val="table"/>
              <w:tabs>
                <w:tab w:val="decimal" w:pos="707"/>
              </w:tabs>
            </w:pPr>
            <w:r>
              <w:t>17 270</w:t>
            </w:r>
          </w:p>
        </w:tc>
        <w:tc>
          <w:tcPr>
            <w:tcW w:w="1338" w:type="dxa"/>
          </w:tcPr>
          <w:p w:rsidR="00000000" w:rsidRDefault="00000000">
            <w:pPr>
              <w:pStyle w:val="table"/>
              <w:tabs>
                <w:tab w:val="decimal" w:pos="707"/>
              </w:tabs>
            </w:pPr>
            <w:r>
              <w:t>12 127</w:t>
            </w:r>
          </w:p>
        </w:tc>
        <w:tc>
          <w:tcPr>
            <w:tcW w:w="1338" w:type="dxa"/>
          </w:tcPr>
          <w:p w:rsidR="00000000" w:rsidRDefault="00000000">
            <w:pPr>
              <w:pStyle w:val="table"/>
              <w:tabs>
                <w:tab w:val="decimal" w:pos="707"/>
              </w:tabs>
            </w:pPr>
            <w:r>
              <w:t>41,3</w:t>
            </w:r>
          </w:p>
        </w:tc>
      </w:tr>
      <w:tr w:rsidR="00000000">
        <w:tblPrEx>
          <w:tblCellMar>
            <w:top w:w="0" w:type="dxa"/>
            <w:bottom w:w="0" w:type="dxa"/>
          </w:tblCellMar>
        </w:tblPrEx>
        <w:tc>
          <w:tcPr>
            <w:tcW w:w="1857" w:type="dxa"/>
          </w:tcPr>
          <w:p w:rsidR="00000000" w:rsidRDefault="00000000">
            <w:pPr>
              <w:pStyle w:val="table"/>
            </w:pPr>
            <w:r>
              <w:t>1995</w:t>
            </w:r>
          </w:p>
        </w:tc>
        <w:tc>
          <w:tcPr>
            <w:tcW w:w="1337" w:type="dxa"/>
          </w:tcPr>
          <w:p w:rsidR="00000000" w:rsidRDefault="00000000">
            <w:pPr>
              <w:pStyle w:val="table"/>
              <w:tabs>
                <w:tab w:val="decimal" w:pos="707"/>
              </w:tabs>
            </w:pPr>
            <w:r>
              <w:t>29 244</w:t>
            </w:r>
          </w:p>
        </w:tc>
        <w:tc>
          <w:tcPr>
            <w:tcW w:w="1338" w:type="dxa"/>
          </w:tcPr>
          <w:p w:rsidR="00000000" w:rsidRDefault="00000000">
            <w:pPr>
              <w:pStyle w:val="table"/>
              <w:tabs>
                <w:tab w:val="decimal" w:pos="707"/>
              </w:tabs>
            </w:pPr>
            <w:r>
              <w:t>17 141</w:t>
            </w:r>
          </w:p>
        </w:tc>
        <w:tc>
          <w:tcPr>
            <w:tcW w:w="1338" w:type="dxa"/>
          </w:tcPr>
          <w:p w:rsidR="00000000" w:rsidRDefault="00000000">
            <w:pPr>
              <w:pStyle w:val="table"/>
              <w:tabs>
                <w:tab w:val="decimal" w:pos="707"/>
              </w:tabs>
            </w:pPr>
            <w:r>
              <w:t>12 102</w:t>
            </w:r>
          </w:p>
        </w:tc>
        <w:tc>
          <w:tcPr>
            <w:tcW w:w="1338" w:type="dxa"/>
          </w:tcPr>
          <w:p w:rsidR="00000000" w:rsidRDefault="00000000">
            <w:pPr>
              <w:pStyle w:val="table"/>
              <w:tabs>
                <w:tab w:val="decimal" w:pos="707"/>
              </w:tabs>
            </w:pPr>
            <w:r>
              <w:t>41,4</w:t>
            </w:r>
          </w:p>
        </w:tc>
      </w:tr>
      <w:tr w:rsidR="00000000">
        <w:tblPrEx>
          <w:tblCellMar>
            <w:top w:w="0" w:type="dxa"/>
            <w:bottom w:w="0" w:type="dxa"/>
          </w:tblCellMar>
        </w:tblPrEx>
        <w:tc>
          <w:tcPr>
            <w:tcW w:w="1857" w:type="dxa"/>
          </w:tcPr>
          <w:p w:rsidR="00000000" w:rsidRDefault="00000000">
            <w:pPr>
              <w:pStyle w:val="table"/>
            </w:pPr>
            <w:r>
              <w:t>1996</w:t>
            </w:r>
          </w:p>
        </w:tc>
        <w:tc>
          <w:tcPr>
            <w:tcW w:w="1337" w:type="dxa"/>
          </w:tcPr>
          <w:p w:rsidR="00000000" w:rsidRDefault="00000000">
            <w:pPr>
              <w:pStyle w:val="table"/>
              <w:tabs>
                <w:tab w:val="decimal" w:pos="707"/>
              </w:tabs>
            </w:pPr>
            <w:r>
              <w:t>29 276</w:t>
            </w:r>
          </w:p>
        </w:tc>
        <w:tc>
          <w:tcPr>
            <w:tcW w:w="1338" w:type="dxa"/>
          </w:tcPr>
          <w:p w:rsidR="00000000" w:rsidRDefault="00000000">
            <w:pPr>
              <w:pStyle w:val="table"/>
              <w:tabs>
                <w:tab w:val="decimal" w:pos="707"/>
              </w:tabs>
            </w:pPr>
            <w:r>
              <w:t>17 002</w:t>
            </w:r>
          </w:p>
        </w:tc>
        <w:tc>
          <w:tcPr>
            <w:tcW w:w="1338" w:type="dxa"/>
          </w:tcPr>
          <w:p w:rsidR="00000000" w:rsidRDefault="00000000">
            <w:pPr>
              <w:pStyle w:val="table"/>
              <w:tabs>
                <w:tab w:val="decimal" w:pos="707"/>
              </w:tabs>
            </w:pPr>
            <w:r>
              <w:t>12 275</w:t>
            </w:r>
          </w:p>
        </w:tc>
        <w:tc>
          <w:tcPr>
            <w:tcW w:w="1338" w:type="dxa"/>
          </w:tcPr>
          <w:p w:rsidR="00000000" w:rsidRDefault="00000000">
            <w:pPr>
              <w:pStyle w:val="table"/>
              <w:tabs>
                <w:tab w:val="decimal" w:pos="707"/>
              </w:tabs>
            </w:pPr>
            <w:r>
              <w:t>41,9</w:t>
            </w:r>
          </w:p>
        </w:tc>
      </w:tr>
      <w:tr w:rsidR="00000000">
        <w:tblPrEx>
          <w:tblCellMar>
            <w:top w:w="0" w:type="dxa"/>
            <w:bottom w:w="0" w:type="dxa"/>
          </w:tblCellMar>
        </w:tblPrEx>
        <w:tc>
          <w:tcPr>
            <w:tcW w:w="1857" w:type="dxa"/>
          </w:tcPr>
          <w:p w:rsidR="00000000" w:rsidRDefault="00000000">
            <w:pPr>
              <w:pStyle w:val="table"/>
            </w:pPr>
            <w:r>
              <w:t>1997</w:t>
            </w:r>
          </w:p>
        </w:tc>
        <w:tc>
          <w:tcPr>
            <w:tcW w:w="1337" w:type="dxa"/>
          </w:tcPr>
          <w:p w:rsidR="00000000" w:rsidRDefault="00000000">
            <w:pPr>
              <w:pStyle w:val="table"/>
              <w:tabs>
                <w:tab w:val="decimal" w:pos="707"/>
              </w:tabs>
            </w:pPr>
            <w:r>
              <w:t>29 200</w:t>
            </w:r>
          </w:p>
        </w:tc>
        <w:tc>
          <w:tcPr>
            <w:tcW w:w="1338" w:type="dxa"/>
          </w:tcPr>
          <w:p w:rsidR="00000000" w:rsidRDefault="00000000">
            <w:pPr>
              <w:pStyle w:val="table"/>
              <w:tabs>
                <w:tab w:val="decimal" w:pos="707"/>
              </w:tabs>
            </w:pPr>
            <w:r>
              <w:t>16 901</w:t>
            </w:r>
          </w:p>
        </w:tc>
        <w:tc>
          <w:tcPr>
            <w:tcW w:w="1338" w:type="dxa"/>
          </w:tcPr>
          <w:p w:rsidR="00000000" w:rsidRDefault="00000000">
            <w:pPr>
              <w:pStyle w:val="table"/>
              <w:tabs>
                <w:tab w:val="decimal" w:pos="707"/>
              </w:tabs>
            </w:pPr>
            <w:r>
              <w:t>12 299</w:t>
            </w:r>
          </w:p>
        </w:tc>
        <w:tc>
          <w:tcPr>
            <w:tcW w:w="1338" w:type="dxa"/>
          </w:tcPr>
          <w:p w:rsidR="00000000" w:rsidRDefault="00000000">
            <w:pPr>
              <w:pStyle w:val="table"/>
              <w:tabs>
                <w:tab w:val="decimal" w:pos="707"/>
              </w:tabs>
            </w:pPr>
            <w:r>
              <w:t>42,1</w:t>
            </w:r>
          </w:p>
        </w:tc>
      </w:tr>
      <w:tr w:rsidR="00000000">
        <w:tblPrEx>
          <w:tblCellMar>
            <w:top w:w="0" w:type="dxa"/>
            <w:bottom w:w="0" w:type="dxa"/>
          </w:tblCellMar>
        </w:tblPrEx>
        <w:tc>
          <w:tcPr>
            <w:tcW w:w="1857" w:type="dxa"/>
          </w:tcPr>
          <w:p w:rsidR="00000000" w:rsidRDefault="00000000">
            <w:pPr>
              <w:pStyle w:val="table"/>
            </w:pPr>
            <w:r>
              <w:t>1998</w:t>
            </w:r>
          </w:p>
        </w:tc>
        <w:tc>
          <w:tcPr>
            <w:tcW w:w="1337" w:type="dxa"/>
          </w:tcPr>
          <w:p w:rsidR="00000000" w:rsidRDefault="00000000">
            <w:pPr>
              <w:pStyle w:val="table"/>
              <w:tabs>
                <w:tab w:val="decimal" w:pos="707"/>
              </w:tabs>
            </w:pPr>
            <w:r>
              <w:t>29 317</w:t>
            </w:r>
          </w:p>
        </w:tc>
        <w:tc>
          <w:tcPr>
            <w:tcW w:w="1338" w:type="dxa"/>
          </w:tcPr>
          <w:p w:rsidR="00000000" w:rsidRDefault="00000000">
            <w:pPr>
              <w:pStyle w:val="table"/>
              <w:tabs>
                <w:tab w:val="decimal" w:pos="707"/>
              </w:tabs>
            </w:pPr>
            <w:r>
              <w:t>16 901</w:t>
            </w:r>
          </w:p>
        </w:tc>
        <w:tc>
          <w:tcPr>
            <w:tcW w:w="1338" w:type="dxa"/>
          </w:tcPr>
          <w:p w:rsidR="00000000" w:rsidRDefault="00000000">
            <w:pPr>
              <w:pStyle w:val="table"/>
              <w:tabs>
                <w:tab w:val="decimal" w:pos="707"/>
              </w:tabs>
            </w:pPr>
            <w:r>
              <w:t>12 416</w:t>
            </w:r>
          </w:p>
        </w:tc>
        <w:tc>
          <w:tcPr>
            <w:tcW w:w="1338" w:type="dxa"/>
          </w:tcPr>
          <w:p w:rsidR="00000000" w:rsidRDefault="00000000">
            <w:pPr>
              <w:pStyle w:val="table"/>
              <w:tabs>
                <w:tab w:val="decimal" w:pos="707"/>
              </w:tabs>
            </w:pPr>
            <w:r>
              <w:t>42,4</w:t>
            </w:r>
          </w:p>
        </w:tc>
      </w:tr>
      <w:tr w:rsidR="00000000">
        <w:tblPrEx>
          <w:tblCellMar>
            <w:top w:w="0" w:type="dxa"/>
            <w:bottom w:w="0" w:type="dxa"/>
          </w:tblCellMar>
        </w:tblPrEx>
        <w:tc>
          <w:tcPr>
            <w:tcW w:w="1857" w:type="dxa"/>
          </w:tcPr>
          <w:p w:rsidR="00000000" w:rsidRDefault="00000000">
            <w:pPr>
              <w:pStyle w:val="table"/>
            </w:pPr>
            <w:r>
              <w:t>1999</w:t>
            </w:r>
          </w:p>
        </w:tc>
        <w:tc>
          <w:tcPr>
            <w:tcW w:w="1337" w:type="dxa"/>
          </w:tcPr>
          <w:p w:rsidR="00000000" w:rsidRDefault="00000000">
            <w:pPr>
              <w:pStyle w:val="table"/>
              <w:tabs>
                <w:tab w:val="decimal" w:pos="707"/>
              </w:tabs>
            </w:pPr>
            <w:r>
              <w:t>29 729</w:t>
            </w:r>
          </w:p>
        </w:tc>
        <w:tc>
          <w:tcPr>
            <w:tcW w:w="1338" w:type="dxa"/>
          </w:tcPr>
          <w:p w:rsidR="00000000" w:rsidRDefault="00000000">
            <w:pPr>
              <w:pStyle w:val="table"/>
              <w:tabs>
                <w:tab w:val="decimal" w:pos="707"/>
              </w:tabs>
            </w:pPr>
            <w:r>
              <w:t>16 991</w:t>
            </w:r>
          </w:p>
        </w:tc>
        <w:tc>
          <w:tcPr>
            <w:tcW w:w="1338" w:type="dxa"/>
          </w:tcPr>
          <w:p w:rsidR="00000000" w:rsidRDefault="00000000">
            <w:pPr>
              <w:pStyle w:val="table"/>
              <w:tabs>
                <w:tab w:val="decimal" w:pos="707"/>
              </w:tabs>
            </w:pPr>
            <w:r>
              <w:t>12 738</w:t>
            </w:r>
          </w:p>
        </w:tc>
        <w:tc>
          <w:tcPr>
            <w:tcW w:w="1338" w:type="dxa"/>
          </w:tcPr>
          <w:p w:rsidR="00000000" w:rsidRDefault="00000000">
            <w:pPr>
              <w:pStyle w:val="table"/>
              <w:tabs>
                <w:tab w:val="decimal" w:pos="707"/>
              </w:tabs>
            </w:pPr>
            <w:r>
              <w:t>42,8</w:t>
            </w:r>
          </w:p>
        </w:tc>
      </w:tr>
      <w:tr w:rsidR="00000000">
        <w:tblPrEx>
          <w:tblCellMar>
            <w:top w:w="0" w:type="dxa"/>
            <w:bottom w:w="0" w:type="dxa"/>
          </w:tblCellMar>
        </w:tblPrEx>
        <w:tc>
          <w:tcPr>
            <w:tcW w:w="1857" w:type="dxa"/>
          </w:tcPr>
          <w:p w:rsidR="00000000" w:rsidRDefault="00000000">
            <w:pPr>
              <w:pStyle w:val="table"/>
            </w:pPr>
            <w:r>
              <w:t>2000</w:t>
            </w:r>
          </w:p>
        </w:tc>
        <w:tc>
          <w:tcPr>
            <w:tcW w:w="1337" w:type="dxa"/>
          </w:tcPr>
          <w:p w:rsidR="00000000" w:rsidRDefault="00000000">
            <w:pPr>
              <w:pStyle w:val="table"/>
              <w:tabs>
                <w:tab w:val="decimal" w:pos="707"/>
              </w:tabs>
            </w:pPr>
            <w:r>
              <w:t>30 009</w:t>
            </w:r>
          </w:p>
        </w:tc>
        <w:tc>
          <w:tcPr>
            <w:tcW w:w="1338" w:type="dxa"/>
          </w:tcPr>
          <w:p w:rsidR="00000000" w:rsidRDefault="00000000">
            <w:pPr>
              <w:pStyle w:val="table"/>
              <w:tabs>
                <w:tab w:val="decimal" w:pos="707"/>
              </w:tabs>
            </w:pPr>
            <w:r>
              <w:t>17 059</w:t>
            </w:r>
          </w:p>
        </w:tc>
        <w:tc>
          <w:tcPr>
            <w:tcW w:w="1338" w:type="dxa"/>
          </w:tcPr>
          <w:p w:rsidR="00000000" w:rsidRDefault="00000000">
            <w:pPr>
              <w:pStyle w:val="table"/>
              <w:tabs>
                <w:tab w:val="decimal" w:pos="707"/>
              </w:tabs>
            </w:pPr>
            <w:r>
              <w:t>12 950</w:t>
            </w:r>
          </w:p>
        </w:tc>
        <w:tc>
          <w:tcPr>
            <w:tcW w:w="1338" w:type="dxa"/>
          </w:tcPr>
          <w:p w:rsidR="00000000" w:rsidRDefault="00000000">
            <w:pPr>
              <w:pStyle w:val="table"/>
              <w:tabs>
                <w:tab w:val="decimal" w:pos="707"/>
              </w:tabs>
            </w:pPr>
            <w:r>
              <w:t>43,2</w:t>
            </w:r>
          </w:p>
        </w:tc>
      </w:tr>
      <w:tr w:rsidR="00000000">
        <w:tblPrEx>
          <w:tblCellMar>
            <w:top w:w="0" w:type="dxa"/>
            <w:bottom w:w="0" w:type="dxa"/>
          </w:tblCellMar>
        </w:tblPrEx>
        <w:tc>
          <w:tcPr>
            <w:tcW w:w="1857" w:type="dxa"/>
            <w:tcBorders>
              <w:bottom w:val="single" w:sz="12" w:space="0" w:color="auto"/>
            </w:tcBorders>
          </w:tcPr>
          <w:p w:rsidR="00000000" w:rsidRDefault="00000000">
            <w:pPr>
              <w:pStyle w:val="table"/>
            </w:pPr>
            <w:r>
              <w:t>2001</w:t>
            </w:r>
          </w:p>
        </w:tc>
        <w:tc>
          <w:tcPr>
            <w:tcW w:w="1337" w:type="dxa"/>
            <w:tcBorders>
              <w:bottom w:val="single" w:sz="12" w:space="0" w:color="auto"/>
            </w:tcBorders>
          </w:tcPr>
          <w:p w:rsidR="00000000" w:rsidRDefault="00000000">
            <w:pPr>
              <w:pStyle w:val="table"/>
              <w:tabs>
                <w:tab w:val="decimal" w:pos="707"/>
              </w:tabs>
            </w:pPr>
            <w:r>
              <w:t>30 307</w:t>
            </w:r>
          </w:p>
        </w:tc>
        <w:tc>
          <w:tcPr>
            <w:tcW w:w="1338" w:type="dxa"/>
            <w:tcBorders>
              <w:bottom w:val="single" w:sz="12" w:space="0" w:color="auto"/>
            </w:tcBorders>
          </w:tcPr>
          <w:p w:rsidR="00000000" w:rsidRDefault="00000000">
            <w:pPr>
              <w:pStyle w:val="table"/>
              <w:tabs>
                <w:tab w:val="decimal" w:pos="707"/>
              </w:tabs>
            </w:pPr>
            <w:r>
              <w:t>17 081</w:t>
            </w:r>
          </w:p>
        </w:tc>
        <w:tc>
          <w:tcPr>
            <w:tcW w:w="1338" w:type="dxa"/>
            <w:tcBorders>
              <w:bottom w:val="single" w:sz="12" w:space="0" w:color="auto"/>
            </w:tcBorders>
          </w:tcPr>
          <w:p w:rsidR="00000000" w:rsidRDefault="00000000">
            <w:pPr>
              <w:pStyle w:val="table"/>
              <w:tabs>
                <w:tab w:val="decimal" w:pos="707"/>
              </w:tabs>
            </w:pPr>
            <w:r>
              <w:t>13 226</w:t>
            </w:r>
          </w:p>
        </w:tc>
        <w:tc>
          <w:tcPr>
            <w:tcW w:w="1338" w:type="dxa"/>
            <w:tcBorders>
              <w:bottom w:val="single" w:sz="12" w:space="0" w:color="auto"/>
            </w:tcBorders>
          </w:tcPr>
          <w:p w:rsidR="00000000" w:rsidRDefault="00000000">
            <w:pPr>
              <w:pStyle w:val="table"/>
              <w:tabs>
                <w:tab w:val="decimal" w:pos="707"/>
              </w:tabs>
            </w:pPr>
            <w:r>
              <w:t>43,6</w:t>
            </w:r>
          </w:p>
        </w:tc>
      </w:tr>
    </w:tbl>
    <w:p w:rsidR="00000000" w:rsidRDefault="00000000"/>
    <w:tbl>
      <w:tblPr>
        <w:tblW w:w="0" w:type="auto"/>
        <w:tblInd w:w="1158" w:type="dxa"/>
        <w:tblLayout w:type="fixed"/>
        <w:tblLook w:val="0000" w:firstRow="0" w:lastRow="0" w:firstColumn="0" w:lastColumn="0" w:noHBand="0" w:noVBand="0"/>
      </w:tblPr>
      <w:tblGrid>
        <w:gridCol w:w="1857"/>
        <w:gridCol w:w="1337"/>
        <w:gridCol w:w="1338"/>
        <w:gridCol w:w="1338"/>
        <w:gridCol w:w="1338"/>
      </w:tblGrid>
      <w:tr w:rsidR="00000000">
        <w:tblPrEx>
          <w:tblCellMar>
            <w:top w:w="0" w:type="dxa"/>
            <w:bottom w:w="0" w:type="dxa"/>
          </w:tblCellMar>
        </w:tblPrEx>
        <w:tc>
          <w:tcPr>
            <w:tcW w:w="1857" w:type="dxa"/>
            <w:tcBorders>
              <w:top w:val="single" w:sz="6" w:space="0" w:color="auto"/>
              <w:bottom w:val="single" w:sz="12" w:space="0" w:color="auto"/>
            </w:tcBorders>
            <w:vAlign w:val="center"/>
          </w:tcPr>
          <w:p w:rsidR="00000000" w:rsidRDefault="00000000">
            <w:pPr>
              <w:pStyle w:val="table"/>
              <w:jc w:val="center"/>
              <w:rPr>
                <w:i/>
              </w:rPr>
            </w:pPr>
            <w:r>
              <w:rPr>
                <w:i/>
              </w:rPr>
              <w:t>Год</w:t>
            </w:r>
          </w:p>
        </w:tc>
        <w:tc>
          <w:tcPr>
            <w:tcW w:w="1337" w:type="dxa"/>
            <w:tcBorders>
              <w:top w:val="single" w:sz="6" w:space="0" w:color="auto"/>
              <w:bottom w:val="single" w:sz="12" w:space="0" w:color="auto"/>
            </w:tcBorders>
            <w:vAlign w:val="center"/>
          </w:tcPr>
          <w:p w:rsidR="00000000" w:rsidRDefault="00000000">
            <w:pPr>
              <w:pStyle w:val="table"/>
              <w:jc w:val="center"/>
              <w:rPr>
                <w:i/>
              </w:rPr>
            </w:pPr>
            <w:r>
              <w:rPr>
                <w:i/>
              </w:rPr>
              <w:t>Всего в тыс. чел</w:t>
            </w:r>
            <w:r>
              <w:rPr>
                <w:i/>
              </w:rPr>
              <w:t>о</w:t>
            </w:r>
            <w:r>
              <w:rPr>
                <w:i/>
              </w:rPr>
              <w:t>век</w:t>
            </w:r>
          </w:p>
        </w:tc>
        <w:tc>
          <w:tcPr>
            <w:tcW w:w="1338" w:type="dxa"/>
            <w:tcBorders>
              <w:top w:val="single" w:sz="6" w:space="0" w:color="auto"/>
              <w:bottom w:val="single" w:sz="12" w:space="0" w:color="auto"/>
            </w:tcBorders>
            <w:vAlign w:val="center"/>
          </w:tcPr>
          <w:p w:rsidR="00000000" w:rsidRDefault="00000000">
            <w:pPr>
              <w:pStyle w:val="table"/>
              <w:jc w:val="center"/>
              <w:rPr>
                <w:i/>
              </w:rPr>
            </w:pPr>
            <w:r>
              <w:rPr>
                <w:i/>
              </w:rPr>
              <w:t>Мужчин в тыс. ч</w:t>
            </w:r>
            <w:r>
              <w:rPr>
                <w:i/>
              </w:rPr>
              <w:t>е</w:t>
            </w:r>
            <w:r>
              <w:rPr>
                <w:i/>
              </w:rPr>
              <w:t>ловек</w:t>
            </w:r>
          </w:p>
        </w:tc>
        <w:tc>
          <w:tcPr>
            <w:tcW w:w="1338" w:type="dxa"/>
            <w:tcBorders>
              <w:top w:val="single" w:sz="6" w:space="0" w:color="auto"/>
              <w:bottom w:val="single" w:sz="12" w:space="0" w:color="auto"/>
            </w:tcBorders>
            <w:vAlign w:val="center"/>
          </w:tcPr>
          <w:p w:rsidR="00000000" w:rsidRDefault="00000000">
            <w:pPr>
              <w:pStyle w:val="table"/>
              <w:jc w:val="center"/>
              <w:rPr>
                <w:i/>
              </w:rPr>
            </w:pPr>
            <w:r>
              <w:rPr>
                <w:i/>
              </w:rPr>
              <w:t>Женщин в тыс. ч</w:t>
            </w:r>
            <w:r>
              <w:rPr>
                <w:i/>
              </w:rPr>
              <w:t>е</w:t>
            </w:r>
            <w:r>
              <w:rPr>
                <w:i/>
              </w:rPr>
              <w:t>ловек</w:t>
            </w:r>
          </w:p>
        </w:tc>
        <w:tc>
          <w:tcPr>
            <w:tcW w:w="1338" w:type="dxa"/>
            <w:tcBorders>
              <w:top w:val="single" w:sz="6" w:space="0" w:color="auto"/>
              <w:bottom w:val="single" w:sz="12" w:space="0" w:color="auto"/>
            </w:tcBorders>
            <w:vAlign w:val="center"/>
          </w:tcPr>
          <w:p w:rsidR="00000000" w:rsidRDefault="00000000">
            <w:pPr>
              <w:pStyle w:val="table"/>
              <w:jc w:val="center"/>
              <w:rPr>
                <w:i/>
              </w:rPr>
            </w:pPr>
            <w:r>
              <w:rPr>
                <w:i/>
              </w:rPr>
              <w:t>Доля женщин в пр</w:t>
            </w:r>
            <w:r>
              <w:rPr>
                <w:i/>
              </w:rPr>
              <w:t>о</w:t>
            </w:r>
            <w:r>
              <w:rPr>
                <w:i/>
              </w:rPr>
              <w:t>центах</w:t>
            </w:r>
          </w:p>
        </w:tc>
      </w:tr>
      <w:tr w:rsidR="00000000">
        <w:tblPrEx>
          <w:tblCellMar>
            <w:top w:w="0" w:type="dxa"/>
            <w:bottom w:w="0" w:type="dxa"/>
          </w:tblCellMar>
        </w:tblPrEx>
        <w:tc>
          <w:tcPr>
            <w:tcW w:w="7208" w:type="dxa"/>
            <w:gridSpan w:val="5"/>
            <w:tcBorders>
              <w:top w:val="single" w:sz="12" w:space="0" w:color="auto"/>
            </w:tcBorders>
          </w:tcPr>
          <w:p w:rsidR="00000000" w:rsidRDefault="00000000">
            <w:pPr>
              <w:pStyle w:val="table"/>
            </w:pPr>
            <w:r>
              <w:t>Новые федеральные земли и Восточный Берлин</w:t>
            </w:r>
          </w:p>
        </w:tc>
      </w:tr>
      <w:tr w:rsidR="00000000">
        <w:tblPrEx>
          <w:tblCellMar>
            <w:top w:w="0" w:type="dxa"/>
            <w:bottom w:w="0" w:type="dxa"/>
          </w:tblCellMar>
        </w:tblPrEx>
        <w:tc>
          <w:tcPr>
            <w:tcW w:w="1857" w:type="dxa"/>
          </w:tcPr>
          <w:p w:rsidR="00000000" w:rsidRDefault="00000000">
            <w:pPr>
              <w:pStyle w:val="table"/>
            </w:pPr>
            <w:r>
              <w:t>1991</w:t>
            </w:r>
          </w:p>
        </w:tc>
        <w:tc>
          <w:tcPr>
            <w:tcW w:w="1337" w:type="dxa"/>
          </w:tcPr>
          <w:p w:rsidR="00000000" w:rsidRDefault="00000000">
            <w:pPr>
              <w:pStyle w:val="table"/>
              <w:tabs>
                <w:tab w:val="decimal" w:pos="707"/>
              </w:tabs>
            </w:pPr>
            <w:r>
              <w:t>7761</w:t>
            </w:r>
          </w:p>
        </w:tc>
        <w:tc>
          <w:tcPr>
            <w:tcW w:w="1338" w:type="dxa"/>
          </w:tcPr>
          <w:p w:rsidR="00000000" w:rsidRDefault="00000000">
            <w:pPr>
              <w:pStyle w:val="table"/>
              <w:tabs>
                <w:tab w:val="decimal" w:pos="707"/>
              </w:tabs>
            </w:pPr>
            <w:r>
              <w:t>4156</w:t>
            </w:r>
          </w:p>
        </w:tc>
        <w:tc>
          <w:tcPr>
            <w:tcW w:w="1338" w:type="dxa"/>
          </w:tcPr>
          <w:p w:rsidR="00000000" w:rsidRDefault="00000000">
            <w:pPr>
              <w:pStyle w:val="table"/>
              <w:tabs>
                <w:tab w:val="decimal" w:pos="707"/>
              </w:tabs>
            </w:pPr>
            <w:r>
              <w:t>3065</w:t>
            </w:r>
          </w:p>
        </w:tc>
        <w:tc>
          <w:tcPr>
            <w:tcW w:w="1338" w:type="dxa"/>
          </w:tcPr>
          <w:p w:rsidR="00000000" w:rsidRDefault="00000000">
            <w:pPr>
              <w:pStyle w:val="table"/>
              <w:tabs>
                <w:tab w:val="decimal" w:pos="707"/>
              </w:tabs>
            </w:pPr>
            <w:r>
              <w:t>46,5</w:t>
            </w:r>
          </w:p>
        </w:tc>
      </w:tr>
      <w:tr w:rsidR="00000000">
        <w:tblPrEx>
          <w:tblCellMar>
            <w:top w:w="0" w:type="dxa"/>
            <w:bottom w:w="0" w:type="dxa"/>
          </w:tblCellMar>
        </w:tblPrEx>
        <w:tc>
          <w:tcPr>
            <w:tcW w:w="1857" w:type="dxa"/>
          </w:tcPr>
          <w:p w:rsidR="00000000" w:rsidRDefault="00000000">
            <w:pPr>
              <w:pStyle w:val="table"/>
            </w:pPr>
            <w:r>
              <w:t>1992</w:t>
            </w:r>
          </w:p>
        </w:tc>
        <w:tc>
          <w:tcPr>
            <w:tcW w:w="1337" w:type="dxa"/>
          </w:tcPr>
          <w:p w:rsidR="00000000" w:rsidRDefault="00000000">
            <w:pPr>
              <w:pStyle w:val="table"/>
              <w:tabs>
                <w:tab w:val="decimal" w:pos="707"/>
              </w:tabs>
            </w:pPr>
            <w:r>
              <w:t>6846</w:t>
            </w:r>
          </w:p>
        </w:tc>
        <w:tc>
          <w:tcPr>
            <w:tcW w:w="1338" w:type="dxa"/>
          </w:tcPr>
          <w:p w:rsidR="00000000" w:rsidRDefault="00000000">
            <w:pPr>
              <w:pStyle w:val="table"/>
              <w:tabs>
                <w:tab w:val="decimal" w:pos="707"/>
              </w:tabs>
            </w:pPr>
            <w:r>
              <w:t>3778</w:t>
            </w:r>
          </w:p>
        </w:tc>
        <w:tc>
          <w:tcPr>
            <w:tcW w:w="1338" w:type="dxa"/>
          </w:tcPr>
          <w:p w:rsidR="00000000" w:rsidRDefault="00000000">
            <w:pPr>
              <w:pStyle w:val="table"/>
              <w:tabs>
                <w:tab w:val="decimal" w:pos="707"/>
              </w:tabs>
            </w:pPr>
            <w:r>
              <w:t>3069</w:t>
            </w:r>
          </w:p>
        </w:tc>
        <w:tc>
          <w:tcPr>
            <w:tcW w:w="1338" w:type="dxa"/>
          </w:tcPr>
          <w:p w:rsidR="00000000" w:rsidRDefault="00000000">
            <w:pPr>
              <w:pStyle w:val="table"/>
              <w:tabs>
                <w:tab w:val="decimal" w:pos="707"/>
              </w:tabs>
            </w:pPr>
            <w:r>
              <w:t>44,8</w:t>
            </w:r>
          </w:p>
        </w:tc>
      </w:tr>
      <w:tr w:rsidR="00000000">
        <w:tblPrEx>
          <w:tblCellMar>
            <w:top w:w="0" w:type="dxa"/>
            <w:bottom w:w="0" w:type="dxa"/>
          </w:tblCellMar>
        </w:tblPrEx>
        <w:tc>
          <w:tcPr>
            <w:tcW w:w="1857" w:type="dxa"/>
          </w:tcPr>
          <w:p w:rsidR="00000000" w:rsidRDefault="00000000">
            <w:pPr>
              <w:pStyle w:val="table"/>
            </w:pPr>
            <w:r>
              <w:t>1993</w:t>
            </w:r>
          </w:p>
        </w:tc>
        <w:tc>
          <w:tcPr>
            <w:tcW w:w="1337" w:type="dxa"/>
          </w:tcPr>
          <w:p w:rsidR="00000000" w:rsidRDefault="00000000">
            <w:pPr>
              <w:pStyle w:val="table"/>
              <w:tabs>
                <w:tab w:val="decimal" w:pos="707"/>
              </w:tabs>
            </w:pPr>
            <w:r>
              <w:t>6599</w:t>
            </w:r>
          </w:p>
        </w:tc>
        <w:tc>
          <w:tcPr>
            <w:tcW w:w="1338" w:type="dxa"/>
          </w:tcPr>
          <w:p w:rsidR="00000000" w:rsidRDefault="00000000">
            <w:pPr>
              <w:pStyle w:val="table"/>
              <w:tabs>
                <w:tab w:val="decimal" w:pos="707"/>
              </w:tabs>
            </w:pPr>
            <w:r>
              <w:t>3675</w:t>
            </w:r>
          </w:p>
        </w:tc>
        <w:tc>
          <w:tcPr>
            <w:tcW w:w="1338" w:type="dxa"/>
          </w:tcPr>
          <w:p w:rsidR="00000000" w:rsidRDefault="00000000">
            <w:pPr>
              <w:pStyle w:val="table"/>
              <w:tabs>
                <w:tab w:val="decimal" w:pos="707"/>
              </w:tabs>
            </w:pPr>
            <w:r>
              <w:t>2924</w:t>
            </w:r>
          </w:p>
        </w:tc>
        <w:tc>
          <w:tcPr>
            <w:tcW w:w="1338" w:type="dxa"/>
          </w:tcPr>
          <w:p w:rsidR="00000000" w:rsidRDefault="00000000">
            <w:pPr>
              <w:pStyle w:val="table"/>
              <w:tabs>
                <w:tab w:val="decimal" w:pos="707"/>
              </w:tabs>
            </w:pPr>
            <w:r>
              <w:t>44,3</w:t>
            </w:r>
          </w:p>
        </w:tc>
      </w:tr>
      <w:tr w:rsidR="00000000">
        <w:tblPrEx>
          <w:tblCellMar>
            <w:top w:w="0" w:type="dxa"/>
            <w:bottom w:w="0" w:type="dxa"/>
          </w:tblCellMar>
        </w:tblPrEx>
        <w:tc>
          <w:tcPr>
            <w:tcW w:w="1857" w:type="dxa"/>
          </w:tcPr>
          <w:p w:rsidR="00000000" w:rsidRDefault="00000000">
            <w:pPr>
              <w:pStyle w:val="table"/>
            </w:pPr>
            <w:r>
              <w:t>1994</w:t>
            </w:r>
          </w:p>
        </w:tc>
        <w:tc>
          <w:tcPr>
            <w:tcW w:w="1337" w:type="dxa"/>
          </w:tcPr>
          <w:p w:rsidR="00000000" w:rsidRDefault="00000000">
            <w:pPr>
              <w:pStyle w:val="table"/>
              <w:tabs>
                <w:tab w:val="decimal" w:pos="707"/>
              </w:tabs>
            </w:pPr>
            <w:r>
              <w:t>6679</w:t>
            </w:r>
          </w:p>
        </w:tc>
        <w:tc>
          <w:tcPr>
            <w:tcW w:w="1338" w:type="dxa"/>
          </w:tcPr>
          <w:p w:rsidR="00000000" w:rsidRDefault="00000000">
            <w:pPr>
              <w:pStyle w:val="table"/>
              <w:tabs>
                <w:tab w:val="decimal" w:pos="707"/>
              </w:tabs>
            </w:pPr>
            <w:r>
              <w:t>3717</w:t>
            </w:r>
          </w:p>
        </w:tc>
        <w:tc>
          <w:tcPr>
            <w:tcW w:w="1338" w:type="dxa"/>
          </w:tcPr>
          <w:p w:rsidR="00000000" w:rsidRDefault="00000000">
            <w:pPr>
              <w:pStyle w:val="table"/>
              <w:tabs>
                <w:tab w:val="decimal" w:pos="707"/>
              </w:tabs>
            </w:pPr>
            <w:r>
              <w:t>2961</w:t>
            </w:r>
          </w:p>
        </w:tc>
        <w:tc>
          <w:tcPr>
            <w:tcW w:w="1338" w:type="dxa"/>
          </w:tcPr>
          <w:p w:rsidR="00000000" w:rsidRDefault="00000000">
            <w:pPr>
              <w:pStyle w:val="table"/>
              <w:tabs>
                <w:tab w:val="decimal" w:pos="707"/>
              </w:tabs>
            </w:pPr>
            <w:r>
              <w:t>44,3</w:t>
            </w:r>
          </w:p>
        </w:tc>
      </w:tr>
      <w:tr w:rsidR="00000000">
        <w:tblPrEx>
          <w:tblCellMar>
            <w:top w:w="0" w:type="dxa"/>
            <w:bottom w:w="0" w:type="dxa"/>
          </w:tblCellMar>
        </w:tblPrEx>
        <w:tc>
          <w:tcPr>
            <w:tcW w:w="1857" w:type="dxa"/>
          </w:tcPr>
          <w:p w:rsidR="00000000" w:rsidRDefault="00000000">
            <w:pPr>
              <w:pStyle w:val="table"/>
            </w:pPr>
            <w:r>
              <w:t>1995</w:t>
            </w:r>
          </w:p>
        </w:tc>
        <w:tc>
          <w:tcPr>
            <w:tcW w:w="1337" w:type="dxa"/>
          </w:tcPr>
          <w:p w:rsidR="00000000" w:rsidRDefault="00000000">
            <w:pPr>
              <w:pStyle w:val="table"/>
              <w:tabs>
                <w:tab w:val="decimal" w:pos="707"/>
              </w:tabs>
            </w:pPr>
            <w:r>
              <w:t>6804</w:t>
            </w:r>
          </w:p>
        </w:tc>
        <w:tc>
          <w:tcPr>
            <w:tcW w:w="1338" w:type="dxa"/>
          </w:tcPr>
          <w:p w:rsidR="00000000" w:rsidRDefault="00000000">
            <w:pPr>
              <w:pStyle w:val="table"/>
              <w:tabs>
                <w:tab w:val="decimal" w:pos="707"/>
              </w:tabs>
            </w:pPr>
            <w:r>
              <w:t>3797</w:t>
            </w:r>
          </w:p>
        </w:tc>
        <w:tc>
          <w:tcPr>
            <w:tcW w:w="1338" w:type="dxa"/>
          </w:tcPr>
          <w:p w:rsidR="00000000" w:rsidRDefault="00000000">
            <w:pPr>
              <w:pStyle w:val="table"/>
              <w:tabs>
                <w:tab w:val="decimal" w:pos="707"/>
              </w:tabs>
            </w:pPr>
            <w:r>
              <w:t>3007</w:t>
            </w:r>
          </w:p>
        </w:tc>
        <w:tc>
          <w:tcPr>
            <w:tcW w:w="1338" w:type="dxa"/>
          </w:tcPr>
          <w:p w:rsidR="00000000" w:rsidRDefault="00000000">
            <w:pPr>
              <w:pStyle w:val="table"/>
              <w:tabs>
                <w:tab w:val="decimal" w:pos="707"/>
              </w:tabs>
            </w:pPr>
            <w:r>
              <w:t>44,2</w:t>
            </w:r>
          </w:p>
        </w:tc>
      </w:tr>
      <w:tr w:rsidR="00000000">
        <w:tblPrEx>
          <w:tblCellMar>
            <w:top w:w="0" w:type="dxa"/>
            <w:bottom w:w="0" w:type="dxa"/>
          </w:tblCellMar>
        </w:tblPrEx>
        <w:tc>
          <w:tcPr>
            <w:tcW w:w="1857" w:type="dxa"/>
          </w:tcPr>
          <w:p w:rsidR="00000000" w:rsidRDefault="00000000">
            <w:pPr>
              <w:pStyle w:val="table"/>
            </w:pPr>
            <w:r>
              <w:t>1996</w:t>
            </w:r>
          </w:p>
        </w:tc>
        <w:tc>
          <w:tcPr>
            <w:tcW w:w="1337" w:type="dxa"/>
          </w:tcPr>
          <w:p w:rsidR="00000000" w:rsidRDefault="00000000">
            <w:pPr>
              <w:pStyle w:val="table"/>
              <w:tabs>
                <w:tab w:val="decimal" w:pos="707"/>
              </w:tabs>
            </w:pPr>
            <w:r>
              <w:t>6706</w:t>
            </w:r>
          </w:p>
        </w:tc>
        <w:tc>
          <w:tcPr>
            <w:tcW w:w="1338" w:type="dxa"/>
          </w:tcPr>
          <w:p w:rsidR="00000000" w:rsidRDefault="00000000">
            <w:pPr>
              <w:pStyle w:val="table"/>
              <w:tabs>
                <w:tab w:val="decimal" w:pos="707"/>
              </w:tabs>
            </w:pPr>
            <w:r>
              <w:t>3704</w:t>
            </w:r>
          </w:p>
        </w:tc>
        <w:tc>
          <w:tcPr>
            <w:tcW w:w="1338" w:type="dxa"/>
          </w:tcPr>
          <w:p w:rsidR="00000000" w:rsidRDefault="00000000">
            <w:pPr>
              <w:pStyle w:val="table"/>
              <w:tabs>
                <w:tab w:val="decimal" w:pos="707"/>
              </w:tabs>
            </w:pPr>
            <w:r>
              <w:t>3002</w:t>
            </w:r>
          </w:p>
        </w:tc>
        <w:tc>
          <w:tcPr>
            <w:tcW w:w="1338" w:type="dxa"/>
          </w:tcPr>
          <w:p w:rsidR="00000000" w:rsidRDefault="00000000">
            <w:pPr>
              <w:pStyle w:val="table"/>
              <w:tabs>
                <w:tab w:val="decimal" w:pos="707"/>
              </w:tabs>
            </w:pPr>
            <w:r>
              <w:t>44,8</w:t>
            </w:r>
          </w:p>
        </w:tc>
      </w:tr>
      <w:tr w:rsidR="00000000">
        <w:tblPrEx>
          <w:tblCellMar>
            <w:top w:w="0" w:type="dxa"/>
            <w:bottom w:w="0" w:type="dxa"/>
          </w:tblCellMar>
        </w:tblPrEx>
        <w:tc>
          <w:tcPr>
            <w:tcW w:w="1857" w:type="dxa"/>
          </w:tcPr>
          <w:p w:rsidR="00000000" w:rsidRDefault="00000000">
            <w:pPr>
              <w:pStyle w:val="table"/>
            </w:pPr>
            <w:r>
              <w:t>1997</w:t>
            </w:r>
          </w:p>
        </w:tc>
        <w:tc>
          <w:tcPr>
            <w:tcW w:w="1337" w:type="dxa"/>
          </w:tcPr>
          <w:p w:rsidR="00000000" w:rsidRDefault="00000000">
            <w:pPr>
              <w:pStyle w:val="table"/>
              <w:tabs>
                <w:tab w:val="decimal" w:pos="707"/>
              </w:tabs>
            </w:pPr>
            <w:r>
              <w:t>6605</w:t>
            </w:r>
          </w:p>
        </w:tc>
        <w:tc>
          <w:tcPr>
            <w:tcW w:w="1338" w:type="dxa"/>
          </w:tcPr>
          <w:p w:rsidR="00000000" w:rsidRDefault="00000000">
            <w:pPr>
              <w:pStyle w:val="table"/>
              <w:tabs>
                <w:tab w:val="decimal" w:pos="707"/>
              </w:tabs>
            </w:pPr>
            <w:r>
              <w:t>3649</w:t>
            </w:r>
          </w:p>
        </w:tc>
        <w:tc>
          <w:tcPr>
            <w:tcW w:w="1338" w:type="dxa"/>
          </w:tcPr>
          <w:p w:rsidR="00000000" w:rsidRDefault="00000000">
            <w:pPr>
              <w:pStyle w:val="table"/>
              <w:tabs>
                <w:tab w:val="decimal" w:pos="707"/>
              </w:tabs>
            </w:pPr>
            <w:r>
              <w:t>2957</w:t>
            </w:r>
          </w:p>
        </w:tc>
        <w:tc>
          <w:tcPr>
            <w:tcW w:w="1338" w:type="dxa"/>
          </w:tcPr>
          <w:p w:rsidR="00000000" w:rsidRDefault="00000000">
            <w:pPr>
              <w:pStyle w:val="table"/>
              <w:tabs>
                <w:tab w:val="decimal" w:pos="707"/>
              </w:tabs>
            </w:pPr>
            <w:r>
              <w:t>44,8</w:t>
            </w:r>
          </w:p>
        </w:tc>
      </w:tr>
      <w:tr w:rsidR="00000000">
        <w:tblPrEx>
          <w:tblCellMar>
            <w:top w:w="0" w:type="dxa"/>
            <w:bottom w:w="0" w:type="dxa"/>
          </w:tblCellMar>
        </w:tblPrEx>
        <w:tc>
          <w:tcPr>
            <w:tcW w:w="1857" w:type="dxa"/>
          </w:tcPr>
          <w:p w:rsidR="00000000" w:rsidRDefault="00000000">
            <w:pPr>
              <w:pStyle w:val="table"/>
            </w:pPr>
            <w:r>
              <w:t>1998</w:t>
            </w:r>
          </w:p>
        </w:tc>
        <w:tc>
          <w:tcPr>
            <w:tcW w:w="1337" w:type="dxa"/>
          </w:tcPr>
          <w:p w:rsidR="00000000" w:rsidRDefault="00000000">
            <w:pPr>
              <w:pStyle w:val="table"/>
              <w:tabs>
                <w:tab w:val="decimal" w:pos="707"/>
              </w:tabs>
            </w:pPr>
            <w:r>
              <w:t>6544</w:t>
            </w:r>
          </w:p>
        </w:tc>
        <w:tc>
          <w:tcPr>
            <w:tcW w:w="1338" w:type="dxa"/>
          </w:tcPr>
          <w:p w:rsidR="00000000" w:rsidRDefault="00000000">
            <w:pPr>
              <w:pStyle w:val="table"/>
              <w:tabs>
                <w:tab w:val="decimal" w:pos="707"/>
              </w:tabs>
            </w:pPr>
            <w:r>
              <w:t>3609</w:t>
            </w:r>
          </w:p>
        </w:tc>
        <w:tc>
          <w:tcPr>
            <w:tcW w:w="1338" w:type="dxa"/>
          </w:tcPr>
          <w:p w:rsidR="00000000" w:rsidRDefault="00000000">
            <w:pPr>
              <w:pStyle w:val="table"/>
              <w:tabs>
                <w:tab w:val="decimal" w:pos="707"/>
              </w:tabs>
            </w:pPr>
            <w:r>
              <w:t>2935</w:t>
            </w:r>
          </w:p>
        </w:tc>
        <w:tc>
          <w:tcPr>
            <w:tcW w:w="1338" w:type="dxa"/>
          </w:tcPr>
          <w:p w:rsidR="00000000" w:rsidRDefault="00000000">
            <w:pPr>
              <w:pStyle w:val="table"/>
              <w:tabs>
                <w:tab w:val="decimal" w:pos="707"/>
              </w:tabs>
            </w:pPr>
            <w:r>
              <w:t>44,9</w:t>
            </w:r>
          </w:p>
        </w:tc>
      </w:tr>
      <w:tr w:rsidR="00000000">
        <w:tblPrEx>
          <w:tblCellMar>
            <w:top w:w="0" w:type="dxa"/>
            <w:bottom w:w="0" w:type="dxa"/>
          </w:tblCellMar>
        </w:tblPrEx>
        <w:tc>
          <w:tcPr>
            <w:tcW w:w="1857" w:type="dxa"/>
          </w:tcPr>
          <w:p w:rsidR="00000000" w:rsidRDefault="00000000">
            <w:pPr>
              <w:pStyle w:val="table"/>
            </w:pPr>
            <w:r>
              <w:t>1999</w:t>
            </w:r>
          </w:p>
        </w:tc>
        <w:tc>
          <w:tcPr>
            <w:tcW w:w="1337" w:type="dxa"/>
          </w:tcPr>
          <w:p w:rsidR="00000000" w:rsidRDefault="00000000">
            <w:pPr>
              <w:pStyle w:val="table"/>
              <w:tabs>
                <w:tab w:val="decimal" w:pos="707"/>
              </w:tabs>
            </w:pPr>
            <w:r>
              <w:t>6673</w:t>
            </w:r>
          </w:p>
        </w:tc>
        <w:tc>
          <w:tcPr>
            <w:tcW w:w="1338" w:type="dxa"/>
          </w:tcPr>
          <w:p w:rsidR="00000000" w:rsidRDefault="00000000">
            <w:pPr>
              <w:pStyle w:val="table"/>
              <w:tabs>
                <w:tab w:val="decimal" w:pos="707"/>
              </w:tabs>
            </w:pPr>
            <w:r>
              <w:t>3668</w:t>
            </w:r>
          </w:p>
        </w:tc>
        <w:tc>
          <w:tcPr>
            <w:tcW w:w="1338" w:type="dxa"/>
          </w:tcPr>
          <w:p w:rsidR="00000000" w:rsidRDefault="00000000">
            <w:pPr>
              <w:pStyle w:val="table"/>
              <w:tabs>
                <w:tab w:val="decimal" w:pos="707"/>
              </w:tabs>
            </w:pPr>
            <w:r>
              <w:t>3006</w:t>
            </w:r>
          </w:p>
        </w:tc>
        <w:tc>
          <w:tcPr>
            <w:tcW w:w="1338" w:type="dxa"/>
          </w:tcPr>
          <w:p w:rsidR="00000000" w:rsidRDefault="00000000">
            <w:pPr>
              <w:pStyle w:val="table"/>
              <w:tabs>
                <w:tab w:val="decimal" w:pos="707"/>
              </w:tabs>
            </w:pPr>
            <w:r>
              <w:t>45,0</w:t>
            </w:r>
          </w:p>
        </w:tc>
      </w:tr>
      <w:tr w:rsidR="00000000">
        <w:tblPrEx>
          <w:tblCellMar>
            <w:top w:w="0" w:type="dxa"/>
            <w:bottom w:w="0" w:type="dxa"/>
          </w:tblCellMar>
        </w:tblPrEx>
        <w:tc>
          <w:tcPr>
            <w:tcW w:w="1857" w:type="dxa"/>
          </w:tcPr>
          <w:p w:rsidR="00000000" w:rsidRDefault="00000000">
            <w:pPr>
              <w:pStyle w:val="table"/>
            </w:pPr>
            <w:r>
              <w:t>2000</w:t>
            </w:r>
          </w:p>
        </w:tc>
        <w:tc>
          <w:tcPr>
            <w:tcW w:w="1337" w:type="dxa"/>
          </w:tcPr>
          <w:p w:rsidR="00000000" w:rsidRDefault="00000000">
            <w:pPr>
              <w:pStyle w:val="table"/>
              <w:tabs>
                <w:tab w:val="decimal" w:pos="707"/>
              </w:tabs>
            </w:pPr>
            <w:r>
              <w:t>6595</w:t>
            </w:r>
          </w:p>
        </w:tc>
        <w:tc>
          <w:tcPr>
            <w:tcW w:w="1338" w:type="dxa"/>
          </w:tcPr>
          <w:p w:rsidR="00000000" w:rsidRDefault="00000000">
            <w:pPr>
              <w:pStyle w:val="table"/>
              <w:tabs>
                <w:tab w:val="decimal" w:pos="707"/>
              </w:tabs>
            </w:pPr>
            <w:r>
              <w:t>3621</w:t>
            </w:r>
          </w:p>
        </w:tc>
        <w:tc>
          <w:tcPr>
            <w:tcW w:w="1338" w:type="dxa"/>
          </w:tcPr>
          <w:p w:rsidR="00000000" w:rsidRDefault="00000000">
            <w:pPr>
              <w:pStyle w:val="table"/>
              <w:tabs>
                <w:tab w:val="decimal" w:pos="707"/>
              </w:tabs>
            </w:pPr>
            <w:r>
              <w:t>2974</w:t>
            </w:r>
          </w:p>
        </w:tc>
        <w:tc>
          <w:tcPr>
            <w:tcW w:w="1338" w:type="dxa"/>
          </w:tcPr>
          <w:p w:rsidR="00000000" w:rsidRDefault="00000000">
            <w:pPr>
              <w:pStyle w:val="table"/>
              <w:tabs>
                <w:tab w:val="decimal" w:pos="707"/>
              </w:tabs>
            </w:pPr>
            <w:r>
              <w:t>45,1</w:t>
            </w:r>
          </w:p>
        </w:tc>
      </w:tr>
      <w:tr w:rsidR="00000000">
        <w:tblPrEx>
          <w:tblCellMar>
            <w:top w:w="0" w:type="dxa"/>
            <w:bottom w:w="0" w:type="dxa"/>
          </w:tblCellMar>
        </w:tblPrEx>
        <w:tc>
          <w:tcPr>
            <w:tcW w:w="1857" w:type="dxa"/>
            <w:tcBorders>
              <w:bottom w:val="single" w:sz="12" w:space="0" w:color="auto"/>
            </w:tcBorders>
          </w:tcPr>
          <w:p w:rsidR="00000000" w:rsidRDefault="00000000">
            <w:pPr>
              <w:pStyle w:val="table"/>
            </w:pPr>
            <w:r>
              <w:t>2001</w:t>
            </w:r>
          </w:p>
        </w:tc>
        <w:tc>
          <w:tcPr>
            <w:tcW w:w="1337" w:type="dxa"/>
            <w:tcBorders>
              <w:bottom w:val="single" w:sz="12" w:space="0" w:color="auto"/>
            </w:tcBorders>
          </w:tcPr>
          <w:p w:rsidR="00000000" w:rsidRDefault="00000000">
            <w:pPr>
              <w:pStyle w:val="table"/>
              <w:tabs>
                <w:tab w:val="decimal" w:pos="707"/>
              </w:tabs>
            </w:pPr>
            <w:r>
              <w:t>6509</w:t>
            </w:r>
          </w:p>
        </w:tc>
        <w:tc>
          <w:tcPr>
            <w:tcW w:w="1338" w:type="dxa"/>
            <w:tcBorders>
              <w:bottom w:val="single" w:sz="12" w:space="0" w:color="auto"/>
            </w:tcBorders>
          </w:tcPr>
          <w:p w:rsidR="00000000" w:rsidRDefault="00000000">
            <w:pPr>
              <w:pStyle w:val="table"/>
              <w:tabs>
                <w:tab w:val="decimal" w:pos="707"/>
              </w:tabs>
            </w:pPr>
            <w:r>
              <w:t>3549</w:t>
            </w:r>
          </w:p>
        </w:tc>
        <w:tc>
          <w:tcPr>
            <w:tcW w:w="1338" w:type="dxa"/>
            <w:tcBorders>
              <w:bottom w:val="single" w:sz="12" w:space="0" w:color="auto"/>
            </w:tcBorders>
          </w:tcPr>
          <w:p w:rsidR="00000000" w:rsidRDefault="00000000">
            <w:pPr>
              <w:pStyle w:val="table"/>
              <w:tabs>
                <w:tab w:val="decimal" w:pos="707"/>
              </w:tabs>
            </w:pPr>
            <w:r>
              <w:t>2960</w:t>
            </w:r>
          </w:p>
        </w:tc>
        <w:tc>
          <w:tcPr>
            <w:tcW w:w="1338" w:type="dxa"/>
            <w:tcBorders>
              <w:bottom w:val="single" w:sz="12" w:space="0" w:color="auto"/>
            </w:tcBorders>
          </w:tcPr>
          <w:p w:rsidR="00000000" w:rsidRDefault="00000000">
            <w:pPr>
              <w:pStyle w:val="table"/>
              <w:tabs>
                <w:tab w:val="decimal" w:pos="707"/>
              </w:tabs>
            </w:pPr>
            <w:r>
              <w:t>45,5</w:t>
            </w:r>
          </w:p>
        </w:tc>
      </w:tr>
    </w:tbl>
    <w:p w:rsidR="00000000" w:rsidRDefault="00000000">
      <w:pPr>
        <w:pStyle w:val="istochnik"/>
      </w:pPr>
      <w:r>
        <w:rPr>
          <w:i/>
        </w:rPr>
        <w:t>Источник</w:t>
      </w:r>
      <w:r>
        <w:t>: Федеральное статистическое управление</w:t>
      </w:r>
    </w:p>
    <w:p w:rsidR="00000000" w:rsidRDefault="00000000">
      <w:pPr>
        <w:pStyle w:val="SingleTxt"/>
        <w:sectPr w:rsidR="00000000">
          <w:headerReference w:type="even" r:id="rId14"/>
          <w:headerReference w:type="default" r:id="rId15"/>
          <w:footerReference w:type="default" r:id="rId16"/>
          <w:endnotePr>
            <w:numFmt w:val="decimal"/>
          </w:endnotePr>
          <w:type w:val="continuous"/>
          <w:pgSz w:w="12240" w:h="15840" w:code="1"/>
          <w:pgMar w:top="1741" w:right="1196" w:bottom="1899" w:left="1196" w:header="578" w:footer="1038" w:gutter="0"/>
          <w:cols w:space="720"/>
          <w:noEndnote/>
        </w:sectPr>
      </w:pPr>
    </w:p>
    <w:p w:rsidR="00000000" w:rsidRDefault="00000000">
      <w:pPr>
        <w:pStyle w:val="H23"/>
        <w:ind w:left="0" w:firstLine="0"/>
      </w:pPr>
      <w:bookmarkStart w:id="686" w:name="_Toc44115611"/>
      <w:bookmarkStart w:id="687" w:name="_Toc44116043"/>
      <w:r>
        <w:t>Таблица 3.2: Женщины в разбивке по отдельным областям занятости и доля женщин, занимающихся оплачиваемой работой в отдельных областях занят</w:t>
      </w:r>
      <w:r>
        <w:t>о</w:t>
      </w:r>
      <w:r>
        <w:t>сти (по результатам микропереписи населения)</w:t>
      </w:r>
      <w:bookmarkEnd w:id="686"/>
      <w:bookmarkEnd w:id="687"/>
    </w:p>
    <w:tbl>
      <w:tblPr>
        <w:tblW w:w="0" w:type="auto"/>
        <w:tblInd w:w="18" w:type="dxa"/>
        <w:tblLayout w:type="fixed"/>
        <w:tblCellMar>
          <w:left w:w="28" w:type="dxa"/>
          <w:right w:w="28" w:type="dxa"/>
        </w:tblCellMar>
        <w:tblLook w:val="0000" w:firstRow="0" w:lastRow="0" w:firstColumn="0" w:lastColumn="0" w:noHBand="0" w:noVBand="0"/>
      </w:tblPr>
      <w:tblGrid>
        <w:gridCol w:w="2127"/>
        <w:gridCol w:w="720"/>
        <w:gridCol w:w="720"/>
        <w:gridCol w:w="721"/>
        <w:gridCol w:w="720"/>
        <w:gridCol w:w="720"/>
        <w:gridCol w:w="721"/>
        <w:gridCol w:w="720"/>
        <w:gridCol w:w="720"/>
        <w:gridCol w:w="721"/>
        <w:gridCol w:w="720"/>
        <w:gridCol w:w="720"/>
        <w:gridCol w:w="721"/>
        <w:gridCol w:w="720"/>
        <w:gridCol w:w="721"/>
      </w:tblGrid>
      <w:tr w:rsidR="00000000">
        <w:tblPrEx>
          <w:tblCellMar>
            <w:top w:w="0" w:type="dxa"/>
            <w:bottom w:w="0" w:type="dxa"/>
          </w:tblCellMar>
        </w:tblPrEx>
        <w:trPr>
          <w:cantSplit/>
        </w:trPr>
        <w:tc>
          <w:tcPr>
            <w:tcW w:w="2127" w:type="dxa"/>
            <w:vMerge w:val="restart"/>
            <w:tcBorders>
              <w:top w:val="single" w:sz="6" w:space="0" w:color="auto"/>
              <w:bottom w:val="single" w:sz="6" w:space="0" w:color="auto"/>
            </w:tcBorders>
            <w:vAlign w:val="center"/>
          </w:tcPr>
          <w:p w:rsidR="00000000" w:rsidRDefault="00000000">
            <w:pPr>
              <w:pStyle w:val="table"/>
              <w:jc w:val="center"/>
              <w:rPr>
                <w:i/>
              </w:rPr>
            </w:pPr>
            <w:r>
              <w:rPr>
                <w:i/>
              </w:rPr>
              <w:t>Прежняя федеральная терр</w:t>
            </w:r>
            <w:r>
              <w:rPr>
                <w:i/>
              </w:rPr>
              <w:t>и</w:t>
            </w:r>
            <w:r>
              <w:rPr>
                <w:i/>
              </w:rPr>
              <w:t>тория</w:t>
            </w:r>
          </w:p>
        </w:tc>
        <w:tc>
          <w:tcPr>
            <w:tcW w:w="1440" w:type="dxa"/>
            <w:gridSpan w:val="2"/>
            <w:tcBorders>
              <w:top w:val="single" w:sz="6" w:space="0" w:color="auto"/>
              <w:bottom w:val="single" w:sz="6" w:space="0" w:color="auto"/>
            </w:tcBorders>
            <w:vAlign w:val="center"/>
          </w:tcPr>
          <w:p w:rsidR="00000000" w:rsidRDefault="00000000">
            <w:pPr>
              <w:pStyle w:val="table"/>
              <w:jc w:val="center"/>
              <w:rPr>
                <w:i/>
              </w:rPr>
            </w:pPr>
            <w:r>
              <w:rPr>
                <w:i/>
              </w:rPr>
              <w:t>1987 год</w:t>
            </w:r>
          </w:p>
        </w:tc>
        <w:tc>
          <w:tcPr>
            <w:tcW w:w="1441" w:type="dxa"/>
            <w:gridSpan w:val="2"/>
            <w:tcBorders>
              <w:top w:val="single" w:sz="6" w:space="0" w:color="auto"/>
              <w:bottom w:val="single" w:sz="6" w:space="0" w:color="auto"/>
            </w:tcBorders>
            <w:vAlign w:val="center"/>
          </w:tcPr>
          <w:p w:rsidR="00000000" w:rsidRDefault="00000000">
            <w:pPr>
              <w:pStyle w:val="table"/>
              <w:jc w:val="center"/>
              <w:rPr>
                <w:i/>
              </w:rPr>
            </w:pPr>
            <w:r>
              <w:rPr>
                <w:i/>
              </w:rPr>
              <w:t>1989 год</w:t>
            </w:r>
          </w:p>
        </w:tc>
        <w:tc>
          <w:tcPr>
            <w:tcW w:w="1441" w:type="dxa"/>
            <w:gridSpan w:val="2"/>
            <w:tcBorders>
              <w:top w:val="single" w:sz="6" w:space="0" w:color="auto"/>
              <w:bottom w:val="single" w:sz="6" w:space="0" w:color="auto"/>
            </w:tcBorders>
            <w:vAlign w:val="center"/>
          </w:tcPr>
          <w:p w:rsidR="00000000" w:rsidRDefault="00000000">
            <w:pPr>
              <w:pStyle w:val="table"/>
              <w:jc w:val="center"/>
              <w:rPr>
                <w:i/>
              </w:rPr>
            </w:pPr>
            <w:r>
              <w:rPr>
                <w:i/>
              </w:rPr>
              <w:t>1991 год</w:t>
            </w:r>
          </w:p>
        </w:tc>
        <w:tc>
          <w:tcPr>
            <w:tcW w:w="1440" w:type="dxa"/>
            <w:gridSpan w:val="2"/>
            <w:tcBorders>
              <w:top w:val="single" w:sz="6" w:space="0" w:color="auto"/>
              <w:bottom w:val="single" w:sz="6" w:space="0" w:color="auto"/>
            </w:tcBorders>
            <w:vAlign w:val="center"/>
          </w:tcPr>
          <w:p w:rsidR="00000000" w:rsidRDefault="00000000">
            <w:pPr>
              <w:pStyle w:val="table"/>
              <w:jc w:val="center"/>
              <w:rPr>
                <w:i/>
              </w:rPr>
            </w:pPr>
            <w:r>
              <w:rPr>
                <w:i/>
              </w:rPr>
              <w:t>1993 год</w:t>
            </w:r>
          </w:p>
        </w:tc>
        <w:tc>
          <w:tcPr>
            <w:tcW w:w="1441" w:type="dxa"/>
            <w:gridSpan w:val="2"/>
            <w:tcBorders>
              <w:top w:val="single" w:sz="6" w:space="0" w:color="auto"/>
              <w:bottom w:val="single" w:sz="6" w:space="0" w:color="auto"/>
            </w:tcBorders>
            <w:vAlign w:val="center"/>
          </w:tcPr>
          <w:p w:rsidR="00000000" w:rsidRDefault="00000000">
            <w:pPr>
              <w:pStyle w:val="table"/>
              <w:jc w:val="center"/>
              <w:rPr>
                <w:i/>
              </w:rPr>
            </w:pPr>
            <w:r>
              <w:rPr>
                <w:i/>
              </w:rPr>
              <w:t>1995 год</w:t>
            </w:r>
          </w:p>
        </w:tc>
        <w:tc>
          <w:tcPr>
            <w:tcW w:w="1441" w:type="dxa"/>
            <w:gridSpan w:val="2"/>
            <w:tcBorders>
              <w:top w:val="single" w:sz="6" w:space="0" w:color="auto"/>
              <w:bottom w:val="single" w:sz="6" w:space="0" w:color="auto"/>
            </w:tcBorders>
            <w:vAlign w:val="center"/>
          </w:tcPr>
          <w:p w:rsidR="00000000" w:rsidRDefault="00000000">
            <w:pPr>
              <w:pStyle w:val="table"/>
              <w:jc w:val="center"/>
              <w:rPr>
                <w:i/>
              </w:rPr>
            </w:pPr>
            <w:r>
              <w:rPr>
                <w:i/>
              </w:rPr>
              <w:t>1999 год</w:t>
            </w:r>
          </w:p>
        </w:tc>
        <w:tc>
          <w:tcPr>
            <w:tcW w:w="1441" w:type="dxa"/>
            <w:gridSpan w:val="2"/>
            <w:tcBorders>
              <w:top w:val="single" w:sz="6" w:space="0" w:color="auto"/>
              <w:bottom w:val="single" w:sz="6" w:space="0" w:color="auto"/>
            </w:tcBorders>
            <w:vAlign w:val="center"/>
          </w:tcPr>
          <w:p w:rsidR="00000000" w:rsidRDefault="00000000">
            <w:pPr>
              <w:pStyle w:val="table"/>
              <w:jc w:val="center"/>
              <w:rPr>
                <w:i/>
              </w:rPr>
            </w:pPr>
            <w:r>
              <w:rPr>
                <w:i/>
              </w:rPr>
              <w:t>2001 год</w:t>
            </w:r>
          </w:p>
        </w:tc>
      </w:tr>
      <w:tr w:rsidR="00000000">
        <w:tblPrEx>
          <w:tblCellMar>
            <w:top w:w="0" w:type="dxa"/>
            <w:bottom w:w="0" w:type="dxa"/>
          </w:tblCellMar>
        </w:tblPrEx>
        <w:trPr>
          <w:cantSplit/>
          <w:trHeight w:val="1256"/>
        </w:trPr>
        <w:tc>
          <w:tcPr>
            <w:tcW w:w="2127" w:type="dxa"/>
            <w:vMerge/>
            <w:tcBorders>
              <w:top w:val="single" w:sz="6" w:space="0" w:color="auto"/>
              <w:bottom w:val="single" w:sz="12" w:space="0" w:color="auto"/>
            </w:tcBorders>
            <w:vAlign w:val="center"/>
          </w:tcPr>
          <w:p w:rsidR="00000000" w:rsidRDefault="00000000">
            <w:pPr>
              <w:pStyle w:val="table"/>
              <w:jc w:val="center"/>
              <w:rPr>
                <w:i/>
              </w:rPr>
            </w:pP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1"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1"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1"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1"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0"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чел</w:t>
            </w:r>
            <w:r>
              <w:rPr>
                <w:i/>
              </w:rPr>
              <w:t>о</w:t>
            </w:r>
            <w:r>
              <w:rPr>
                <w:i/>
              </w:rPr>
              <w:t>век</w:t>
            </w:r>
          </w:p>
        </w:tc>
        <w:tc>
          <w:tcPr>
            <w:tcW w:w="721"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r>
      <w:tr w:rsidR="00000000">
        <w:tblPrEx>
          <w:tblCellMar>
            <w:top w:w="0" w:type="dxa"/>
            <w:bottom w:w="0" w:type="dxa"/>
          </w:tblCellMar>
        </w:tblPrEx>
        <w:tc>
          <w:tcPr>
            <w:tcW w:w="2127" w:type="dxa"/>
            <w:tcBorders>
              <w:top w:val="single" w:sz="12" w:space="0" w:color="auto"/>
            </w:tcBorders>
          </w:tcPr>
          <w:p w:rsidR="00000000" w:rsidRDefault="00000000">
            <w:pPr>
              <w:pStyle w:val="table"/>
              <w:spacing w:line="180" w:lineRule="exact"/>
            </w:pPr>
            <w:r>
              <w:t>Число занятых в сельском хозяйстве, животноводс</w:t>
            </w:r>
            <w:r>
              <w:t>т</w:t>
            </w:r>
            <w:r>
              <w:t>ве, лесном хозяйстве и сад</w:t>
            </w:r>
            <w:r>
              <w:t>о</w:t>
            </w:r>
            <w:r>
              <w:t>водстве</w:t>
            </w:r>
          </w:p>
        </w:tc>
        <w:tc>
          <w:tcPr>
            <w:tcW w:w="720" w:type="dxa"/>
            <w:tcBorders>
              <w:top w:val="single" w:sz="12" w:space="0" w:color="auto"/>
            </w:tcBorders>
            <w:vAlign w:val="bottom"/>
          </w:tcPr>
          <w:p w:rsidR="00000000" w:rsidRDefault="00000000">
            <w:pPr>
              <w:pStyle w:val="table"/>
              <w:tabs>
                <w:tab w:val="decimal" w:pos="567"/>
              </w:tabs>
              <w:spacing w:line="180" w:lineRule="exact"/>
            </w:pPr>
            <w:r>
              <w:t>522</w:t>
            </w:r>
          </w:p>
        </w:tc>
        <w:tc>
          <w:tcPr>
            <w:tcW w:w="720" w:type="dxa"/>
            <w:tcBorders>
              <w:top w:val="single" w:sz="12" w:space="0" w:color="auto"/>
            </w:tcBorders>
            <w:vAlign w:val="bottom"/>
          </w:tcPr>
          <w:p w:rsidR="00000000" w:rsidRDefault="00000000">
            <w:pPr>
              <w:pStyle w:val="table"/>
              <w:tabs>
                <w:tab w:val="decimal" w:pos="567"/>
              </w:tabs>
              <w:spacing w:line="180" w:lineRule="exact"/>
            </w:pPr>
            <w:r>
              <w:t>43,1%</w:t>
            </w:r>
          </w:p>
        </w:tc>
        <w:tc>
          <w:tcPr>
            <w:tcW w:w="721" w:type="dxa"/>
            <w:tcBorders>
              <w:top w:val="single" w:sz="12" w:space="0" w:color="auto"/>
            </w:tcBorders>
            <w:vAlign w:val="bottom"/>
          </w:tcPr>
          <w:p w:rsidR="00000000" w:rsidRDefault="00000000">
            <w:pPr>
              <w:pStyle w:val="table"/>
              <w:tabs>
                <w:tab w:val="decimal" w:pos="567"/>
              </w:tabs>
              <w:spacing w:line="180" w:lineRule="exact"/>
            </w:pPr>
            <w:r>
              <w:t>462</w:t>
            </w:r>
          </w:p>
        </w:tc>
        <w:tc>
          <w:tcPr>
            <w:tcW w:w="720" w:type="dxa"/>
            <w:tcBorders>
              <w:top w:val="single" w:sz="12" w:space="0" w:color="auto"/>
            </w:tcBorders>
            <w:vAlign w:val="bottom"/>
          </w:tcPr>
          <w:p w:rsidR="00000000" w:rsidRDefault="00000000">
            <w:pPr>
              <w:pStyle w:val="table"/>
              <w:tabs>
                <w:tab w:val="decimal" w:pos="567"/>
              </w:tabs>
              <w:spacing w:line="180" w:lineRule="exact"/>
            </w:pPr>
            <w:r>
              <w:t>42,7%</w:t>
            </w:r>
          </w:p>
        </w:tc>
        <w:tc>
          <w:tcPr>
            <w:tcW w:w="720" w:type="dxa"/>
            <w:tcBorders>
              <w:top w:val="single" w:sz="12" w:space="0" w:color="auto"/>
            </w:tcBorders>
            <w:vAlign w:val="bottom"/>
          </w:tcPr>
          <w:p w:rsidR="00000000" w:rsidRDefault="00000000">
            <w:pPr>
              <w:pStyle w:val="table"/>
              <w:tabs>
                <w:tab w:val="decimal" w:pos="567"/>
              </w:tabs>
              <w:spacing w:line="180" w:lineRule="exact"/>
            </w:pPr>
            <w:r>
              <w:t>449</w:t>
            </w:r>
          </w:p>
        </w:tc>
        <w:tc>
          <w:tcPr>
            <w:tcW w:w="721" w:type="dxa"/>
            <w:tcBorders>
              <w:top w:val="single" w:sz="12" w:space="0" w:color="auto"/>
            </w:tcBorders>
            <w:vAlign w:val="bottom"/>
          </w:tcPr>
          <w:p w:rsidR="00000000" w:rsidRDefault="00000000">
            <w:pPr>
              <w:pStyle w:val="table"/>
              <w:tabs>
                <w:tab w:val="decimal" w:pos="567"/>
              </w:tabs>
              <w:spacing w:line="180" w:lineRule="exact"/>
            </w:pPr>
            <w:r>
              <w:t>41,5%</w:t>
            </w:r>
          </w:p>
        </w:tc>
        <w:tc>
          <w:tcPr>
            <w:tcW w:w="720" w:type="dxa"/>
            <w:tcBorders>
              <w:top w:val="single" w:sz="12" w:space="0" w:color="auto"/>
            </w:tcBorders>
            <w:vAlign w:val="bottom"/>
          </w:tcPr>
          <w:p w:rsidR="00000000" w:rsidRDefault="00000000">
            <w:pPr>
              <w:pStyle w:val="table"/>
              <w:tabs>
                <w:tab w:val="decimal" w:pos="567"/>
              </w:tabs>
              <w:spacing w:line="180" w:lineRule="exact"/>
            </w:pPr>
            <w:r>
              <w:t>407</w:t>
            </w:r>
          </w:p>
        </w:tc>
        <w:tc>
          <w:tcPr>
            <w:tcW w:w="720" w:type="dxa"/>
            <w:tcBorders>
              <w:top w:val="single" w:sz="12" w:space="0" w:color="auto"/>
            </w:tcBorders>
            <w:vAlign w:val="bottom"/>
          </w:tcPr>
          <w:p w:rsidR="00000000" w:rsidRDefault="00000000">
            <w:pPr>
              <w:pStyle w:val="table"/>
              <w:tabs>
                <w:tab w:val="decimal" w:pos="567"/>
              </w:tabs>
              <w:spacing w:line="180" w:lineRule="exact"/>
            </w:pPr>
            <w:r>
              <w:t>40,4%</w:t>
            </w:r>
          </w:p>
        </w:tc>
        <w:tc>
          <w:tcPr>
            <w:tcW w:w="721" w:type="dxa"/>
            <w:tcBorders>
              <w:top w:val="single" w:sz="12" w:space="0" w:color="auto"/>
            </w:tcBorders>
            <w:vAlign w:val="bottom"/>
          </w:tcPr>
          <w:p w:rsidR="00000000" w:rsidRDefault="00000000">
            <w:pPr>
              <w:pStyle w:val="table"/>
              <w:tabs>
                <w:tab w:val="decimal" w:pos="567"/>
              </w:tabs>
              <w:spacing w:line="180" w:lineRule="exact"/>
            </w:pPr>
            <w:r>
              <w:t>360</w:t>
            </w:r>
          </w:p>
        </w:tc>
        <w:tc>
          <w:tcPr>
            <w:tcW w:w="720" w:type="dxa"/>
            <w:tcBorders>
              <w:top w:val="single" w:sz="12" w:space="0" w:color="auto"/>
            </w:tcBorders>
            <w:vAlign w:val="bottom"/>
          </w:tcPr>
          <w:p w:rsidR="00000000" w:rsidRDefault="00000000">
            <w:pPr>
              <w:pStyle w:val="table"/>
              <w:tabs>
                <w:tab w:val="decimal" w:pos="567"/>
              </w:tabs>
              <w:spacing w:line="180" w:lineRule="exact"/>
            </w:pPr>
            <w:r>
              <w:t>39,4%</w:t>
            </w:r>
          </w:p>
        </w:tc>
        <w:tc>
          <w:tcPr>
            <w:tcW w:w="720" w:type="dxa"/>
            <w:tcBorders>
              <w:top w:val="single" w:sz="12" w:space="0" w:color="auto"/>
            </w:tcBorders>
            <w:vAlign w:val="bottom"/>
          </w:tcPr>
          <w:p w:rsidR="00000000" w:rsidRDefault="00000000">
            <w:pPr>
              <w:pStyle w:val="table"/>
              <w:tabs>
                <w:tab w:val="decimal" w:pos="567"/>
              </w:tabs>
              <w:spacing w:line="180" w:lineRule="exact"/>
            </w:pPr>
            <w:r>
              <w:t>291</w:t>
            </w:r>
          </w:p>
        </w:tc>
        <w:tc>
          <w:tcPr>
            <w:tcW w:w="721" w:type="dxa"/>
            <w:tcBorders>
              <w:top w:val="single" w:sz="12" w:space="0" w:color="auto"/>
            </w:tcBorders>
            <w:vAlign w:val="bottom"/>
          </w:tcPr>
          <w:p w:rsidR="00000000" w:rsidRDefault="00000000">
            <w:pPr>
              <w:pStyle w:val="table"/>
              <w:tabs>
                <w:tab w:val="decimal" w:pos="567"/>
              </w:tabs>
              <w:spacing w:line="180" w:lineRule="exact"/>
            </w:pPr>
            <w:r>
              <w:t>35,5%</w:t>
            </w:r>
          </w:p>
        </w:tc>
        <w:tc>
          <w:tcPr>
            <w:tcW w:w="720" w:type="dxa"/>
            <w:tcBorders>
              <w:top w:val="single" w:sz="12" w:space="0" w:color="auto"/>
            </w:tcBorders>
            <w:vAlign w:val="bottom"/>
          </w:tcPr>
          <w:p w:rsidR="00000000" w:rsidRDefault="00000000">
            <w:pPr>
              <w:pStyle w:val="table"/>
              <w:tabs>
                <w:tab w:val="decimal" w:pos="567"/>
              </w:tabs>
              <w:spacing w:line="180" w:lineRule="exact"/>
            </w:pPr>
            <w:r>
              <w:t>283</w:t>
            </w:r>
          </w:p>
        </w:tc>
        <w:tc>
          <w:tcPr>
            <w:tcW w:w="721" w:type="dxa"/>
            <w:tcBorders>
              <w:top w:val="single" w:sz="12" w:space="0" w:color="auto"/>
            </w:tcBorders>
            <w:vAlign w:val="bottom"/>
          </w:tcPr>
          <w:p w:rsidR="00000000" w:rsidRDefault="00000000">
            <w:pPr>
              <w:pStyle w:val="table"/>
              <w:tabs>
                <w:tab w:val="decimal" w:pos="567"/>
              </w:tabs>
              <w:spacing w:line="180" w:lineRule="exact"/>
            </w:pPr>
            <w:r>
              <w:t>35,8%</w:t>
            </w:r>
          </w:p>
        </w:tc>
      </w:tr>
      <w:tr w:rsidR="00000000">
        <w:tblPrEx>
          <w:tblCellMar>
            <w:top w:w="0" w:type="dxa"/>
            <w:bottom w:w="0" w:type="dxa"/>
          </w:tblCellMar>
        </w:tblPrEx>
        <w:tc>
          <w:tcPr>
            <w:tcW w:w="2127" w:type="dxa"/>
          </w:tcPr>
          <w:p w:rsidR="00000000" w:rsidRDefault="00000000">
            <w:pPr>
              <w:pStyle w:val="table"/>
              <w:spacing w:line="180" w:lineRule="exact"/>
            </w:pPr>
            <w:r>
              <w:t>Обрабатывающая пр</w:t>
            </w:r>
            <w:r>
              <w:t>о</w:t>
            </w:r>
            <w:r>
              <w:t>мышленность</w:t>
            </w:r>
          </w:p>
        </w:tc>
        <w:tc>
          <w:tcPr>
            <w:tcW w:w="720" w:type="dxa"/>
            <w:vAlign w:val="bottom"/>
          </w:tcPr>
          <w:p w:rsidR="00000000" w:rsidRDefault="00000000">
            <w:pPr>
              <w:pStyle w:val="table"/>
              <w:tabs>
                <w:tab w:val="decimal" w:pos="567"/>
              </w:tabs>
              <w:spacing w:line="180" w:lineRule="exact"/>
            </w:pPr>
            <w:r>
              <w:t>1603</w:t>
            </w:r>
          </w:p>
        </w:tc>
        <w:tc>
          <w:tcPr>
            <w:tcW w:w="720" w:type="dxa"/>
            <w:vAlign w:val="bottom"/>
          </w:tcPr>
          <w:p w:rsidR="00000000" w:rsidRDefault="00000000">
            <w:pPr>
              <w:pStyle w:val="table"/>
              <w:tabs>
                <w:tab w:val="decimal" w:pos="567"/>
              </w:tabs>
              <w:spacing w:line="180" w:lineRule="exact"/>
            </w:pPr>
            <w:r>
              <w:t>19,4%</w:t>
            </w:r>
          </w:p>
        </w:tc>
        <w:tc>
          <w:tcPr>
            <w:tcW w:w="721" w:type="dxa"/>
            <w:vAlign w:val="bottom"/>
          </w:tcPr>
          <w:p w:rsidR="00000000" w:rsidRDefault="00000000">
            <w:pPr>
              <w:pStyle w:val="table"/>
              <w:tabs>
                <w:tab w:val="decimal" w:pos="567"/>
              </w:tabs>
              <w:spacing w:line="180" w:lineRule="exact"/>
            </w:pPr>
            <w:r>
              <w:t>1568</w:t>
            </w:r>
          </w:p>
        </w:tc>
        <w:tc>
          <w:tcPr>
            <w:tcW w:w="720" w:type="dxa"/>
            <w:vAlign w:val="bottom"/>
          </w:tcPr>
          <w:p w:rsidR="00000000" w:rsidRDefault="00000000">
            <w:pPr>
              <w:pStyle w:val="table"/>
              <w:tabs>
                <w:tab w:val="decimal" w:pos="567"/>
              </w:tabs>
              <w:spacing w:line="180" w:lineRule="exact"/>
            </w:pPr>
            <w:r>
              <w:t>19,0%</w:t>
            </w:r>
          </w:p>
        </w:tc>
        <w:tc>
          <w:tcPr>
            <w:tcW w:w="720" w:type="dxa"/>
            <w:vAlign w:val="bottom"/>
          </w:tcPr>
          <w:p w:rsidR="00000000" w:rsidRDefault="00000000">
            <w:pPr>
              <w:pStyle w:val="table"/>
              <w:tabs>
                <w:tab w:val="decimal" w:pos="567"/>
              </w:tabs>
              <w:spacing w:line="180" w:lineRule="exact"/>
            </w:pPr>
            <w:r>
              <w:t>1720</w:t>
            </w:r>
          </w:p>
        </w:tc>
        <w:tc>
          <w:tcPr>
            <w:tcW w:w="721" w:type="dxa"/>
            <w:vAlign w:val="bottom"/>
          </w:tcPr>
          <w:p w:rsidR="00000000" w:rsidRDefault="00000000">
            <w:pPr>
              <w:pStyle w:val="table"/>
              <w:tabs>
                <w:tab w:val="decimal" w:pos="567"/>
              </w:tabs>
              <w:spacing w:line="180" w:lineRule="exact"/>
            </w:pPr>
            <w:r>
              <w:t>19,9%</w:t>
            </w:r>
          </w:p>
        </w:tc>
        <w:tc>
          <w:tcPr>
            <w:tcW w:w="720" w:type="dxa"/>
            <w:vAlign w:val="bottom"/>
          </w:tcPr>
          <w:p w:rsidR="00000000" w:rsidRDefault="00000000">
            <w:pPr>
              <w:pStyle w:val="table"/>
              <w:tabs>
                <w:tab w:val="decimal" w:pos="567"/>
              </w:tabs>
              <w:spacing w:line="180" w:lineRule="exact"/>
            </w:pPr>
            <w:r>
              <w:t>1553</w:t>
            </w:r>
          </w:p>
        </w:tc>
        <w:tc>
          <w:tcPr>
            <w:tcW w:w="720" w:type="dxa"/>
            <w:vAlign w:val="bottom"/>
          </w:tcPr>
          <w:p w:rsidR="00000000" w:rsidRDefault="00000000">
            <w:pPr>
              <w:pStyle w:val="table"/>
              <w:tabs>
                <w:tab w:val="decimal" w:pos="567"/>
              </w:tabs>
              <w:spacing w:line="180" w:lineRule="exact"/>
            </w:pPr>
            <w:r>
              <w:t>18,9%</w:t>
            </w:r>
          </w:p>
        </w:tc>
        <w:tc>
          <w:tcPr>
            <w:tcW w:w="721" w:type="dxa"/>
            <w:vAlign w:val="bottom"/>
          </w:tcPr>
          <w:p w:rsidR="00000000" w:rsidRDefault="00000000">
            <w:pPr>
              <w:pStyle w:val="table"/>
              <w:tabs>
                <w:tab w:val="decimal" w:pos="567"/>
              </w:tabs>
              <w:spacing w:line="180" w:lineRule="exact"/>
            </w:pPr>
            <w:r>
              <w:t>1434</w:t>
            </w:r>
          </w:p>
        </w:tc>
        <w:tc>
          <w:tcPr>
            <w:tcW w:w="720" w:type="dxa"/>
            <w:vAlign w:val="bottom"/>
          </w:tcPr>
          <w:p w:rsidR="00000000" w:rsidRDefault="00000000">
            <w:pPr>
              <w:pStyle w:val="table"/>
              <w:tabs>
                <w:tab w:val="decimal" w:pos="567"/>
              </w:tabs>
              <w:spacing w:line="180" w:lineRule="exact"/>
            </w:pPr>
            <w:r>
              <w:t>18,5%</w:t>
            </w:r>
          </w:p>
        </w:tc>
        <w:tc>
          <w:tcPr>
            <w:tcW w:w="720" w:type="dxa"/>
            <w:vAlign w:val="bottom"/>
          </w:tcPr>
          <w:p w:rsidR="00000000" w:rsidRDefault="00000000">
            <w:pPr>
              <w:pStyle w:val="table"/>
              <w:tabs>
                <w:tab w:val="decimal" w:pos="567"/>
              </w:tabs>
              <w:spacing w:line="180" w:lineRule="exact"/>
            </w:pPr>
            <w:r>
              <w:t>1324</w:t>
            </w:r>
          </w:p>
        </w:tc>
        <w:tc>
          <w:tcPr>
            <w:tcW w:w="721" w:type="dxa"/>
            <w:vAlign w:val="bottom"/>
          </w:tcPr>
          <w:p w:rsidR="00000000" w:rsidRDefault="00000000">
            <w:pPr>
              <w:pStyle w:val="table"/>
              <w:tabs>
                <w:tab w:val="decimal" w:pos="567"/>
              </w:tabs>
              <w:spacing w:line="180" w:lineRule="exact"/>
            </w:pPr>
            <w:r>
              <w:t>18,0%</w:t>
            </w:r>
          </w:p>
        </w:tc>
        <w:tc>
          <w:tcPr>
            <w:tcW w:w="720" w:type="dxa"/>
            <w:vAlign w:val="bottom"/>
          </w:tcPr>
          <w:p w:rsidR="00000000" w:rsidRDefault="00000000">
            <w:pPr>
              <w:pStyle w:val="table"/>
              <w:tabs>
                <w:tab w:val="decimal" w:pos="567"/>
              </w:tabs>
              <w:spacing w:line="180" w:lineRule="exact"/>
            </w:pPr>
            <w:r>
              <w:t>1350</w:t>
            </w:r>
          </w:p>
        </w:tc>
        <w:tc>
          <w:tcPr>
            <w:tcW w:w="721" w:type="dxa"/>
            <w:vAlign w:val="bottom"/>
          </w:tcPr>
          <w:p w:rsidR="00000000" w:rsidRDefault="00000000">
            <w:pPr>
              <w:pStyle w:val="table"/>
              <w:tabs>
                <w:tab w:val="decimal" w:pos="567"/>
              </w:tabs>
              <w:spacing w:line="180" w:lineRule="exact"/>
            </w:pPr>
            <w:r>
              <w:t>18,5%</w:t>
            </w:r>
          </w:p>
        </w:tc>
      </w:tr>
      <w:tr w:rsidR="00000000">
        <w:tblPrEx>
          <w:tblCellMar>
            <w:top w:w="0" w:type="dxa"/>
            <w:bottom w:w="0" w:type="dxa"/>
          </w:tblCellMar>
        </w:tblPrEx>
        <w:tc>
          <w:tcPr>
            <w:tcW w:w="2127" w:type="dxa"/>
          </w:tcPr>
          <w:p w:rsidR="00000000" w:rsidRDefault="00000000">
            <w:pPr>
              <w:pStyle w:val="table"/>
              <w:spacing w:line="180" w:lineRule="exact"/>
            </w:pPr>
            <w:r>
              <w:t>Технические специальн</w:t>
            </w:r>
            <w:r>
              <w:t>о</w:t>
            </w:r>
            <w:r>
              <w:t>сти</w:t>
            </w:r>
          </w:p>
        </w:tc>
        <w:tc>
          <w:tcPr>
            <w:tcW w:w="720" w:type="dxa"/>
            <w:vAlign w:val="bottom"/>
          </w:tcPr>
          <w:p w:rsidR="00000000" w:rsidRDefault="00000000">
            <w:pPr>
              <w:pStyle w:val="table"/>
              <w:tabs>
                <w:tab w:val="decimal" w:pos="567"/>
              </w:tabs>
              <w:spacing w:line="180" w:lineRule="exact"/>
            </w:pPr>
            <w:r>
              <w:t>194</w:t>
            </w:r>
          </w:p>
        </w:tc>
        <w:tc>
          <w:tcPr>
            <w:tcW w:w="720" w:type="dxa"/>
            <w:vAlign w:val="bottom"/>
          </w:tcPr>
          <w:p w:rsidR="00000000" w:rsidRDefault="00000000">
            <w:pPr>
              <w:pStyle w:val="table"/>
              <w:tabs>
                <w:tab w:val="decimal" w:pos="567"/>
              </w:tabs>
              <w:spacing w:line="180" w:lineRule="exact"/>
            </w:pPr>
            <w:r>
              <w:t>12,1%</w:t>
            </w:r>
          </w:p>
        </w:tc>
        <w:tc>
          <w:tcPr>
            <w:tcW w:w="721" w:type="dxa"/>
            <w:vAlign w:val="bottom"/>
          </w:tcPr>
          <w:p w:rsidR="00000000" w:rsidRDefault="00000000">
            <w:pPr>
              <w:pStyle w:val="table"/>
              <w:tabs>
                <w:tab w:val="decimal" w:pos="567"/>
              </w:tabs>
              <w:spacing w:line="180" w:lineRule="exact"/>
            </w:pPr>
            <w:r>
              <w:t>212</w:t>
            </w:r>
          </w:p>
        </w:tc>
        <w:tc>
          <w:tcPr>
            <w:tcW w:w="720" w:type="dxa"/>
            <w:vAlign w:val="bottom"/>
          </w:tcPr>
          <w:p w:rsidR="00000000" w:rsidRDefault="00000000">
            <w:pPr>
              <w:pStyle w:val="table"/>
              <w:tabs>
                <w:tab w:val="decimal" w:pos="567"/>
              </w:tabs>
              <w:spacing w:line="180" w:lineRule="exact"/>
            </w:pPr>
            <w:r>
              <w:t>12,8%</w:t>
            </w:r>
          </w:p>
        </w:tc>
        <w:tc>
          <w:tcPr>
            <w:tcW w:w="720" w:type="dxa"/>
            <w:vAlign w:val="bottom"/>
          </w:tcPr>
          <w:p w:rsidR="00000000" w:rsidRDefault="00000000">
            <w:pPr>
              <w:pStyle w:val="table"/>
              <w:tabs>
                <w:tab w:val="decimal" w:pos="567"/>
              </w:tabs>
              <w:spacing w:line="180" w:lineRule="exact"/>
            </w:pPr>
            <w:r>
              <w:t>236</w:t>
            </w:r>
          </w:p>
        </w:tc>
        <w:tc>
          <w:tcPr>
            <w:tcW w:w="721" w:type="dxa"/>
            <w:vAlign w:val="bottom"/>
          </w:tcPr>
          <w:p w:rsidR="00000000" w:rsidRDefault="00000000">
            <w:pPr>
              <w:pStyle w:val="table"/>
              <w:tabs>
                <w:tab w:val="decimal" w:pos="567"/>
              </w:tabs>
              <w:spacing w:line="180" w:lineRule="exact"/>
            </w:pPr>
            <w:r>
              <w:t>13,0%</w:t>
            </w:r>
          </w:p>
        </w:tc>
        <w:tc>
          <w:tcPr>
            <w:tcW w:w="720" w:type="dxa"/>
            <w:vAlign w:val="bottom"/>
          </w:tcPr>
          <w:p w:rsidR="00000000" w:rsidRDefault="00000000">
            <w:pPr>
              <w:pStyle w:val="table"/>
              <w:tabs>
                <w:tab w:val="decimal" w:pos="567"/>
              </w:tabs>
              <w:spacing w:line="180" w:lineRule="exact"/>
            </w:pPr>
            <w:r>
              <w:t>277</w:t>
            </w:r>
          </w:p>
        </w:tc>
        <w:tc>
          <w:tcPr>
            <w:tcW w:w="720" w:type="dxa"/>
            <w:vAlign w:val="bottom"/>
          </w:tcPr>
          <w:p w:rsidR="00000000" w:rsidRDefault="00000000">
            <w:pPr>
              <w:pStyle w:val="table"/>
              <w:tabs>
                <w:tab w:val="decimal" w:pos="567"/>
              </w:tabs>
              <w:spacing w:line="180" w:lineRule="exact"/>
            </w:pPr>
            <w:r>
              <w:t>14,3%</w:t>
            </w:r>
          </w:p>
        </w:tc>
        <w:tc>
          <w:tcPr>
            <w:tcW w:w="721" w:type="dxa"/>
            <w:vAlign w:val="bottom"/>
          </w:tcPr>
          <w:p w:rsidR="00000000" w:rsidRDefault="00000000">
            <w:pPr>
              <w:pStyle w:val="table"/>
              <w:tabs>
                <w:tab w:val="decimal" w:pos="567"/>
              </w:tabs>
              <w:spacing w:line="180" w:lineRule="exact"/>
            </w:pPr>
            <w:r>
              <w:t>276</w:t>
            </w:r>
          </w:p>
        </w:tc>
        <w:tc>
          <w:tcPr>
            <w:tcW w:w="720" w:type="dxa"/>
            <w:vAlign w:val="bottom"/>
          </w:tcPr>
          <w:p w:rsidR="00000000" w:rsidRDefault="00000000">
            <w:pPr>
              <w:pStyle w:val="table"/>
              <w:tabs>
                <w:tab w:val="decimal" w:pos="567"/>
              </w:tabs>
              <w:spacing w:line="180" w:lineRule="exact"/>
            </w:pPr>
            <w:r>
              <w:t>14,4%</w:t>
            </w:r>
          </w:p>
        </w:tc>
        <w:tc>
          <w:tcPr>
            <w:tcW w:w="720" w:type="dxa"/>
            <w:vAlign w:val="bottom"/>
          </w:tcPr>
          <w:p w:rsidR="00000000" w:rsidRDefault="00000000">
            <w:pPr>
              <w:pStyle w:val="table"/>
              <w:tabs>
                <w:tab w:val="decimal" w:pos="567"/>
              </w:tabs>
              <w:spacing w:line="180" w:lineRule="exact"/>
            </w:pPr>
            <w:r>
              <w:t>289</w:t>
            </w:r>
          </w:p>
        </w:tc>
        <w:tc>
          <w:tcPr>
            <w:tcW w:w="721" w:type="dxa"/>
            <w:vAlign w:val="bottom"/>
          </w:tcPr>
          <w:p w:rsidR="00000000" w:rsidRDefault="00000000">
            <w:pPr>
              <w:pStyle w:val="table"/>
              <w:tabs>
                <w:tab w:val="decimal" w:pos="567"/>
              </w:tabs>
              <w:spacing w:line="180" w:lineRule="exact"/>
            </w:pPr>
            <w:r>
              <w:t>14,4%</w:t>
            </w:r>
          </w:p>
        </w:tc>
        <w:tc>
          <w:tcPr>
            <w:tcW w:w="720" w:type="dxa"/>
            <w:vAlign w:val="bottom"/>
          </w:tcPr>
          <w:p w:rsidR="00000000" w:rsidRDefault="00000000">
            <w:pPr>
              <w:pStyle w:val="table"/>
              <w:tabs>
                <w:tab w:val="decimal" w:pos="567"/>
              </w:tabs>
              <w:spacing w:line="180" w:lineRule="exact"/>
            </w:pPr>
            <w:r>
              <w:t>294</w:t>
            </w:r>
          </w:p>
        </w:tc>
        <w:tc>
          <w:tcPr>
            <w:tcW w:w="721" w:type="dxa"/>
            <w:vAlign w:val="bottom"/>
          </w:tcPr>
          <w:p w:rsidR="00000000" w:rsidRDefault="00000000">
            <w:pPr>
              <w:pStyle w:val="table"/>
              <w:tabs>
                <w:tab w:val="decimal" w:pos="567"/>
              </w:tabs>
              <w:spacing w:line="180" w:lineRule="exact"/>
            </w:pPr>
            <w:r>
              <w:t>14,4%</w:t>
            </w:r>
          </w:p>
        </w:tc>
      </w:tr>
      <w:tr w:rsidR="00000000">
        <w:tblPrEx>
          <w:tblCellMar>
            <w:top w:w="0" w:type="dxa"/>
            <w:bottom w:w="0" w:type="dxa"/>
          </w:tblCellMar>
        </w:tblPrEx>
        <w:tc>
          <w:tcPr>
            <w:tcW w:w="2127" w:type="dxa"/>
            <w:tcBorders>
              <w:bottom w:val="single" w:sz="12" w:space="0" w:color="auto"/>
            </w:tcBorders>
          </w:tcPr>
          <w:p w:rsidR="00000000" w:rsidRDefault="00000000">
            <w:pPr>
              <w:pStyle w:val="table"/>
              <w:spacing w:line="180" w:lineRule="exact"/>
            </w:pPr>
            <w:r>
              <w:t>Сектор услуг</w:t>
            </w:r>
          </w:p>
        </w:tc>
        <w:tc>
          <w:tcPr>
            <w:tcW w:w="720" w:type="dxa"/>
            <w:tcBorders>
              <w:bottom w:val="single" w:sz="12" w:space="0" w:color="auto"/>
            </w:tcBorders>
            <w:vAlign w:val="bottom"/>
          </w:tcPr>
          <w:p w:rsidR="00000000" w:rsidRDefault="00000000">
            <w:pPr>
              <w:pStyle w:val="table"/>
              <w:tabs>
                <w:tab w:val="decimal" w:pos="567"/>
              </w:tabs>
              <w:spacing w:line="180" w:lineRule="exact"/>
            </w:pPr>
            <w:r>
              <w:t>7915</w:t>
            </w:r>
          </w:p>
        </w:tc>
        <w:tc>
          <w:tcPr>
            <w:tcW w:w="720" w:type="dxa"/>
            <w:tcBorders>
              <w:bottom w:val="single" w:sz="12" w:space="0" w:color="auto"/>
            </w:tcBorders>
            <w:vAlign w:val="bottom"/>
          </w:tcPr>
          <w:p w:rsidR="00000000" w:rsidRDefault="00000000">
            <w:pPr>
              <w:pStyle w:val="table"/>
              <w:tabs>
                <w:tab w:val="decimal" w:pos="567"/>
              </w:tabs>
              <w:spacing w:line="180" w:lineRule="exact"/>
            </w:pPr>
            <w:r>
              <w:t>51,8%</w:t>
            </w:r>
          </w:p>
        </w:tc>
        <w:tc>
          <w:tcPr>
            <w:tcW w:w="721" w:type="dxa"/>
            <w:tcBorders>
              <w:bottom w:val="single" w:sz="12" w:space="0" w:color="auto"/>
            </w:tcBorders>
            <w:vAlign w:val="bottom"/>
          </w:tcPr>
          <w:p w:rsidR="00000000" w:rsidRDefault="00000000">
            <w:pPr>
              <w:pStyle w:val="table"/>
              <w:tabs>
                <w:tab w:val="decimal" w:pos="567"/>
              </w:tabs>
              <w:spacing w:line="180" w:lineRule="exact"/>
            </w:pPr>
            <w:r>
              <w:t>8180</w:t>
            </w:r>
          </w:p>
        </w:tc>
        <w:tc>
          <w:tcPr>
            <w:tcW w:w="720" w:type="dxa"/>
            <w:tcBorders>
              <w:bottom w:val="single" w:sz="12" w:space="0" w:color="auto"/>
            </w:tcBorders>
            <w:vAlign w:val="bottom"/>
          </w:tcPr>
          <w:p w:rsidR="00000000" w:rsidRDefault="00000000">
            <w:pPr>
              <w:pStyle w:val="table"/>
              <w:tabs>
                <w:tab w:val="decimal" w:pos="567"/>
              </w:tabs>
              <w:spacing w:line="180" w:lineRule="exact"/>
            </w:pPr>
            <w:r>
              <w:t>51,8%</w:t>
            </w:r>
          </w:p>
        </w:tc>
        <w:tc>
          <w:tcPr>
            <w:tcW w:w="720" w:type="dxa"/>
            <w:tcBorders>
              <w:bottom w:val="single" w:sz="12" w:space="0" w:color="auto"/>
            </w:tcBorders>
            <w:vAlign w:val="bottom"/>
          </w:tcPr>
          <w:p w:rsidR="00000000" w:rsidRDefault="00000000">
            <w:pPr>
              <w:pStyle w:val="table"/>
              <w:tabs>
                <w:tab w:val="decimal" w:pos="567"/>
              </w:tabs>
              <w:spacing w:line="180" w:lineRule="exact"/>
            </w:pPr>
            <w:r>
              <w:t>9173</w:t>
            </w:r>
          </w:p>
        </w:tc>
        <w:tc>
          <w:tcPr>
            <w:tcW w:w="721" w:type="dxa"/>
            <w:tcBorders>
              <w:bottom w:val="single" w:sz="12" w:space="0" w:color="auto"/>
            </w:tcBorders>
            <w:vAlign w:val="bottom"/>
          </w:tcPr>
          <w:p w:rsidR="00000000" w:rsidRDefault="00000000">
            <w:pPr>
              <w:pStyle w:val="table"/>
              <w:tabs>
                <w:tab w:val="decimal" w:pos="567"/>
              </w:tabs>
              <w:spacing w:line="180" w:lineRule="exact"/>
            </w:pPr>
            <w:r>
              <w:t>53,4%</w:t>
            </w:r>
          </w:p>
        </w:tc>
        <w:tc>
          <w:tcPr>
            <w:tcW w:w="720" w:type="dxa"/>
            <w:tcBorders>
              <w:bottom w:val="single" w:sz="12" w:space="0" w:color="auto"/>
            </w:tcBorders>
            <w:vAlign w:val="bottom"/>
          </w:tcPr>
          <w:p w:rsidR="00000000" w:rsidRDefault="00000000">
            <w:pPr>
              <w:pStyle w:val="table"/>
              <w:tabs>
                <w:tab w:val="decimal" w:pos="567"/>
              </w:tabs>
              <w:spacing w:line="180" w:lineRule="exact"/>
            </w:pPr>
            <w:r>
              <w:t>9475</w:t>
            </w:r>
          </w:p>
        </w:tc>
        <w:tc>
          <w:tcPr>
            <w:tcW w:w="720" w:type="dxa"/>
            <w:tcBorders>
              <w:bottom w:val="single" w:sz="12" w:space="0" w:color="auto"/>
            </w:tcBorders>
            <w:vAlign w:val="bottom"/>
          </w:tcPr>
          <w:p w:rsidR="00000000" w:rsidRDefault="00000000">
            <w:pPr>
              <w:pStyle w:val="table"/>
              <w:tabs>
                <w:tab w:val="decimal" w:pos="567"/>
              </w:tabs>
              <w:spacing w:line="180" w:lineRule="exact"/>
            </w:pPr>
            <w:r>
              <w:t>54,4%</w:t>
            </w:r>
          </w:p>
        </w:tc>
        <w:tc>
          <w:tcPr>
            <w:tcW w:w="721" w:type="dxa"/>
            <w:tcBorders>
              <w:bottom w:val="single" w:sz="12" w:space="0" w:color="auto"/>
            </w:tcBorders>
            <w:vAlign w:val="bottom"/>
          </w:tcPr>
          <w:p w:rsidR="00000000" w:rsidRDefault="00000000">
            <w:pPr>
              <w:pStyle w:val="table"/>
              <w:tabs>
                <w:tab w:val="decimal" w:pos="567"/>
              </w:tabs>
              <w:spacing w:line="180" w:lineRule="exact"/>
            </w:pPr>
            <w:r>
              <w:t>9687</w:t>
            </w:r>
          </w:p>
        </w:tc>
        <w:tc>
          <w:tcPr>
            <w:tcW w:w="720" w:type="dxa"/>
            <w:tcBorders>
              <w:bottom w:val="single" w:sz="12" w:space="0" w:color="auto"/>
            </w:tcBorders>
            <w:vAlign w:val="bottom"/>
          </w:tcPr>
          <w:p w:rsidR="00000000" w:rsidRDefault="00000000">
            <w:pPr>
              <w:pStyle w:val="table"/>
              <w:tabs>
                <w:tab w:val="decimal" w:pos="567"/>
              </w:tabs>
              <w:spacing w:line="180" w:lineRule="exact"/>
            </w:pPr>
            <w:r>
              <w:t>54,8%</w:t>
            </w:r>
          </w:p>
        </w:tc>
        <w:tc>
          <w:tcPr>
            <w:tcW w:w="720" w:type="dxa"/>
            <w:tcBorders>
              <w:bottom w:val="single" w:sz="12" w:space="0" w:color="auto"/>
            </w:tcBorders>
            <w:vAlign w:val="bottom"/>
          </w:tcPr>
          <w:p w:rsidR="00000000" w:rsidRDefault="00000000">
            <w:pPr>
              <w:pStyle w:val="table"/>
              <w:tabs>
                <w:tab w:val="decimal" w:pos="567"/>
              </w:tabs>
              <w:spacing w:line="180" w:lineRule="exact"/>
            </w:pPr>
            <w:r>
              <w:t>10 634</w:t>
            </w:r>
          </w:p>
        </w:tc>
        <w:tc>
          <w:tcPr>
            <w:tcW w:w="721" w:type="dxa"/>
            <w:tcBorders>
              <w:bottom w:val="single" w:sz="12" w:space="0" w:color="auto"/>
            </w:tcBorders>
            <w:vAlign w:val="bottom"/>
          </w:tcPr>
          <w:p w:rsidR="00000000" w:rsidRDefault="00000000">
            <w:pPr>
              <w:pStyle w:val="table"/>
              <w:tabs>
                <w:tab w:val="decimal" w:pos="567"/>
              </w:tabs>
              <w:spacing w:line="180" w:lineRule="exact"/>
            </w:pPr>
            <w:r>
              <w:t>56,2%</w:t>
            </w:r>
          </w:p>
        </w:tc>
        <w:tc>
          <w:tcPr>
            <w:tcW w:w="720" w:type="dxa"/>
            <w:tcBorders>
              <w:bottom w:val="single" w:sz="12" w:space="0" w:color="auto"/>
            </w:tcBorders>
            <w:vAlign w:val="bottom"/>
          </w:tcPr>
          <w:p w:rsidR="00000000" w:rsidRDefault="00000000">
            <w:pPr>
              <w:pStyle w:val="table"/>
              <w:tabs>
                <w:tab w:val="decimal" w:pos="567"/>
              </w:tabs>
              <w:spacing w:line="180" w:lineRule="exact"/>
            </w:pPr>
            <w:r>
              <w:t>11 090</w:t>
            </w:r>
          </w:p>
        </w:tc>
        <w:tc>
          <w:tcPr>
            <w:tcW w:w="721" w:type="dxa"/>
            <w:tcBorders>
              <w:bottom w:val="single" w:sz="12" w:space="0" w:color="auto"/>
            </w:tcBorders>
            <w:vAlign w:val="bottom"/>
          </w:tcPr>
          <w:p w:rsidR="00000000" w:rsidRDefault="00000000">
            <w:pPr>
              <w:pStyle w:val="table"/>
              <w:tabs>
                <w:tab w:val="decimal" w:pos="567"/>
              </w:tabs>
              <w:spacing w:line="180" w:lineRule="exact"/>
            </w:pPr>
            <w:r>
              <w:t>56,6%</w:t>
            </w:r>
          </w:p>
        </w:tc>
      </w:tr>
    </w:tbl>
    <w:p w:rsidR="00000000" w:rsidRDefault="00000000"/>
    <w:tbl>
      <w:tblPr>
        <w:tblW w:w="0" w:type="auto"/>
        <w:tblInd w:w="18" w:type="dxa"/>
        <w:tblLayout w:type="fixed"/>
        <w:tblCellMar>
          <w:left w:w="28" w:type="dxa"/>
          <w:right w:w="28" w:type="dxa"/>
        </w:tblCellMar>
        <w:tblLook w:val="0000" w:firstRow="0" w:lastRow="0" w:firstColumn="0" w:lastColumn="0" w:noHBand="0" w:noVBand="0"/>
      </w:tblPr>
      <w:tblGrid>
        <w:gridCol w:w="2127"/>
        <w:gridCol w:w="708"/>
        <w:gridCol w:w="709"/>
        <w:gridCol w:w="709"/>
        <w:gridCol w:w="709"/>
        <w:gridCol w:w="722"/>
        <w:gridCol w:w="723"/>
        <w:gridCol w:w="723"/>
        <w:gridCol w:w="723"/>
        <w:gridCol w:w="723"/>
        <w:gridCol w:w="723"/>
        <w:gridCol w:w="723"/>
        <w:gridCol w:w="723"/>
        <w:gridCol w:w="723"/>
        <w:gridCol w:w="723"/>
      </w:tblGrid>
      <w:tr w:rsidR="00000000">
        <w:tblPrEx>
          <w:tblCellMar>
            <w:top w:w="0" w:type="dxa"/>
            <w:bottom w:w="0" w:type="dxa"/>
          </w:tblCellMar>
        </w:tblPrEx>
        <w:trPr>
          <w:cantSplit/>
        </w:trPr>
        <w:tc>
          <w:tcPr>
            <w:tcW w:w="2127" w:type="dxa"/>
            <w:vMerge w:val="restart"/>
            <w:tcBorders>
              <w:top w:val="single" w:sz="6" w:space="0" w:color="auto"/>
              <w:bottom w:val="single" w:sz="6" w:space="0" w:color="auto"/>
            </w:tcBorders>
            <w:vAlign w:val="center"/>
          </w:tcPr>
          <w:p w:rsidR="00000000" w:rsidRDefault="00000000">
            <w:pPr>
              <w:pStyle w:val="table"/>
              <w:jc w:val="center"/>
              <w:rPr>
                <w:i/>
              </w:rPr>
            </w:pPr>
            <w:r>
              <w:rPr>
                <w:i/>
              </w:rPr>
              <w:t>Новые федеральные земли и Восточный Бе</w:t>
            </w:r>
            <w:r>
              <w:rPr>
                <w:i/>
              </w:rPr>
              <w:t>р</w:t>
            </w:r>
            <w:r>
              <w:rPr>
                <w:i/>
              </w:rPr>
              <w:t>лин</w:t>
            </w:r>
          </w:p>
        </w:tc>
        <w:tc>
          <w:tcPr>
            <w:tcW w:w="1417" w:type="dxa"/>
            <w:gridSpan w:val="2"/>
            <w:tcBorders>
              <w:top w:val="single" w:sz="6" w:space="0" w:color="auto"/>
              <w:bottom w:val="single" w:sz="6" w:space="0" w:color="auto"/>
            </w:tcBorders>
            <w:vAlign w:val="center"/>
          </w:tcPr>
          <w:p w:rsidR="00000000" w:rsidRDefault="00000000">
            <w:pPr>
              <w:pStyle w:val="table"/>
              <w:jc w:val="center"/>
              <w:rPr>
                <w:i/>
              </w:rPr>
            </w:pPr>
          </w:p>
        </w:tc>
        <w:tc>
          <w:tcPr>
            <w:tcW w:w="1418" w:type="dxa"/>
            <w:gridSpan w:val="2"/>
            <w:tcBorders>
              <w:top w:val="single" w:sz="6" w:space="0" w:color="auto"/>
              <w:bottom w:val="single" w:sz="6" w:space="0" w:color="auto"/>
            </w:tcBorders>
            <w:vAlign w:val="center"/>
          </w:tcPr>
          <w:p w:rsidR="00000000" w:rsidRDefault="00000000">
            <w:pPr>
              <w:pStyle w:val="table"/>
              <w:jc w:val="center"/>
              <w:rPr>
                <w:i/>
              </w:rPr>
            </w:pPr>
          </w:p>
        </w:tc>
        <w:tc>
          <w:tcPr>
            <w:tcW w:w="1445" w:type="dxa"/>
            <w:gridSpan w:val="2"/>
            <w:tcBorders>
              <w:top w:val="single" w:sz="6" w:space="0" w:color="auto"/>
              <w:bottom w:val="single" w:sz="6" w:space="0" w:color="auto"/>
            </w:tcBorders>
            <w:vAlign w:val="center"/>
          </w:tcPr>
          <w:p w:rsidR="00000000" w:rsidRDefault="00000000">
            <w:pPr>
              <w:pStyle w:val="table"/>
              <w:jc w:val="center"/>
              <w:rPr>
                <w:i/>
              </w:rPr>
            </w:pPr>
            <w:r>
              <w:rPr>
                <w:i/>
              </w:rPr>
              <w:t>1991 год</w:t>
            </w:r>
          </w:p>
        </w:tc>
        <w:tc>
          <w:tcPr>
            <w:tcW w:w="1446" w:type="dxa"/>
            <w:gridSpan w:val="2"/>
            <w:tcBorders>
              <w:top w:val="single" w:sz="6" w:space="0" w:color="auto"/>
              <w:bottom w:val="single" w:sz="6" w:space="0" w:color="auto"/>
            </w:tcBorders>
            <w:vAlign w:val="center"/>
          </w:tcPr>
          <w:p w:rsidR="00000000" w:rsidRDefault="00000000">
            <w:pPr>
              <w:pStyle w:val="table"/>
              <w:jc w:val="center"/>
              <w:rPr>
                <w:i/>
              </w:rPr>
            </w:pPr>
            <w:r>
              <w:rPr>
                <w:i/>
              </w:rPr>
              <w:t>1993 год</w:t>
            </w:r>
          </w:p>
        </w:tc>
        <w:tc>
          <w:tcPr>
            <w:tcW w:w="1446" w:type="dxa"/>
            <w:gridSpan w:val="2"/>
            <w:tcBorders>
              <w:top w:val="single" w:sz="6" w:space="0" w:color="auto"/>
              <w:bottom w:val="single" w:sz="6" w:space="0" w:color="auto"/>
            </w:tcBorders>
            <w:vAlign w:val="center"/>
          </w:tcPr>
          <w:p w:rsidR="00000000" w:rsidRDefault="00000000">
            <w:pPr>
              <w:pStyle w:val="table"/>
              <w:jc w:val="center"/>
              <w:rPr>
                <w:i/>
              </w:rPr>
            </w:pPr>
            <w:r>
              <w:rPr>
                <w:i/>
              </w:rPr>
              <w:t>1995 год</w:t>
            </w:r>
          </w:p>
        </w:tc>
        <w:tc>
          <w:tcPr>
            <w:tcW w:w="1446" w:type="dxa"/>
            <w:gridSpan w:val="2"/>
            <w:tcBorders>
              <w:top w:val="single" w:sz="6" w:space="0" w:color="auto"/>
              <w:bottom w:val="single" w:sz="6" w:space="0" w:color="auto"/>
            </w:tcBorders>
            <w:vAlign w:val="center"/>
          </w:tcPr>
          <w:p w:rsidR="00000000" w:rsidRDefault="00000000">
            <w:pPr>
              <w:pStyle w:val="table"/>
              <w:jc w:val="center"/>
              <w:rPr>
                <w:i/>
              </w:rPr>
            </w:pPr>
            <w:r>
              <w:rPr>
                <w:i/>
              </w:rPr>
              <w:t>1999 год</w:t>
            </w:r>
          </w:p>
        </w:tc>
        <w:tc>
          <w:tcPr>
            <w:tcW w:w="1446" w:type="dxa"/>
            <w:gridSpan w:val="2"/>
            <w:tcBorders>
              <w:top w:val="single" w:sz="6" w:space="0" w:color="auto"/>
              <w:bottom w:val="single" w:sz="6" w:space="0" w:color="auto"/>
            </w:tcBorders>
            <w:vAlign w:val="center"/>
          </w:tcPr>
          <w:p w:rsidR="00000000" w:rsidRDefault="00000000">
            <w:pPr>
              <w:pStyle w:val="table"/>
              <w:jc w:val="center"/>
              <w:rPr>
                <w:i/>
              </w:rPr>
            </w:pPr>
            <w:r>
              <w:rPr>
                <w:i/>
              </w:rPr>
              <w:t>2001 год</w:t>
            </w:r>
          </w:p>
        </w:tc>
      </w:tr>
      <w:tr w:rsidR="00000000">
        <w:tblPrEx>
          <w:tblCellMar>
            <w:top w:w="0" w:type="dxa"/>
            <w:bottom w:w="0" w:type="dxa"/>
          </w:tblCellMar>
        </w:tblPrEx>
        <w:trPr>
          <w:cantSplit/>
          <w:trHeight w:val="1134"/>
        </w:trPr>
        <w:tc>
          <w:tcPr>
            <w:tcW w:w="2127" w:type="dxa"/>
            <w:vMerge/>
            <w:tcBorders>
              <w:top w:val="single" w:sz="6" w:space="0" w:color="auto"/>
              <w:bottom w:val="single" w:sz="12" w:space="0" w:color="auto"/>
            </w:tcBorders>
            <w:vAlign w:val="center"/>
          </w:tcPr>
          <w:p w:rsidR="00000000" w:rsidRDefault="00000000">
            <w:pPr>
              <w:pStyle w:val="table"/>
              <w:jc w:val="center"/>
              <w:rPr>
                <w:i/>
              </w:rPr>
            </w:pPr>
          </w:p>
        </w:tc>
        <w:tc>
          <w:tcPr>
            <w:tcW w:w="708" w:type="dxa"/>
            <w:tcBorders>
              <w:top w:val="single" w:sz="6" w:space="0" w:color="auto"/>
              <w:bottom w:val="single" w:sz="12" w:space="0" w:color="auto"/>
            </w:tcBorders>
            <w:vAlign w:val="center"/>
          </w:tcPr>
          <w:p w:rsidR="00000000" w:rsidRDefault="00000000">
            <w:pPr>
              <w:pStyle w:val="table"/>
              <w:jc w:val="center"/>
              <w:rPr>
                <w:i/>
              </w:rPr>
            </w:pPr>
          </w:p>
        </w:tc>
        <w:tc>
          <w:tcPr>
            <w:tcW w:w="709" w:type="dxa"/>
            <w:tcBorders>
              <w:top w:val="single" w:sz="6" w:space="0" w:color="auto"/>
              <w:bottom w:val="single" w:sz="12" w:space="0" w:color="auto"/>
            </w:tcBorders>
            <w:vAlign w:val="center"/>
          </w:tcPr>
          <w:p w:rsidR="00000000" w:rsidRDefault="00000000">
            <w:pPr>
              <w:pStyle w:val="table"/>
              <w:jc w:val="center"/>
              <w:rPr>
                <w:i/>
              </w:rPr>
            </w:pPr>
          </w:p>
        </w:tc>
        <w:tc>
          <w:tcPr>
            <w:tcW w:w="709" w:type="dxa"/>
            <w:tcBorders>
              <w:top w:val="single" w:sz="6" w:space="0" w:color="auto"/>
              <w:bottom w:val="single" w:sz="12" w:space="0" w:color="auto"/>
            </w:tcBorders>
            <w:vAlign w:val="center"/>
          </w:tcPr>
          <w:p w:rsidR="00000000" w:rsidRDefault="00000000">
            <w:pPr>
              <w:pStyle w:val="table"/>
              <w:jc w:val="center"/>
              <w:rPr>
                <w:i/>
              </w:rPr>
            </w:pPr>
          </w:p>
        </w:tc>
        <w:tc>
          <w:tcPr>
            <w:tcW w:w="709" w:type="dxa"/>
            <w:tcBorders>
              <w:top w:val="single" w:sz="6" w:space="0" w:color="auto"/>
              <w:bottom w:val="single" w:sz="12" w:space="0" w:color="auto"/>
            </w:tcBorders>
            <w:vAlign w:val="center"/>
          </w:tcPr>
          <w:p w:rsidR="00000000" w:rsidRDefault="00000000">
            <w:pPr>
              <w:pStyle w:val="table"/>
              <w:jc w:val="center"/>
              <w:rPr>
                <w:i/>
              </w:rPr>
            </w:pPr>
          </w:p>
        </w:tc>
        <w:tc>
          <w:tcPr>
            <w:tcW w:w="722"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w:t>
            </w:r>
            <w:r>
              <w:rPr>
                <w:i/>
              </w:rPr>
              <w:t>е</w:t>
            </w:r>
            <w:r>
              <w:rPr>
                <w:i/>
              </w:rPr>
              <w:t>ловек</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w:t>
            </w:r>
            <w:r>
              <w:rPr>
                <w:i/>
              </w:rPr>
              <w:t>е</w:t>
            </w:r>
            <w:r>
              <w:rPr>
                <w:i/>
              </w:rPr>
              <w:t>ловек</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w:t>
            </w:r>
            <w:r>
              <w:rPr>
                <w:i/>
              </w:rPr>
              <w:t>е</w:t>
            </w:r>
            <w:r>
              <w:rPr>
                <w:i/>
              </w:rPr>
              <w:t>ловек</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w:t>
            </w:r>
            <w:r>
              <w:rPr>
                <w:i/>
              </w:rPr>
              <w:t>е</w:t>
            </w:r>
            <w:r>
              <w:rPr>
                <w:i/>
              </w:rPr>
              <w:t>ловек</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тыс. ч</w:t>
            </w:r>
            <w:r>
              <w:rPr>
                <w:i/>
              </w:rPr>
              <w:t>е</w:t>
            </w:r>
            <w:r>
              <w:rPr>
                <w:i/>
              </w:rPr>
              <w:t>ловек</w:t>
            </w:r>
          </w:p>
        </w:tc>
        <w:tc>
          <w:tcPr>
            <w:tcW w:w="723" w:type="dxa"/>
            <w:tcBorders>
              <w:top w:val="single" w:sz="6" w:space="0" w:color="auto"/>
              <w:bottom w:val="single" w:sz="12" w:space="0" w:color="auto"/>
            </w:tcBorders>
            <w:textDirection w:val="btLr"/>
            <w:vAlign w:val="center"/>
          </w:tcPr>
          <w:p w:rsidR="00000000" w:rsidRDefault="00000000">
            <w:pPr>
              <w:pStyle w:val="table"/>
              <w:ind w:left="113" w:right="113"/>
              <w:jc w:val="center"/>
              <w:rPr>
                <w:i/>
              </w:rPr>
            </w:pPr>
            <w:r>
              <w:rPr>
                <w:i/>
              </w:rPr>
              <w:t>В проце</w:t>
            </w:r>
            <w:r>
              <w:rPr>
                <w:i/>
              </w:rPr>
              <w:t>н</w:t>
            </w:r>
            <w:r>
              <w:rPr>
                <w:i/>
              </w:rPr>
              <w:t>тах</w:t>
            </w:r>
          </w:p>
        </w:tc>
      </w:tr>
      <w:tr w:rsidR="00000000">
        <w:tblPrEx>
          <w:tblCellMar>
            <w:top w:w="0" w:type="dxa"/>
            <w:bottom w:w="0" w:type="dxa"/>
          </w:tblCellMar>
        </w:tblPrEx>
        <w:tc>
          <w:tcPr>
            <w:tcW w:w="2127" w:type="dxa"/>
            <w:tcBorders>
              <w:top w:val="single" w:sz="12" w:space="0" w:color="auto"/>
            </w:tcBorders>
          </w:tcPr>
          <w:p w:rsidR="00000000" w:rsidRDefault="00000000">
            <w:pPr>
              <w:pStyle w:val="table"/>
              <w:spacing w:line="180" w:lineRule="exact"/>
            </w:pPr>
            <w:r>
              <w:t>Число занятых в сельском хозяйстве, животноводс</w:t>
            </w:r>
            <w:r>
              <w:t>т</w:t>
            </w:r>
            <w:r>
              <w:t>ве, лесном хозяйстве и садово</w:t>
            </w:r>
            <w:r>
              <w:t>д</w:t>
            </w:r>
            <w:r>
              <w:t>стве</w:t>
            </w:r>
          </w:p>
        </w:tc>
        <w:tc>
          <w:tcPr>
            <w:tcW w:w="708" w:type="dxa"/>
            <w:tcBorders>
              <w:top w:val="single" w:sz="12" w:space="0" w:color="auto"/>
            </w:tcBorders>
          </w:tcPr>
          <w:p w:rsidR="00000000" w:rsidRDefault="00000000">
            <w:pPr>
              <w:pStyle w:val="table"/>
              <w:spacing w:line="180" w:lineRule="exact"/>
            </w:pPr>
          </w:p>
        </w:tc>
        <w:tc>
          <w:tcPr>
            <w:tcW w:w="709" w:type="dxa"/>
            <w:tcBorders>
              <w:top w:val="single" w:sz="12" w:space="0" w:color="auto"/>
            </w:tcBorders>
          </w:tcPr>
          <w:p w:rsidR="00000000" w:rsidRDefault="00000000">
            <w:pPr>
              <w:pStyle w:val="table"/>
              <w:spacing w:line="180" w:lineRule="exact"/>
            </w:pPr>
          </w:p>
        </w:tc>
        <w:tc>
          <w:tcPr>
            <w:tcW w:w="709" w:type="dxa"/>
            <w:tcBorders>
              <w:top w:val="single" w:sz="12" w:space="0" w:color="auto"/>
            </w:tcBorders>
          </w:tcPr>
          <w:p w:rsidR="00000000" w:rsidRDefault="00000000">
            <w:pPr>
              <w:pStyle w:val="table"/>
              <w:spacing w:line="180" w:lineRule="exact"/>
            </w:pPr>
          </w:p>
        </w:tc>
        <w:tc>
          <w:tcPr>
            <w:tcW w:w="709" w:type="dxa"/>
            <w:tcBorders>
              <w:top w:val="single" w:sz="12" w:space="0" w:color="auto"/>
            </w:tcBorders>
          </w:tcPr>
          <w:p w:rsidR="00000000" w:rsidRDefault="00000000">
            <w:pPr>
              <w:pStyle w:val="table"/>
              <w:spacing w:line="180" w:lineRule="exact"/>
            </w:pPr>
          </w:p>
        </w:tc>
        <w:tc>
          <w:tcPr>
            <w:tcW w:w="722" w:type="dxa"/>
            <w:tcBorders>
              <w:top w:val="single" w:sz="12" w:space="0" w:color="auto"/>
            </w:tcBorders>
          </w:tcPr>
          <w:p w:rsidR="00000000" w:rsidRDefault="00000000">
            <w:pPr>
              <w:pStyle w:val="table"/>
              <w:tabs>
                <w:tab w:val="decimal" w:pos="567"/>
              </w:tabs>
              <w:spacing w:line="180" w:lineRule="exact"/>
            </w:pPr>
            <w:r>
              <w:t>133</w:t>
            </w:r>
          </w:p>
        </w:tc>
        <w:tc>
          <w:tcPr>
            <w:tcW w:w="723" w:type="dxa"/>
            <w:tcBorders>
              <w:top w:val="single" w:sz="12" w:space="0" w:color="auto"/>
            </w:tcBorders>
          </w:tcPr>
          <w:p w:rsidR="00000000" w:rsidRDefault="00000000">
            <w:pPr>
              <w:pStyle w:val="table"/>
              <w:tabs>
                <w:tab w:val="decimal" w:pos="567"/>
              </w:tabs>
              <w:spacing w:line="180" w:lineRule="exact"/>
            </w:pPr>
            <w:r>
              <w:t>40,7%</w:t>
            </w:r>
          </w:p>
        </w:tc>
        <w:tc>
          <w:tcPr>
            <w:tcW w:w="723" w:type="dxa"/>
            <w:tcBorders>
              <w:top w:val="single" w:sz="12" w:space="0" w:color="auto"/>
            </w:tcBorders>
          </w:tcPr>
          <w:p w:rsidR="00000000" w:rsidRDefault="00000000">
            <w:pPr>
              <w:pStyle w:val="table"/>
              <w:tabs>
                <w:tab w:val="decimal" w:pos="567"/>
              </w:tabs>
              <w:spacing w:line="180" w:lineRule="exact"/>
            </w:pPr>
            <w:r>
              <w:t>86</w:t>
            </w:r>
          </w:p>
        </w:tc>
        <w:tc>
          <w:tcPr>
            <w:tcW w:w="723" w:type="dxa"/>
            <w:tcBorders>
              <w:top w:val="single" w:sz="12" w:space="0" w:color="auto"/>
            </w:tcBorders>
          </w:tcPr>
          <w:p w:rsidR="00000000" w:rsidRDefault="00000000">
            <w:pPr>
              <w:pStyle w:val="table"/>
              <w:tabs>
                <w:tab w:val="decimal" w:pos="567"/>
              </w:tabs>
              <w:spacing w:line="180" w:lineRule="exact"/>
            </w:pPr>
            <w:r>
              <w:t>43,2%</w:t>
            </w:r>
          </w:p>
        </w:tc>
        <w:tc>
          <w:tcPr>
            <w:tcW w:w="723" w:type="dxa"/>
            <w:tcBorders>
              <w:top w:val="single" w:sz="12" w:space="0" w:color="auto"/>
            </w:tcBorders>
          </w:tcPr>
          <w:p w:rsidR="00000000" w:rsidRDefault="00000000">
            <w:pPr>
              <w:pStyle w:val="table"/>
              <w:tabs>
                <w:tab w:val="decimal" w:pos="567"/>
              </w:tabs>
              <w:spacing w:line="180" w:lineRule="exact"/>
            </w:pPr>
            <w:r>
              <w:t>110</w:t>
            </w:r>
          </w:p>
        </w:tc>
        <w:tc>
          <w:tcPr>
            <w:tcW w:w="723" w:type="dxa"/>
            <w:tcBorders>
              <w:top w:val="single" w:sz="12" w:space="0" w:color="auto"/>
            </w:tcBorders>
          </w:tcPr>
          <w:p w:rsidR="00000000" w:rsidRDefault="00000000">
            <w:pPr>
              <w:pStyle w:val="table"/>
              <w:tabs>
                <w:tab w:val="decimal" w:pos="567"/>
              </w:tabs>
              <w:spacing w:line="180" w:lineRule="exact"/>
            </w:pPr>
            <w:r>
              <w:t>49,6%</w:t>
            </w:r>
          </w:p>
        </w:tc>
        <w:tc>
          <w:tcPr>
            <w:tcW w:w="723" w:type="dxa"/>
            <w:tcBorders>
              <w:top w:val="single" w:sz="12" w:space="0" w:color="auto"/>
            </w:tcBorders>
          </w:tcPr>
          <w:p w:rsidR="00000000" w:rsidRDefault="00000000">
            <w:pPr>
              <w:pStyle w:val="table"/>
              <w:tabs>
                <w:tab w:val="decimal" w:pos="567"/>
              </w:tabs>
              <w:spacing w:line="180" w:lineRule="exact"/>
            </w:pPr>
            <w:r>
              <w:t>105</w:t>
            </w:r>
          </w:p>
        </w:tc>
        <w:tc>
          <w:tcPr>
            <w:tcW w:w="723" w:type="dxa"/>
            <w:tcBorders>
              <w:top w:val="single" w:sz="12" w:space="0" w:color="auto"/>
            </w:tcBorders>
          </w:tcPr>
          <w:p w:rsidR="00000000" w:rsidRDefault="00000000">
            <w:pPr>
              <w:pStyle w:val="table"/>
              <w:tabs>
                <w:tab w:val="decimal" w:pos="567"/>
              </w:tabs>
              <w:spacing w:line="180" w:lineRule="exact"/>
            </w:pPr>
            <w:r>
              <w:t>45,1%</w:t>
            </w:r>
          </w:p>
        </w:tc>
        <w:tc>
          <w:tcPr>
            <w:tcW w:w="723" w:type="dxa"/>
            <w:tcBorders>
              <w:top w:val="single" w:sz="12" w:space="0" w:color="auto"/>
            </w:tcBorders>
          </w:tcPr>
          <w:p w:rsidR="00000000" w:rsidRDefault="00000000">
            <w:pPr>
              <w:pStyle w:val="table"/>
              <w:tabs>
                <w:tab w:val="decimal" w:pos="567"/>
              </w:tabs>
              <w:spacing w:line="180" w:lineRule="exact"/>
            </w:pPr>
            <w:r>
              <w:t>86</w:t>
            </w:r>
          </w:p>
        </w:tc>
        <w:tc>
          <w:tcPr>
            <w:tcW w:w="723" w:type="dxa"/>
            <w:tcBorders>
              <w:top w:val="single" w:sz="12" w:space="0" w:color="auto"/>
            </w:tcBorders>
          </w:tcPr>
          <w:p w:rsidR="00000000" w:rsidRDefault="00000000">
            <w:pPr>
              <w:pStyle w:val="table"/>
              <w:tabs>
                <w:tab w:val="decimal" w:pos="567"/>
              </w:tabs>
              <w:spacing w:line="180" w:lineRule="exact"/>
            </w:pPr>
            <w:r>
              <w:t>40,8%</w:t>
            </w:r>
          </w:p>
        </w:tc>
      </w:tr>
      <w:tr w:rsidR="00000000">
        <w:tblPrEx>
          <w:tblCellMar>
            <w:top w:w="0" w:type="dxa"/>
            <w:bottom w:w="0" w:type="dxa"/>
          </w:tblCellMar>
        </w:tblPrEx>
        <w:tc>
          <w:tcPr>
            <w:tcW w:w="2127" w:type="dxa"/>
          </w:tcPr>
          <w:p w:rsidR="00000000" w:rsidRDefault="00000000">
            <w:pPr>
              <w:pStyle w:val="table"/>
              <w:spacing w:line="180" w:lineRule="exact"/>
            </w:pPr>
            <w:r>
              <w:t>Обрабатывающая пр</w:t>
            </w:r>
            <w:r>
              <w:t>о</w:t>
            </w:r>
            <w:r>
              <w:t>мышленность</w:t>
            </w:r>
          </w:p>
        </w:tc>
        <w:tc>
          <w:tcPr>
            <w:tcW w:w="708" w:type="dxa"/>
          </w:tcPr>
          <w:p w:rsidR="00000000" w:rsidRDefault="00000000">
            <w:pPr>
              <w:pStyle w:val="table"/>
              <w:spacing w:line="180" w:lineRule="exact"/>
            </w:pPr>
          </w:p>
        </w:tc>
        <w:tc>
          <w:tcPr>
            <w:tcW w:w="709" w:type="dxa"/>
          </w:tcPr>
          <w:p w:rsidR="00000000" w:rsidRDefault="00000000">
            <w:pPr>
              <w:pStyle w:val="table"/>
              <w:spacing w:line="180" w:lineRule="exact"/>
            </w:pPr>
          </w:p>
        </w:tc>
        <w:tc>
          <w:tcPr>
            <w:tcW w:w="709" w:type="dxa"/>
          </w:tcPr>
          <w:p w:rsidR="00000000" w:rsidRDefault="00000000">
            <w:pPr>
              <w:pStyle w:val="table"/>
              <w:spacing w:line="180" w:lineRule="exact"/>
            </w:pPr>
          </w:p>
        </w:tc>
        <w:tc>
          <w:tcPr>
            <w:tcW w:w="709" w:type="dxa"/>
          </w:tcPr>
          <w:p w:rsidR="00000000" w:rsidRDefault="00000000">
            <w:pPr>
              <w:pStyle w:val="table"/>
              <w:spacing w:line="180" w:lineRule="exact"/>
            </w:pPr>
          </w:p>
        </w:tc>
        <w:tc>
          <w:tcPr>
            <w:tcW w:w="722" w:type="dxa"/>
          </w:tcPr>
          <w:p w:rsidR="00000000" w:rsidRDefault="00000000">
            <w:pPr>
              <w:pStyle w:val="table"/>
              <w:tabs>
                <w:tab w:val="decimal" w:pos="567"/>
              </w:tabs>
              <w:spacing w:line="180" w:lineRule="exact"/>
            </w:pPr>
            <w:r>
              <w:t>567</w:t>
            </w:r>
          </w:p>
        </w:tc>
        <w:tc>
          <w:tcPr>
            <w:tcW w:w="723" w:type="dxa"/>
          </w:tcPr>
          <w:p w:rsidR="00000000" w:rsidRDefault="00000000">
            <w:pPr>
              <w:pStyle w:val="table"/>
              <w:tabs>
                <w:tab w:val="decimal" w:pos="567"/>
              </w:tabs>
              <w:spacing w:line="180" w:lineRule="exact"/>
            </w:pPr>
            <w:r>
              <w:t>23,6%</w:t>
            </w:r>
          </w:p>
        </w:tc>
        <w:tc>
          <w:tcPr>
            <w:tcW w:w="723" w:type="dxa"/>
          </w:tcPr>
          <w:p w:rsidR="00000000" w:rsidRDefault="00000000">
            <w:pPr>
              <w:pStyle w:val="table"/>
              <w:tabs>
                <w:tab w:val="decimal" w:pos="567"/>
              </w:tabs>
              <w:spacing w:line="180" w:lineRule="exact"/>
            </w:pPr>
            <w:r>
              <w:t>320</w:t>
            </w:r>
          </w:p>
        </w:tc>
        <w:tc>
          <w:tcPr>
            <w:tcW w:w="723" w:type="dxa"/>
          </w:tcPr>
          <w:p w:rsidR="00000000" w:rsidRDefault="00000000">
            <w:pPr>
              <w:pStyle w:val="table"/>
              <w:tabs>
                <w:tab w:val="decimal" w:pos="567"/>
              </w:tabs>
              <w:spacing w:line="180" w:lineRule="exact"/>
            </w:pPr>
            <w:r>
              <w:t>16,5</w:t>
            </w:r>
          </w:p>
        </w:tc>
        <w:tc>
          <w:tcPr>
            <w:tcW w:w="723" w:type="dxa"/>
          </w:tcPr>
          <w:p w:rsidR="00000000" w:rsidRDefault="00000000">
            <w:pPr>
              <w:pStyle w:val="table"/>
              <w:tabs>
                <w:tab w:val="decimal" w:pos="567"/>
              </w:tabs>
              <w:spacing w:line="180" w:lineRule="exact"/>
            </w:pPr>
            <w:r>
              <w:t>314</w:t>
            </w:r>
          </w:p>
        </w:tc>
        <w:tc>
          <w:tcPr>
            <w:tcW w:w="723" w:type="dxa"/>
          </w:tcPr>
          <w:p w:rsidR="00000000" w:rsidRDefault="00000000">
            <w:pPr>
              <w:pStyle w:val="table"/>
              <w:tabs>
                <w:tab w:val="decimal" w:pos="567"/>
              </w:tabs>
              <w:spacing w:line="180" w:lineRule="exact"/>
            </w:pPr>
            <w:r>
              <w:t>15,5%</w:t>
            </w:r>
          </w:p>
        </w:tc>
        <w:tc>
          <w:tcPr>
            <w:tcW w:w="723" w:type="dxa"/>
          </w:tcPr>
          <w:p w:rsidR="00000000" w:rsidRDefault="00000000">
            <w:pPr>
              <w:pStyle w:val="table"/>
              <w:tabs>
                <w:tab w:val="decimal" w:pos="567"/>
              </w:tabs>
              <w:spacing w:line="180" w:lineRule="exact"/>
            </w:pPr>
            <w:r>
              <w:t>286</w:t>
            </w:r>
          </w:p>
        </w:tc>
        <w:tc>
          <w:tcPr>
            <w:tcW w:w="723" w:type="dxa"/>
          </w:tcPr>
          <w:p w:rsidR="00000000" w:rsidRDefault="00000000">
            <w:pPr>
              <w:pStyle w:val="table"/>
              <w:tabs>
                <w:tab w:val="decimal" w:pos="567"/>
              </w:tabs>
              <w:spacing w:line="180" w:lineRule="exact"/>
            </w:pPr>
            <w:r>
              <w:t>15,4%</w:t>
            </w:r>
          </w:p>
        </w:tc>
        <w:tc>
          <w:tcPr>
            <w:tcW w:w="723" w:type="dxa"/>
          </w:tcPr>
          <w:p w:rsidR="00000000" w:rsidRDefault="00000000">
            <w:pPr>
              <w:pStyle w:val="table"/>
              <w:tabs>
                <w:tab w:val="decimal" w:pos="567"/>
              </w:tabs>
              <w:spacing w:line="180" w:lineRule="exact"/>
            </w:pPr>
            <w:r>
              <w:t>287</w:t>
            </w:r>
          </w:p>
        </w:tc>
        <w:tc>
          <w:tcPr>
            <w:tcW w:w="723" w:type="dxa"/>
          </w:tcPr>
          <w:p w:rsidR="00000000" w:rsidRDefault="00000000">
            <w:pPr>
              <w:pStyle w:val="table"/>
              <w:tabs>
                <w:tab w:val="decimal" w:pos="567"/>
              </w:tabs>
              <w:spacing w:line="180" w:lineRule="exact"/>
            </w:pPr>
            <w:r>
              <w:t>16,4%</w:t>
            </w:r>
          </w:p>
        </w:tc>
      </w:tr>
      <w:tr w:rsidR="00000000">
        <w:tblPrEx>
          <w:tblCellMar>
            <w:top w:w="0" w:type="dxa"/>
            <w:bottom w:w="0" w:type="dxa"/>
          </w:tblCellMar>
        </w:tblPrEx>
        <w:tc>
          <w:tcPr>
            <w:tcW w:w="2127" w:type="dxa"/>
          </w:tcPr>
          <w:p w:rsidR="00000000" w:rsidRDefault="00000000">
            <w:pPr>
              <w:pStyle w:val="table"/>
              <w:spacing w:line="180" w:lineRule="exact"/>
            </w:pPr>
            <w:r>
              <w:t>Технические специальн</w:t>
            </w:r>
            <w:r>
              <w:t>о</w:t>
            </w:r>
            <w:r>
              <w:t>сти</w:t>
            </w:r>
          </w:p>
        </w:tc>
        <w:tc>
          <w:tcPr>
            <w:tcW w:w="708" w:type="dxa"/>
          </w:tcPr>
          <w:p w:rsidR="00000000" w:rsidRDefault="00000000">
            <w:pPr>
              <w:pStyle w:val="table"/>
              <w:spacing w:line="180" w:lineRule="exact"/>
            </w:pPr>
          </w:p>
        </w:tc>
        <w:tc>
          <w:tcPr>
            <w:tcW w:w="709" w:type="dxa"/>
          </w:tcPr>
          <w:p w:rsidR="00000000" w:rsidRDefault="00000000">
            <w:pPr>
              <w:pStyle w:val="table"/>
              <w:spacing w:line="180" w:lineRule="exact"/>
            </w:pPr>
          </w:p>
        </w:tc>
        <w:tc>
          <w:tcPr>
            <w:tcW w:w="709" w:type="dxa"/>
          </w:tcPr>
          <w:p w:rsidR="00000000" w:rsidRDefault="00000000">
            <w:pPr>
              <w:pStyle w:val="table"/>
              <w:spacing w:line="180" w:lineRule="exact"/>
            </w:pPr>
          </w:p>
        </w:tc>
        <w:tc>
          <w:tcPr>
            <w:tcW w:w="709" w:type="dxa"/>
          </w:tcPr>
          <w:p w:rsidR="00000000" w:rsidRDefault="00000000">
            <w:pPr>
              <w:pStyle w:val="table"/>
              <w:spacing w:line="180" w:lineRule="exact"/>
            </w:pPr>
          </w:p>
        </w:tc>
        <w:tc>
          <w:tcPr>
            <w:tcW w:w="722" w:type="dxa"/>
          </w:tcPr>
          <w:p w:rsidR="00000000" w:rsidRDefault="00000000">
            <w:pPr>
              <w:pStyle w:val="table"/>
              <w:tabs>
                <w:tab w:val="decimal" w:pos="567"/>
              </w:tabs>
              <w:spacing w:line="180" w:lineRule="exact"/>
            </w:pPr>
            <w:r>
              <w:t>175</w:t>
            </w:r>
          </w:p>
        </w:tc>
        <w:tc>
          <w:tcPr>
            <w:tcW w:w="723" w:type="dxa"/>
          </w:tcPr>
          <w:p w:rsidR="00000000" w:rsidRDefault="00000000">
            <w:pPr>
              <w:pStyle w:val="table"/>
              <w:tabs>
                <w:tab w:val="decimal" w:pos="567"/>
              </w:tabs>
              <w:spacing w:line="180" w:lineRule="exact"/>
            </w:pPr>
            <w:r>
              <w:t>32,3%</w:t>
            </w:r>
          </w:p>
        </w:tc>
        <w:tc>
          <w:tcPr>
            <w:tcW w:w="723" w:type="dxa"/>
          </w:tcPr>
          <w:p w:rsidR="00000000" w:rsidRDefault="00000000">
            <w:pPr>
              <w:pStyle w:val="table"/>
              <w:tabs>
                <w:tab w:val="decimal" w:pos="567"/>
              </w:tabs>
              <w:spacing w:line="180" w:lineRule="exact"/>
            </w:pPr>
            <w:r>
              <w:t>114</w:t>
            </w:r>
          </w:p>
        </w:tc>
        <w:tc>
          <w:tcPr>
            <w:tcW w:w="723" w:type="dxa"/>
          </w:tcPr>
          <w:p w:rsidR="00000000" w:rsidRDefault="00000000">
            <w:pPr>
              <w:pStyle w:val="table"/>
              <w:tabs>
                <w:tab w:val="decimal" w:pos="567"/>
              </w:tabs>
              <w:spacing w:line="180" w:lineRule="exact"/>
            </w:pPr>
            <w:r>
              <w:t>29,0%</w:t>
            </w:r>
          </w:p>
        </w:tc>
        <w:tc>
          <w:tcPr>
            <w:tcW w:w="723" w:type="dxa"/>
          </w:tcPr>
          <w:p w:rsidR="00000000" w:rsidRDefault="00000000">
            <w:pPr>
              <w:pStyle w:val="table"/>
              <w:tabs>
                <w:tab w:val="decimal" w:pos="567"/>
              </w:tabs>
              <w:spacing w:line="180" w:lineRule="exact"/>
            </w:pPr>
            <w:r>
              <w:t>110</w:t>
            </w:r>
          </w:p>
        </w:tc>
        <w:tc>
          <w:tcPr>
            <w:tcW w:w="723" w:type="dxa"/>
          </w:tcPr>
          <w:p w:rsidR="00000000" w:rsidRDefault="00000000">
            <w:pPr>
              <w:pStyle w:val="table"/>
              <w:tabs>
                <w:tab w:val="decimal" w:pos="567"/>
              </w:tabs>
              <w:spacing w:line="180" w:lineRule="exact"/>
            </w:pPr>
            <w:r>
              <w:t>27,8%</w:t>
            </w:r>
          </w:p>
        </w:tc>
        <w:tc>
          <w:tcPr>
            <w:tcW w:w="723" w:type="dxa"/>
          </w:tcPr>
          <w:p w:rsidR="00000000" w:rsidRDefault="00000000">
            <w:pPr>
              <w:pStyle w:val="table"/>
              <w:tabs>
                <w:tab w:val="decimal" w:pos="567"/>
              </w:tabs>
              <w:spacing w:line="180" w:lineRule="exact"/>
            </w:pPr>
            <w:r>
              <w:t>100</w:t>
            </w:r>
          </w:p>
        </w:tc>
        <w:tc>
          <w:tcPr>
            <w:tcW w:w="723" w:type="dxa"/>
          </w:tcPr>
          <w:p w:rsidR="00000000" w:rsidRDefault="00000000">
            <w:pPr>
              <w:pStyle w:val="table"/>
              <w:tabs>
                <w:tab w:val="decimal" w:pos="567"/>
              </w:tabs>
              <w:spacing w:line="180" w:lineRule="exact"/>
            </w:pPr>
            <w:r>
              <w:t>26,6%</w:t>
            </w:r>
          </w:p>
        </w:tc>
        <w:tc>
          <w:tcPr>
            <w:tcW w:w="723" w:type="dxa"/>
          </w:tcPr>
          <w:p w:rsidR="00000000" w:rsidRDefault="00000000">
            <w:pPr>
              <w:pStyle w:val="table"/>
              <w:tabs>
                <w:tab w:val="decimal" w:pos="567"/>
              </w:tabs>
              <w:spacing w:line="180" w:lineRule="exact"/>
            </w:pPr>
            <w:r>
              <w:t>94</w:t>
            </w:r>
          </w:p>
        </w:tc>
        <w:tc>
          <w:tcPr>
            <w:tcW w:w="723" w:type="dxa"/>
          </w:tcPr>
          <w:p w:rsidR="00000000" w:rsidRDefault="00000000">
            <w:pPr>
              <w:pStyle w:val="table"/>
              <w:tabs>
                <w:tab w:val="decimal" w:pos="567"/>
              </w:tabs>
              <w:spacing w:line="180" w:lineRule="exact"/>
            </w:pPr>
            <w:r>
              <w:t>26,3%</w:t>
            </w:r>
          </w:p>
        </w:tc>
      </w:tr>
      <w:tr w:rsidR="00000000">
        <w:tblPrEx>
          <w:tblCellMar>
            <w:top w:w="0" w:type="dxa"/>
            <w:bottom w:w="0" w:type="dxa"/>
          </w:tblCellMar>
        </w:tblPrEx>
        <w:tc>
          <w:tcPr>
            <w:tcW w:w="2127" w:type="dxa"/>
            <w:tcBorders>
              <w:bottom w:val="single" w:sz="12" w:space="0" w:color="auto"/>
            </w:tcBorders>
          </w:tcPr>
          <w:p w:rsidR="00000000" w:rsidRDefault="00000000">
            <w:pPr>
              <w:pStyle w:val="table"/>
              <w:spacing w:line="180" w:lineRule="exact"/>
            </w:pPr>
            <w:r>
              <w:t>Сектор услуг</w:t>
            </w:r>
          </w:p>
        </w:tc>
        <w:tc>
          <w:tcPr>
            <w:tcW w:w="708" w:type="dxa"/>
            <w:tcBorders>
              <w:bottom w:val="single" w:sz="12" w:space="0" w:color="auto"/>
            </w:tcBorders>
          </w:tcPr>
          <w:p w:rsidR="00000000" w:rsidRDefault="00000000">
            <w:pPr>
              <w:pStyle w:val="table"/>
              <w:spacing w:line="180" w:lineRule="exact"/>
            </w:pPr>
          </w:p>
        </w:tc>
        <w:tc>
          <w:tcPr>
            <w:tcW w:w="709" w:type="dxa"/>
            <w:tcBorders>
              <w:bottom w:val="single" w:sz="12" w:space="0" w:color="auto"/>
            </w:tcBorders>
          </w:tcPr>
          <w:p w:rsidR="00000000" w:rsidRDefault="00000000">
            <w:pPr>
              <w:pStyle w:val="table"/>
              <w:spacing w:line="180" w:lineRule="exact"/>
            </w:pPr>
          </w:p>
        </w:tc>
        <w:tc>
          <w:tcPr>
            <w:tcW w:w="709" w:type="dxa"/>
            <w:tcBorders>
              <w:bottom w:val="single" w:sz="12" w:space="0" w:color="auto"/>
            </w:tcBorders>
          </w:tcPr>
          <w:p w:rsidR="00000000" w:rsidRDefault="00000000">
            <w:pPr>
              <w:pStyle w:val="table"/>
              <w:spacing w:line="180" w:lineRule="exact"/>
            </w:pPr>
          </w:p>
        </w:tc>
        <w:tc>
          <w:tcPr>
            <w:tcW w:w="709" w:type="dxa"/>
            <w:tcBorders>
              <w:bottom w:val="single" w:sz="12" w:space="0" w:color="auto"/>
            </w:tcBorders>
          </w:tcPr>
          <w:p w:rsidR="00000000" w:rsidRDefault="00000000">
            <w:pPr>
              <w:pStyle w:val="table"/>
              <w:spacing w:line="180" w:lineRule="exact"/>
            </w:pPr>
          </w:p>
        </w:tc>
        <w:tc>
          <w:tcPr>
            <w:tcW w:w="722" w:type="dxa"/>
            <w:tcBorders>
              <w:bottom w:val="single" w:sz="12" w:space="0" w:color="auto"/>
            </w:tcBorders>
          </w:tcPr>
          <w:p w:rsidR="00000000" w:rsidRDefault="00000000">
            <w:pPr>
              <w:pStyle w:val="table"/>
              <w:tabs>
                <w:tab w:val="decimal" w:pos="567"/>
              </w:tabs>
              <w:spacing w:line="180" w:lineRule="exact"/>
            </w:pPr>
            <w:r>
              <w:t>2613</w:t>
            </w:r>
          </w:p>
        </w:tc>
        <w:tc>
          <w:tcPr>
            <w:tcW w:w="723" w:type="dxa"/>
            <w:tcBorders>
              <w:bottom w:val="single" w:sz="12" w:space="0" w:color="auto"/>
            </w:tcBorders>
          </w:tcPr>
          <w:p w:rsidR="00000000" w:rsidRDefault="00000000">
            <w:pPr>
              <w:pStyle w:val="table"/>
              <w:tabs>
                <w:tab w:val="decimal" w:pos="567"/>
              </w:tabs>
              <w:spacing w:line="180" w:lineRule="exact"/>
            </w:pPr>
            <w:r>
              <w:t>62,2%</w:t>
            </w:r>
          </w:p>
        </w:tc>
        <w:tc>
          <w:tcPr>
            <w:tcW w:w="723" w:type="dxa"/>
            <w:tcBorders>
              <w:bottom w:val="single" w:sz="12" w:space="0" w:color="auto"/>
            </w:tcBorders>
          </w:tcPr>
          <w:p w:rsidR="00000000" w:rsidRDefault="00000000">
            <w:pPr>
              <w:pStyle w:val="table"/>
              <w:tabs>
                <w:tab w:val="decimal" w:pos="567"/>
              </w:tabs>
              <w:spacing w:line="180" w:lineRule="exact"/>
            </w:pPr>
            <w:r>
              <w:t>2261</w:t>
            </w:r>
          </w:p>
        </w:tc>
        <w:tc>
          <w:tcPr>
            <w:tcW w:w="723" w:type="dxa"/>
            <w:tcBorders>
              <w:bottom w:val="single" w:sz="12" w:space="0" w:color="auto"/>
            </w:tcBorders>
          </w:tcPr>
          <w:p w:rsidR="00000000" w:rsidRDefault="00000000">
            <w:pPr>
              <w:pStyle w:val="table"/>
              <w:tabs>
                <w:tab w:val="decimal" w:pos="567"/>
              </w:tabs>
              <w:spacing w:line="180" w:lineRule="exact"/>
            </w:pPr>
            <w:r>
              <w:t>61,0%</w:t>
            </w:r>
          </w:p>
        </w:tc>
        <w:tc>
          <w:tcPr>
            <w:tcW w:w="723" w:type="dxa"/>
            <w:tcBorders>
              <w:bottom w:val="single" w:sz="12" w:space="0" w:color="auto"/>
            </w:tcBorders>
          </w:tcPr>
          <w:p w:rsidR="00000000" w:rsidRDefault="00000000">
            <w:pPr>
              <w:pStyle w:val="table"/>
              <w:tabs>
                <w:tab w:val="decimal" w:pos="567"/>
              </w:tabs>
              <w:spacing w:line="180" w:lineRule="exact"/>
            </w:pPr>
            <w:r>
              <w:t>2343</w:t>
            </w:r>
          </w:p>
        </w:tc>
        <w:tc>
          <w:tcPr>
            <w:tcW w:w="723" w:type="dxa"/>
            <w:tcBorders>
              <w:bottom w:val="single" w:sz="12" w:space="0" w:color="auto"/>
            </w:tcBorders>
          </w:tcPr>
          <w:p w:rsidR="00000000" w:rsidRDefault="00000000">
            <w:pPr>
              <w:pStyle w:val="table"/>
              <w:tabs>
                <w:tab w:val="decimal" w:pos="567"/>
              </w:tabs>
              <w:spacing w:line="180" w:lineRule="exact"/>
            </w:pPr>
            <w:r>
              <w:t>61,0%</w:t>
            </w:r>
          </w:p>
        </w:tc>
        <w:tc>
          <w:tcPr>
            <w:tcW w:w="723" w:type="dxa"/>
            <w:tcBorders>
              <w:bottom w:val="single" w:sz="12" w:space="0" w:color="auto"/>
            </w:tcBorders>
          </w:tcPr>
          <w:p w:rsidR="00000000" w:rsidRDefault="00000000">
            <w:pPr>
              <w:pStyle w:val="table"/>
              <w:tabs>
                <w:tab w:val="decimal" w:pos="567"/>
              </w:tabs>
              <w:spacing w:line="180" w:lineRule="exact"/>
            </w:pPr>
            <w:r>
              <w:t>2463</w:t>
            </w:r>
          </w:p>
        </w:tc>
        <w:tc>
          <w:tcPr>
            <w:tcW w:w="723" w:type="dxa"/>
            <w:tcBorders>
              <w:bottom w:val="single" w:sz="12" w:space="0" w:color="auto"/>
            </w:tcBorders>
          </w:tcPr>
          <w:p w:rsidR="00000000" w:rsidRDefault="00000000">
            <w:pPr>
              <w:pStyle w:val="table"/>
              <w:tabs>
                <w:tab w:val="decimal" w:pos="567"/>
              </w:tabs>
              <w:spacing w:line="180" w:lineRule="exact"/>
            </w:pPr>
            <w:r>
              <w:t>60,8%</w:t>
            </w:r>
          </w:p>
        </w:tc>
        <w:tc>
          <w:tcPr>
            <w:tcW w:w="723" w:type="dxa"/>
            <w:tcBorders>
              <w:bottom w:val="single" w:sz="12" w:space="0" w:color="auto"/>
            </w:tcBorders>
          </w:tcPr>
          <w:p w:rsidR="00000000" w:rsidRDefault="00000000">
            <w:pPr>
              <w:pStyle w:val="table"/>
              <w:tabs>
                <w:tab w:val="decimal" w:pos="567"/>
              </w:tabs>
              <w:spacing w:line="180" w:lineRule="exact"/>
            </w:pPr>
            <w:r>
              <w:t>2451</w:t>
            </w:r>
          </w:p>
        </w:tc>
        <w:tc>
          <w:tcPr>
            <w:tcW w:w="723" w:type="dxa"/>
            <w:tcBorders>
              <w:bottom w:val="single" w:sz="12" w:space="0" w:color="auto"/>
            </w:tcBorders>
          </w:tcPr>
          <w:p w:rsidR="00000000" w:rsidRDefault="00000000">
            <w:pPr>
              <w:pStyle w:val="table"/>
              <w:tabs>
                <w:tab w:val="decimal" w:pos="567"/>
              </w:tabs>
              <w:spacing w:line="180" w:lineRule="exact"/>
            </w:pPr>
            <w:r>
              <w:t>60,1%</w:t>
            </w:r>
          </w:p>
        </w:tc>
      </w:tr>
    </w:tbl>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SingleTxt"/>
      </w:pPr>
    </w:p>
    <w:p w:rsidR="00000000" w:rsidRDefault="00000000">
      <w:pPr>
        <w:pStyle w:val="SingleTxt"/>
        <w:sectPr w:rsidR="00000000">
          <w:headerReference w:type="even" r:id="rId17"/>
          <w:headerReference w:type="default" r:id="rId18"/>
          <w:footerReference w:type="even" r:id="rId19"/>
          <w:footerReference w:type="default" r:id="rId20"/>
          <w:endnotePr>
            <w:numFmt w:val="decimal"/>
          </w:endnotePr>
          <w:pgSz w:w="15840" w:h="12240" w:orient="landscape" w:code="1"/>
          <w:pgMar w:top="1196" w:right="1741" w:bottom="1196" w:left="1899" w:header="578" w:footer="1038" w:gutter="0"/>
          <w:cols w:space="720"/>
          <w:noEndnote/>
        </w:sectPr>
      </w:pPr>
    </w:p>
    <w:p w:rsidR="00000000" w:rsidRDefault="00000000">
      <w:pPr>
        <w:pStyle w:val="H23"/>
        <w:spacing w:before="0"/>
        <w:ind w:left="1264" w:firstLine="0"/>
      </w:pPr>
      <w:bookmarkStart w:id="688" w:name="_Toc44113557"/>
      <w:bookmarkStart w:id="689" w:name="_Toc44113858"/>
      <w:bookmarkStart w:id="690" w:name="_Toc44114366"/>
      <w:bookmarkStart w:id="691" w:name="_Toc44115612"/>
      <w:bookmarkStart w:id="692" w:name="_Toc44116044"/>
      <w:r>
        <w:t>Таблица 3.3: Распределение самодеятельного женского населения по профессиональным группам (по результатам микропереписи населения, проведе</w:t>
      </w:r>
      <w:r>
        <w:t>н</w:t>
      </w:r>
      <w:r>
        <w:t>ной в мае 2001 года)</w:t>
      </w:r>
      <w:bookmarkEnd w:id="688"/>
      <w:bookmarkEnd w:id="689"/>
      <w:bookmarkEnd w:id="690"/>
      <w:bookmarkEnd w:id="691"/>
      <w:bookmarkEnd w:id="692"/>
    </w:p>
    <w:tbl>
      <w:tblPr>
        <w:tblW w:w="0" w:type="auto"/>
        <w:tblInd w:w="1238" w:type="dxa"/>
        <w:tblLayout w:type="fixed"/>
        <w:tblCellMar>
          <w:left w:w="28" w:type="dxa"/>
          <w:right w:w="28" w:type="dxa"/>
        </w:tblCellMar>
        <w:tblLook w:val="0000" w:firstRow="0" w:lastRow="0" w:firstColumn="0" w:lastColumn="0" w:noHBand="0" w:noVBand="0"/>
      </w:tblPr>
      <w:tblGrid>
        <w:gridCol w:w="2308"/>
        <w:gridCol w:w="1205"/>
        <w:gridCol w:w="1205"/>
        <w:gridCol w:w="1205"/>
        <w:gridCol w:w="1205"/>
      </w:tblGrid>
      <w:tr w:rsidR="00000000">
        <w:tblPrEx>
          <w:tblCellMar>
            <w:top w:w="0" w:type="dxa"/>
            <w:bottom w:w="0" w:type="dxa"/>
          </w:tblCellMar>
        </w:tblPrEx>
        <w:trPr>
          <w:tblHeader/>
        </w:trPr>
        <w:tc>
          <w:tcPr>
            <w:tcW w:w="2308" w:type="dxa"/>
            <w:tcBorders>
              <w:top w:val="single" w:sz="4" w:space="0" w:color="auto"/>
              <w:bottom w:val="single" w:sz="12" w:space="0" w:color="auto"/>
            </w:tcBorders>
            <w:vAlign w:val="center"/>
          </w:tcPr>
          <w:p w:rsidR="00000000" w:rsidRDefault="00000000">
            <w:pPr>
              <w:pStyle w:val="table"/>
              <w:spacing w:line="240" w:lineRule="auto"/>
              <w:jc w:val="center"/>
              <w:rPr>
                <w:i/>
              </w:rPr>
            </w:pPr>
            <w:r>
              <w:rPr>
                <w:i/>
              </w:rPr>
              <w:t>Профессиональные обла</w:t>
            </w:r>
            <w:r>
              <w:rPr>
                <w:i/>
              </w:rPr>
              <w:t>с</w:t>
            </w:r>
            <w:r>
              <w:rPr>
                <w:i/>
              </w:rPr>
              <w:t>ти/ профессиональные группы</w:t>
            </w:r>
          </w:p>
        </w:tc>
        <w:tc>
          <w:tcPr>
            <w:tcW w:w="1205" w:type="dxa"/>
            <w:tcBorders>
              <w:top w:val="single" w:sz="4" w:space="0" w:color="auto"/>
              <w:bottom w:val="single" w:sz="12" w:space="0" w:color="auto"/>
            </w:tcBorders>
            <w:vAlign w:val="center"/>
          </w:tcPr>
          <w:p w:rsidR="00000000" w:rsidRDefault="00000000">
            <w:pPr>
              <w:pStyle w:val="table"/>
              <w:spacing w:line="240" w:lineRule="auto"/>
              <w:jc w:val="center"/>
              <w:rPr>
                <w:i/>
              </w:rPr>
            </w:pPr>
            <w:r>
              <w:rPr>
                <w:i/>
              </w:rPr>
              <w:t>Общая чи</w:t>
            </w:r>
            <w:r>
              <w:rPr>
                <w:i/>
              </w:rPr>
              <w:t>с</w:t>
            </w:r>
            <w:r>
              <w:rPr>
                <w:i/>
              </w:rPr>
              <w:t>ленность с</w:t>
            </w:r>
            <w:r>
              <w:rPr>
                <w:i/>
              </w:rPr>
              <w:t>а</w:t>
            </w:r>
            <w:r>
              <w:rPr>
                <w:i/>
              </w:rPr>
              <w:t>модеятельн</w:t>
            </w:r>
            <w:r>
              <w:rPr>
                <w:i/>
              </w:rPr>
              <w:t>о</w:t>
            </w:r>
            <w:r>
              <w:rPr>
                <w:i/>
              </w:rPr>
              <w:t>го насел</w:t>
            </w:r>
            <w:r>
              <w:rPr>
                <w:i/>
              </w:rPr>
              <w:t>е</w:t>
            </w:r>
            <w:r>
              <w:rPr>
                <w:i/>
              </w:rPr>
              <w:t>ния</w:t>
            </w:r>
            <w:r>
              <w:rPr>
                <w:i/>
              </w:rPr>
              <w:br/>
              <w:t>в тыс. ч</w:t>
            </w:r>
            <w:r>
              <w:rPr>
                <w:i/>
              </w:rPr>
              <w:t>е</w:t>
            </w:r>
            <w:r>
              <w:rPr>
                <w:i/>
              </w:rPr>
              <w:t>ловек</w:t>
            </w:r>
          </w:p>
        </w:tc>
        <w:tc>
          <w:tcPr>
            <w:tcW w:w="1205" w:type="dxa"/>
            <w:tcBorders>
              <w:top w:val="single" w:sz="4" w:space="0" w:color="auto"/>
              <w:bottom w:val="single" w:sz="12" w:space="0" w:color="auto"/>
            </w:tcBorders>
            <w:vAlign w:val="center"/>
          </w:tcPr>
          <w:p w:rsidR="00000000" w:rsidRDefault="00000000">
            <w:pPr>
              <w:pStyle w:val="table"/>
              <w:spacing w:line="240" w:lineRule="auto"/>
              <w:jc w:val="center"/>
              <w:rPr>
                <w:i/>
              </w:rPr>
            </w:pPr>
            <w:r>
              <w:rPr>
                <w:i/>
              </w:rPr>
              <w:t>Самодеятел</w:t>
            </w:r>
            <w:r>
              <w:rPr>
                <w:i/>
              </w:rPr>
              <w:t>ь</w:t>
            </w:r>
            <w:r>
              <w:rPr>
                <w:i/>
              </w:rPr>
              <w:t>ное женское насел</w:t>
            </w:r>
            <w:r>
              <w:rPr>
                <w:i/>
              </w:rPr>
              <w:t>е</w:t>
            </w:r>
            <w:r>
              <w:rPr>
                <w:i/>
              </w:rPr>
              <w:t>ние</w:t>
            </w:r>
            <w:r>
              <w:rPr>
                <w:i/>
              </w:rPr>
              <w:br/>
              <w:t>в тыс. чел</w:t>
            </w:r>
            <w:r>
              <w:rPr>
                <w:i/>
              </w:rPr>
              <w:t>о</w:t>
            </w:r>
            <w:r>
              <w:rPr>
                <w:i/>
              </w:rPr>
              <w:t>век</w:t>
            </w:r>
          </w:p>
        </w:tc>
        <w:tc>
          <w:tcPr>
            <w:tcW w:w="1205" w:type="dxa"/>
            <w:tcBorders>
              <w:top w:val="single" w:sz="4" w:space="0" w:color="auto"/>
              <w:bottom w:val="single" w:sz="12" w:space="0" w:color="auto"/>
            </w:tcBorders>
            <w:vAlign w:val="center"/>
          </w:tcPr>
          <w:p w:rsidR="00000000" w:rsidRDefault="00000000">
            <w:pPr>
              <w:pStyle w:val="table"/>
              <w:spacing w:line="240" w:lineRule="auto"/>
              <w:jc w:val="center"/>
              <w:rPr>
                <w:i/>
              </w:rPr>
            </w:pPr>
            <w:r>
              <w:rPr>
                <w:i/>
              </w:rPr>
              <w:t>Доля всего самодеятел</w:t>
            </w:r>
            <w:r>
              <w:rPr>
                <w:i/>
              </w:rPr>
              <w:t>ь</w:t>
            </w:r>
            <w:r>
              <w:rPr>
                <w:i/>
              </w:rPr>
              <w:t>ного женского насел</w:t>
            </w:r>
            <w:r>
              <w:rPr>
                <w:i/>
              </w:rPr>
              <w:t>е</w:t>
            </w:r>
            <w:r>
              <w:rPr>
                <w:i/>
              </w:rPr>
              <w:t>ния</w:t>
            </w:r>
            <w:r>
              <w:rPr>
                <w:i/>
              </w:rPr>
              <w:br/>
              <w:t>в пр</w:t>
            </w:r>
            <w:r>
              <w:rPr>
                <w:i/>
              </w:rPr>
              <w:t>о</w:t>
            </w:r>
            <w:r>
              <w:rPr>
                <w:i/>
              </w:rPr>
              <w:t>центах</w:t>
            </w:r>
          </w:p>
        </w:tc>
        <w:tc>
          <w:tcPr>
            <w:tcW w:w="1205" w:type="dxa"/>
            <w:tcBorders>
              <w:top w:val="single" w:sz="4" w:space="0" w:color="auto"/>
              <w:bottom w:val="single" w:sz="12" w:space="0" w:color="auto"/>
            </w:tcBorders>
            <w:vAlign w:val="center"/>
          </w:tcPr>
          <w:p w:rsidR="00000000" w:rsidRDefault="00000000">
            <w:pPr>
              <w:pStyle w:val="table"/>
              <w:spacing w:line="240" w:lineRule="auto"/>
              <w:jc w:val="center"/>
              <w:rPr>
                <w:i/>
              </w:rPr>
            </w:pPr>
            <w:r>
              <w:rPr>
                <w:i/>
              </w:rPr>
              <w:t>Доля женщин в професси</w:t>
            </w:r>
            <w:r>
              <w:rPr>
                <w:i/>
              </w:rPr>
              <w:t>о</w:t>
            </w:r>
            <w:r>
              <w:rPr>
                <w:i/>
              </w:rPr>
              <w:t>нальных гру</w:t>
            </w:r>
            <w:r>
              <w:rPr>
                <w:i/>
              </w:rPr>
              <w:t>п</w:t>
            </w:r>
            <w:r>
              <w:rPr>
                <w:i/>
              </w:rPr>
              <w:t>пах</w:t>
            </w:r>
            <w:r>
              <w:rPr>
                <w:i/>
              </w:rPr>
              <w:br/>
              <w:t>в проце</w:t>
            </w:r>
            <w:r>
              <w:rPr>
                <w:i/>
              </w:rPr>
              <w:t>н</w:t>
            </w:r>
            <w:r>
              <w:rPr>
                <w:i/>
              </w:rPr>
              <w:t>тах</w:t>
            </w:r>
          </w:p>
        </w:tc>
      </w:tr>
      <w:tr w:rsidR="00000000">
        <w:tblPrEx>
          <w:tblCellMar>
            <w:top w:w="0" w:type="dxa"/>
            <w:bottom w:w="0" w:type="dxa"/>
          </w:tblCellMar>
        </w:tblPrEx>
        <w:tc>
          <w:tcPr>
            <w:tcW w:w="2308" w:type="dxa"/>
            <w:tcBorders>
              <w:top w:val="single" w:sz="12" w:space="0" w:color="auto"/>
            </w:tcBorders>
          </w:tcPr>
          <w:p w:rsidR="00000000" w:rsidRDefault="00000000">
            <w:pPr>
              <w:pStyle w:val="table"/>
              <w:spacing w:line="240" w:lineRule="auto"/>
              <w:rPr>
                <w:b/>
              </w:rPr>
            </w:pPr>
            <w:r>
              <w:rPr>
                <w:b/>
              </w:rPr>
              <w:t>Прежняя федеральная террит</w:t>
            </w:r>
            <w:r>
              <w:rPr>
                <w:b/>
              </w:rPr>
              <w:t>о</w:t>
            </w:r>
            <w:r>
              <w:rPr>
                <w:b/>
              </w:rPr>
              <w:t>рия</w:t>
            </w:r>
          </w:p>
        </w:tc>
        <w:tc>
          <w:tcPr>
            <w:tcW w:w="1205" w:type="dxa"/>
            <w:tcBorders>
              <w:top w:val="single" w:sz="12" w:space="0" w:color="auto"/>
            </w:tcBorders>
            <w:vAlign w:val="bottom"/>
          </w:tcPr>
          <w:p w:rsidR="00000000" w:rsidRDefault="00000000">
            <w:pPr>
              <w:pStyle w:val="table"/>
              <w:tabs>
                <w:tab w:val="decimal" w:pos="567"/>
              </w:tabs>
              <w:spacing w:line="240" w:lineRule="auto"/>
            </w:pPr>
          </w:p>
        </w:tc>
        <w:tc>
          <w:tcPr>
            <w:tcW w:w="1205" w:type="dxa"/>
            <w:tcBorders>
              <w:top w:val="single" w:sz="12" w:space="0" w:color="auto"/>
            </w:tcBorders>
            <w:vAlign w:val="bottom"/>
          </w:tcPr>
          <w:p w:rsidR="00000000" w:rsidRDefault="00000000">
            <w:pPr>
              <w:pStyle w:val="table"/>
              <w:tabs>
                <w:tab w:val="decimal" w:pos="567"/>
              </w:tabs>
              <w:spacing w:line="240" w:lineRule="auto"/>
            </w:pPr>
          </w:p>
        </w:tc>
        <w:tc>
          <w:tcPr>
            <w:tcW w:w="1205" w:type="dxa"/>
            <w:tcBorders>
              <w:top w:val="single" w:sz="12" w:space="0" w:color="auto"/>
            </w:tcBorders>
            <w:vAlign w:val="bottom"/>
          </w:tcPr>
          <w:p w:rsidR="00000000" w:rsidRDefault="00000000">
            <w:pPr>
              <w:pStyle w:val="table"/>
              <w:tabs>
                <w:tab w:val="decimal" w:pos="567"/>
              </w:tabs>
              <w:spacing w:line="240" w:lineRule="auto"/>
            </w:pPr>
          </w:p>
        </w:tc>
        <w:tc>
          <w:tcPr>
            <w:tcW w:w="1205" w:type="dxa"/>
            <w:tcBorders>
              <w:top w:val="single" w:sz="12" w:space="0" w:color="auto"/>
            </w:tcBorders>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pPr>
            <w:r>
              <w:t>Общая численность сам</w:t>
            </w:r>
            <w:r>
              <w:t>о</w:t>
            </w:r>
            <w:r>
              <w:t>деятельного насел</w:t>
            </w:r>
            <w:r>
              <w:t>е</w:t>
            </w:r>
            <w:r>
              <w:t>ния,</w:t>
            </w:r>
          </w:p>
        </w:tc>
        <w:tc>
          <w:tcPr>
            <w:tcW w:w="1205" w:type="dxa"/>
            <w:vAlign w:val="bottom"/>
          </w:tcPr>
          <w:p w:rsidR="00000000" w:rsidRDefault="00000000">
            <w:pPr>
              <w:pStyle w:val="table"/>
              <w:tabs>
                <w:tab w:val="decimal" w:pos="823"/>
              </w:tabs>
              <w:spacing w:line="240" w:lineRule="auto"/>
            </w:pPr>
            <w:r>
              <w:t>30 307</w:t>
            </w:r>
          </w:p>
        </w:tc>
        <w:tc>
          <w:tcPr>
            <w:tcW w:w="1205" w:type="dxa"/>
            <w:vAlign w:val="bottom"/>
          </w:tcPr>
          <w:p w:rsidR="00000000" w:rsidRDefault="00000000">
            <w:pPr>
              <w:pStyle w:val="table"/>
              <w:tabs>
                <w:tab w:val="decimal" w:pos="823"/>
              </w:tabs>
              <w:spacing w:line="240" w:lineRule="auto"/>
            </w:pPr>
            <w:r>
              <w:t>13 226</w:t>
            </w:r>
          </w:p>
        </w:tc>
        <w:tc>
          <w:tcPr>
            <w:tcW w:w="1205" w:type="dxa"/>
            <w:vAlign w:val="bottom"/>
          </w:tcPr>
          <w:p w:rsidR="00000000" w:rsidRDefault="00000000">
            <w:pPr>
              <w:pStyle w:val="table"/>
              <w:tabs>
                <w:tab w:val="decimal" w:pos="567"/>
              </w:tabs>
              <w:spacing w:line="240" w:lineRule="auto"/>
            </w:pPr>
            <w:r>
              <w:t>100,0</w:t>
            </w:r>
          </w:p>
        </w:tc>
        <w:tc>
          <w:tcPr>
            <w:tcW w:w="1205" w:type="dxa"/>
            <w:vAlign w:val="bottom"/>
          </w:tcPr>
          <w:p w:rsidR="00000000" w:rsidRDefault="00000000">
            <w:pPr>
              <w:pStyle w:val="table"/>
              <w:tabs>
                <w:tab w:val="decimal" w:pos="567"/>
              </w:tabs>
              <w:spacing w:line="240" w:lineRule="auto"/>
            </w:pPr>
            <w:r>
              <w:t>43,6</w:t>
            </w:r>
          </w:p>
        </w:tc>
      </w:tr>
      <w:tr w:rsidR="00000000">
        <w:tblPrEx>
          <w:tblCellMar>
            <w:top w:w="0" w:type="dxa"/>
            <w:bottom w:w="0" w:type="dxa"/>
          </w:tblCellMar>
        </w:tblPrEx>
        <w:tc>
          <w:tcPr>
            <w:tcW w:w="2308" w:type="dxa"/>
          </w:tcPr>
          <w:p w:rsidR="00000000" w:rsidRDefault="00000000">
            <w:pPr>
              <w:pStyle w:val="table"/>
              <w:spacing w:line="240" w:lineRule="auto"/>
            </w:pPr>
            <w:r>
              <w:t>в том чи</w:t>
            </w:r>
            <w:r>
              <w:t>с</w:t>
            </w:r>
            <w:r>
              <w:t>ле:</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pPr>
            <w:r>
              <w:t>Квалифицированный ко</w:t>
            </w:r>
            <w:r>
              <w:t>н</w:t>
            </w:r>
            <w:r>
              <w:t>торский персонал, делопр</w:t>
            </w:r>
            <w:r>
              <w:t>о</w:t>
            </w:r>
            <w:r>
              <w:t>изводители коммерческих предприятий, не облада</w:t>
            </w:r>
            <w:r>
              <w:t>ю</w:t>
            </w:r>
            <w:r>
              <w:t>щие дополнительной кв</w:t>
            </w:r>
            <w:r>
              <w:t>а</w:t>
            </w:r>
            <w:r>
              <w:t>лификац</w:t>
            </w:r>
            <w:r>
              <w:t>и</w:t>
            </w:r>
            <w:r>
              <w:t>ей,</w:t>
            </w:r>
          </w:p>
        </w:tc>
        <w:tc>
          <w:tcPr>
            <w:tcW w:w="1205" w:type="dxa"/>
            <w:vAlign w:val="bottom"/>
          </w:tcPr>
          <w:p w:rsidR="00000000" w:rsidRDefault="00000000">
            <w:pPr>
              <w:pStyle w:val="table"/>
              <w:tabs>
                <w:tab w:val="decimal" w:pos="823"/>
              </w:tabs>
              <w:spacing w:line="240" w:lineRule="auto"/>
            </w:pPr>
            <w:r>
              <w:t>3916</w:t>
            </w:r>
          </w:p>
        </w:tc>
        <w:tc>
          <w:tcPr>
            <w:tcW w:w="1205" w:type="dxa"/>
            <w:vAlign w:val="bottom"/>
          </w:tcPr>
          <w:p w:rsidR="00000000" w:rsidRDefault="00000000">
            <w:pPr>
              <w:pStyle w:val="table"/>
              <w:tabs>
                <w:tab w:val="decimal" w:pos="823"/>
              </w:tabs>
              <w:spacing w:line="240" w:lineRule="auto"/>
            </w:pPr>
            <w:r>
              <w:t>2801</w:t>
            </w:r>
          </w:p>
        </w:tc>
        <w:tc>
          <w:tcPr>
            <w:tcW w:w="1205" w:type="dxa"/>
            <w:vAlign w:val="bottom"/>
          </w:tcPr>
          <w:p w:rsidR="00000000" w:rsidRDefault="00000000">
            <w:pPr>
              <w:pStyle w:val="table"/>
              <w:tabs>
                <w:tab w:val="decimal" w:pos="567"/>
              </w:tabs>
              <w:spacing w:line="240" w:lineRule="auto"/>
            </w:pPr>
            <w:r>
              <w:t>21,2</w:t>
            </w:r>
          </w:p>
        </w:tc>
        <w:tc>
          <w:tcPr>
            <w:tcW w:w="1205" w:type="dxa"/>
            <w:vAlign w:val="bottom"/>
          </w:tcPr>
          <w:p w:rsidR="00000000" w:rsidRDefault="00000000">
            <w:pPr>
              <w:pStyle w:val="table"/>
              <w:tabs>
                <w:tab w:val="decimal" w:pos="567"/>
              </w:tabs>
              <w:spacing w:line="240" w:lineRule="auto"/>
            </w:pPr>
            <w:r>
              <w:t>71,5</w:t>
            </w:r>
          </w:p>
        </w:tc>
      </w:tr>
      <w:tr w:rsidR="00000000">
        <w:tblPrEx>
          <w:tblCellMar>
            <w:top w:w="0" w:type="dxa"/>
            <w:bottom w:w="0" w:type="dxa"/>
          </w:tblCellMar>
        </w:tblPrEx>
        <w:tc>
          <w:tcPr>
            <w:tcW w:w="2308" w:type="dxa"/>
          </w:tcPr>
          <w:p w:rsidR="00000000" w:rsidRDefault="00000000">
            <w:pPr>
              <w:pStyle w:val="table"/>
              <w:spacing w:line="240" w:lineRule="auto"/>
              <w:ind w:left="296"/>
            </w:pPr>
            <w:r>
              <w:t>из них:</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ind w:left="296"/>
            </w:pPr>
            <w:r>
              <w:t>Клерки общего профиля, коммерческие делопр</w:t>
            </w:r>
            <w:r>
              <w:t>о</w:t>
            </w:r>
            <w:r>
              <w:t>изводители (без дал</w:t>
            </w:r>
            <w:r>
              <w:t>ь</w:t>
            </w:r>
            <w:r>
              <w:t>нейшего уточн</w:t>
            </w:r>
            <w:r>
              <w:t>е</w:t>
            </w:r>
            <w:r>
              <w:t>ния)</w:t>
            </w:r>
          </w:p>
        </w:tc>
        <w:tc>
          <w:tcPr>
            <w:tcW w:w="1205" w:type="dxa"/>
            <w:vAlign w:val="bottom"/>
          </w:tcPr>
          <w:p w:rsidR="00000000" w:rsidRDefault="00000000">
            <w:pPr>
              <w:pStyle w:val="table"/>
              <w:tabs>
                <w:tab w:val="decimal" w:pos="823"/>
              </w:tabs>
              <w:spacing w:line="240" w:lineRule="auto"/>
            </w:pPr>
            <w:r>
              <w:t>1668</w:t>
            </w:r>
          </w:p>
        </w:tc>
        <w:tc>
          <w:tcPr>
            <w:tcW w:w="1205" w:type="dxa"/>
            <w:vAlign w:val="bottom"/>
          </w:tcPr>
          <w:p w:rsidR="00000000" w:rsidRDefault="00000000">
            <w:pPr>
              <w:pStyle w:val="table"/>
              <w:tabs>
                <w:tab w:val="decimal" w:pos="823"/>
              </w:tabs>
              <w:spacing w:line="240" w:lineRule="auto"/>
            </w:pPr>
            <w:r>
              <w:t>1171</w:t>
            </w:r>
          </w:p>
        </w:tc>
        <w:tc>
          <w:tcPr>
            <w:tcW w:w="1205" w:type="dxa"/>
            <w:vAlign w:val="bottom"/>
          </w:tcPr>
          <w:p w:rsidR="00000000" w:rsidRDefault="00000000">
            <w:pPr>
              <w:pStyle w:val="table"/>
              <w:tabs>
                <w:tab w:val="decimal" w:pos="567"/>
              </w:tabs>
              <w:spacing w:line="240" w:lineRule="auto"/>
            </w:pPr>
            <w:r>
              <w:t>8,9</w:t>
            </w:r>
          </w:p>
        </w:tc>
        <w:tc>
          <w:tcPr>
            <w:tcW w:w="1205" w:type="dxa"/>
            <w:vAlign w:val="bottom"/>
          </w:tcPr>
          <w:p w:rsidR="00000000" w:rsidRDefault="00000000">
            <w:pPr>
              <w:pStyle w:val="table"/>
              <w:tabs>
                <w:tab w:val="decimal" w:pos="567"/>
              </w:tabs>
              <w:spacing w:line="240" w:lineRule="auto"/>
            </w:pPr>
            <w:r>
              <w:t>70,2</w:t>
            </w:r>
          </w:p>
        </w:tc>
      </w:tr>
      <w:tr w:rsidR="00000000">
        <w:tblPrEx>
          <w:tblCellMar>
            <w:top w:w="0" w:type="dxa"/>
            <w:bottom w:w="0" w:type="dxa"/>
          </w:tblCellMar>
        </w:tblPrEx>
        <w:tc>
          <w:tcPr>
            <w:tcW w:w="2308" w:type="dxa"/>
          </w:tcPr>
          <w:p w:rsidR="00000000" w:rsidRDefault="00000000">
            <w:pPr>
              <w:pStyle w:val="table"/>
              <w:spacing w:line="240" w:lineRule="auto"/>
            </w:pPr>
            <w:r>
              <w:t>Менеджеры и пр</w:t>
            </w:r>
            <w:r>
              <w:t>о</w:t>
            </w:r>
            <w:r>
              <w:t>давцы</w:t>
            </w:r>
          </w:p>
        </w:tc>
        <w:tc>
          <w:tcPr>
            <w:tcW w:w="1205" w:type="dxa"/>
            <w:vAlign w:val="bottom"/>
          </w:tcPr>
          <w:p w:rsidR="00000000" w:rsidRDefault="00000000">
            <w:pPr>
              <w:pStyle w:val="table"/>
              <w:tabs>
                <w:tab w:val="decimal" w:pos="823"/>
              </w:tabs>
              <w:spacing w:line="240" w:lineRule="auto"/>
            </w:pPr>
            <w:r>
              <w:t>2530</w:t>
            </w:r>
          </w:p>
        </w:tc>
        <w:tc>
          <w:tcPr>
            <w:tcW w:w="1205" w:type="dxa"/>
            <w:vAlign w:val="bottom"/>
          </w:tcPr>
          <w:p w:rsidR="00000000" w:rsidRDefault="00000000">
            <w:pPr>
              <w:pStyle w:val="table"/>
              <w:tabs>
                <w:tab w:val="decimal" w:pos="823"/>
              </w:tabs>
              <w:spacing w:line="240" w:lineRule="auto"/>
            </w:pPr>
            <w:r>
              <w:t>1613</w:t>
            </w:r>
          </w:p>
        </w:tc>
        <w:tc>
          <w:tcPr>
            <w:tcW w:w="1205" w:type="dxa"/>
            <w:vAlign w:val="bottom"/>
          </w:tcPr>
          <w:p w:rsidR="00000000" w:rsidRDefault="00000000">
            <w:pPr>
              <w:pStyle w:val="table"/>
              <w:tabs>
                <w:tab w:val="decimal" w:pos="567"/>
              </w:tabs>
              <w:spacing w:line="240" w:lineRule="auto"/>
            </w:pPr>
            <w:r>
              <w:t>12,2</w:t>
            </w:r>
          </w:p>
        </w:tc>
        <w:tc>
          <w:tcPr>
            <w:tcW w:w="1205" w:type="dxa"/>
            <w:vAlign w:val="bottom"/>
          </w:tcPr>
          <w:p w:rsidR="00000000" w:rsidRDefault="00000000">
            <w:pPr>
              <w:pStyle w:val="table"/>
              <w:tabs>
                <w:tab w:val="decimal" w:pos="567"/>
              </w:tabs>
              <w:spacing w:line="240" w:lineRule="auto"/>
            </w:pPr>
            <w:r>
              <w:t>63,8</w:t>
            </w:r>
          </w:p>
        </w:tc>
      </w:tr>
      <w:tr w:rsidR="00000000">
        <w:tblPrEx>
          <w:tblCellMar>
            <w:top w:w="0" w:type="dxa"/>
            <w:bottom w:w="0" w:type="dxa"/>
          </w:tblCellMar>
        </w:tblPrEx>
        <w:tc>
          <w:tcPr>
            <w:tcW w:w="2308" w:type="dxa"/>
          </w:tcPr>
          <w:p w:rsidR="00000000" w:rsidRDefault="00000000">
            <w:pPr>
              <w:pStyle w:val="table"/>
              <w:spacing w:line="240" w:lineRule="auto"/>
            </w:pPr>
            <w:r>
              <w:t>Другие профессии в секторе здравоохран</w:t>
            </w:r>
            <w:r>
              <w:t>е</w:t>
            </w:r>
            <w:r>
              <w:t xml:space="preserve">ния, </w:t>
            </w:r>
          </w:p>
        </w:tc>
        <w:tc>
          <w:tcPr>
            <w:tcW w:w="1205" w:type="dxa"/>
            <w:vAlign w:val="bottom"/>
          </w:tcPr>
          <w:p w:rsidR="00000000" w:rsidRDefault="00000000">
            <w:pPr>
              <w:pStyle w:val="table"/>
              <w:tabs>
                <w:tab w:val="decimal" w:pos="823"/>
              </w:tabs>
              <w:spacing w:line="240" w:lineRule="auto"/>
            </w:pPr>
            <w:r>
              <w:t>1478</w:t>
            </w:r>
          </w:p>
        </w:tc>
        <w:tc>
          <w:tcPr>
            <w:tcW w:w="1205" w:type="dxa"/>
            <w:vAlign w:val="bottom"/>
          </w:tcPr>
          <w:p w:rsidR="00000000" w:rsidRDefault="00000000">
            <w:pPr>
              <w:pStyle w:val="table"/>
              <w:tabs>
                <w:tab w:val="decimal" w:pos="823"/>
              </w:tabs>
              <w:spacing w:line="240" w:lineRule="auto"/>
            </w:pPr>
            <w:r>
              <w:t>1268</w:t>
            </w:r>
          </w:p>
        </w:tc>
        <w:tc>
          <w:tcPr>
            <w:tcW w:w="1205" w:type="dxa"/>
            <w:vAlign w:val="bottom"/>
          </w:tcPr>
          <w:p w:rsidR="00000000" w:rsidRDefault="00000000">
            <w:pPr>
              <w:pStyle w:val="table"/>
              <w:tabs>
                <w:tab w:val="decimal" w:pos="567"/>
              </w:tabs>
              <w:spacing w:line="240" w:lineRule="auto"/>
            </w:pPr>
            <w:r>
              <w:t>9,6</w:t>
            </w:r>
          </w:p>
        </w:tc>
        <w:tc>
          <w:tcPr>
            <w:tcW w:w="1205" w:type="dxa"/>
            <w:vAlign w:val="bottom"/>
          </w:tcPr>
          <w:p w:rsidR="00000000" w:rsidRDefault="00000000">
            <w:pPr>
              <w:pStyle w:val="table"/>
              <w:tabs>
                <w:tab w:val="decimal" w:pos="567"/>
              </w:tabs>
              <w:spacing w:line="240" w:lineRule="auto"/>
            </w:pPr>
            <w:r>
              <w:t>85,8</w:t>
            </w:r>
          </w:p>
        </w:tc>
      </w:tr>
      <w:tr w:rsidR="00000000">
        <w:tblPrEx>
          <w:tblCellMar>
            <w:top w:w="0" w:type="dxa"/>
            <w:bottom w:w="0" w:type="dxa"/>
          </w:tblCellMar>
        </w:tblPrEx>
        <w:tc>
          <w:tcPr>
            <w:tcW w:w="2308" w:type="dxa"/>
          </w:tcPr>
          <w:p w:rsidR="00000000" w:rsidRDefault="00000000">
            <w:pPr>
              <w:pStyle w:val="table"/>
              <w:spacing w:line="240" w:lineRule="auto"/>
              <w:ind w:left="296"/>
            </w:pPr>
            <w:r>
              <w:t>из них:</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ind w:left="296"/>
            </w:pPr>
            <w:r>
              <w:t>медицинские сес</w:t>
            </w:r>
            <w:r>
              <w:t>т</w:t>
            </w:r>
            <w:r>
              <w:t>ры,</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ind w:left="296"/>
            </w:pPr>
            <w:r>
              <w:t>акуше</w:t>
            </w:r>
            <w:r>
              <w:t>р</w:t>
            </w:r>
            <w:r>
              <w:t>ки</w:t>
            </w:r>
          </w:p>
        </w:tc>
        <w:tc>
          <w:tcPr>
            <w:tcW w:w="1205" w:type="dxa"/>
            <w:vAlign w:val="bottom"/>
          </w:tcPr>
          <w:p w:rsidR="00000000" w:rsidRDefault="00000000">
            <w:pPr>
              <w:pStyle w:val="table"/>
              <w:tabs>
                <w:tab w:val="decimal" w:pos="823"/>
              </w:tabs>
              <w:spacing w:line="240" w:lineRule="auto"/>
            </w:pPr>
            <w:r>
              <w:t>629</w:t>
            </w:r>
          </w:p>
        </w:tc>
        <w:tc>
          <w:tcPr>
            <w:tcW w:w="1205" w:type="dxa"/>
            <w:vAlign w:val="bottom"/>
          </w:tcPr>
          <w:p w:rsidR="00000000" w:rsidRDefault="00000000">
            <w:pPr>
              <w:pStyle w:val="table"/>
              <w:tabs>
                <w:tab w:val="decimal" w:pos="823"/>
              </w:tabs>
              <w:spacing w:line="240" w:lineRule="auto"/>
            </w:pPr>
            <w:r>
              <w:t>524</w:t>
            </w:r>
          </w:p>
        </w:tc>
        <w:tc>
          <w:tcPr>
            <w:tcW w:w="1205" w:type="dxa"/>
            <w:vAlign w:val="bottom"/>
          </w:tcPr>
          <w:p w:rsidR="00000000" w:rsidRDefault="00000000">
            <w:pPr>
              <w:pStyle w:val="table"/>
              <w:tabs>
                <w:tab w:val="decimal" w:pos="567"/>
              </w:tabs>
              <w:spacing w:line="240" w:lineRule="auto"/>
            </w:pPr>
            <w:r>
              <w:t>4,0</w:t>
            </w:r>
          </w:p>
        </w:tc>
        <w:tc>
          <w:tcPr>
            <w:tcW w:w="1205" w:type="dxa"/>
            <w:vAlign w:val="bottom"/>
          </w:tcPr>
          <w:p w:rsidR="00000000" w:rsidRDefault="00000000">
            <w:pPr>
              <w:pStyle w:val="table"/>
              <w:tabs>
                <w:tab w:val="decimal" w:pos="567"/>
              </w:tabs>
              <w:spacing w:line="240" w:lineRule="auto"/>
            </w:pPr>
            <w:r>
              <w:t>83,3</w:t>
            </w:r>
          </w:p>
        </w:tc>
      </w:tr>
      <w:tr w:rsidR="00000000">
        <w:tblPrEx>
          <w:tblCellMar>
            <w:top w:w="0" w:type="dxa"/>
            <w:bottom w:w="0" w:type="dxa"/>
          </w:tblCellMar>
        </w:tblPrEx>
        <w:tc>
          <w:tcPr>
            <w:tcW w:w="2308" w:type="dxa"/>
          </w:tcPr>
          <w:p w:rsidR="00000000" w:rsidRDefault="00000000">
            <w:pPr>
              <w:pStyle w:val="table"/>
              <w:spacing w:line="240" w:lineRule="auto"/>
            </w:pPr>
            <w:r>
              <w:t>Уборка мусора и удаление отх</w:t>
            </w:r>
            <w:r>
              <w:t>о</w:t>
            </w:r>
            <w:r>
              <w:t>дов</w:t>
            </w:r>
          </w:p>
        </w:tc>
        <w:tc>
          <w:tcPr>
            <w:tcW w:w="1205" w:type="dxa"/>
            <w:vAlign w:val="bottom"/>
          </w:tcPr>
          <w:p w:rsidR="00000000" w:rsidRDefault="00000000">
            <w:pPr>
              <w:pStyle w:val="table"/>
              <w:tabs>
                <w:tab w:val="decimal" w:pos="823"/>
              </w:tabs>
              <w:spacing w:line="240" w:lineRule="auto"/>
            </w:pPr>
            <w:r>
              <w:t>959</w:t>
            </w:r>
          </w:p>
        </w:tc>
        <w:tc>
          <w:tcPr>
            <w:tcW w:w="1205" w:type="dxa"/>
            <w:vAlign w:val="bottom"/>
          </w:tcPr>
          <w:p w:rsidR="00000000" w:rsidRDefault="00000000">
            <w:pPr>
              <w:pStyle w:val="table"/>
              <w:tabs>
                <w:tab w:val="decimal" w:pos="823"/>
              </w:tabs>
              <w:spacing w:line="240" w:lineRule="auto"/>
            </w:pPr>
            <w:r>
              <w:t>803</w:t>
            </w:r>
          </w:p>
        </w:tc>
        <w:tc>
          <w:tcPr>
            <w:tcW w:w="1205" w:type="dxa"/>
            <w:vAlign w:val="bottom"/>
          </w:tcPr>
          <w:p w:rsidR="00000000" w:rsidRDefault="00000000">
            <w:pPr>
              <w:pStyle w:val="table"/>
              <w:tabs>
                <w:tab w:val="decimal" w:pos="567"/>
              </w:tabs>
              <w:spacing w:line="240" w:lineRule="auto"/>
            </w:pPr>
            <w:r>
              <w:t>6,1</w:t>
            </w:r>
          </w:p>
        </w:tc>
        <w:tc>
          <w:tcPr>
            <w:tcW w:w="1205" w:type="dxa"/>
            <w:vAlign w:val="bottom"/>
          </w:tcPr>
          <w:p w:rsidR="00000000" w:rsidRDefault="00000000">
            <w:pPr>
              <w:pStyle w:val="table"/>
              <w:tabs>
                <w:tab w:val="decimal" w:pos="567"/>
              </w:tabs>
              <w:spacing w:line="240" w:lineRule="auto"/>
            </w:pPr>
            <w:r>
              <w:t>83,7</w:t>
            </w:r>
          </w:p>
        </w:tc>
      </w:tr>
      <w:tr w:rsidR="00000000">
        <w:tblPrEx>
          <w:tblCellMar>
            <w:top w:w="0" w:type="dxa"/>
            <w:bottom w:w="0" w:type="dxa"/>
          </w:tblCellMar>
        </w:tblPrEx>
        <w:tc>
          <w:tcPr>
            <w:tcW w:w="2308" w:type="dxa"/>
          </w:tcPr>
          <w:p w:rsidR="00000000" w:rsidRDefault="00000000">
            <w:pPr>
              <w:pStyle w:val="table"/>
              <w:spacing w:line="240" w:lineRule="auto"/>
            </w:pPr>
            <w:r>
              <w:t>Сельское хозяйство, живо</w:t>
            </w:r>
            <w:r>
              <w:t>т</w:t>
            </w:r>
            <w:r>
              <w:t>новодство, лесное хозяйство и садов</w:t>
            </w:r>
            <w:r>
              <w:t>о</w:t>
            </w:r>
            <w:r>
              <w:t>дство</w:t>
            </w:r>
          </w:p>
        </w:tc>
        <w:tc>
          <w:tcPr>
            <w:tcW w:w="1205" w:type="dxa"/>
            <w:vAlign w:val="bottom"/>
          </w:tcPr>
          <w:p w:rsidR="00000000" w:rsidRDefault="00000000">
            <w:pPr>
              <w:pStyle w:val="table"/>
              <w:tabs>
                <w:tab w:val="decimal" w:pos="823"/>
              </w:tabs>
              <w:spacing w:line="240" w:lineRule="auto"/>
            </w:pPr>
            <w:r>
              <w:t>792</w:t>
            </w:r>
          </w:p>
        </w:tc>
        <w:tc>
          <w:tcPr>
            <w:tcW w:w="1205" w:type="dxa"/>
            <w:vAlign w:val="bottom"/>
          </w:tcPr>
          <w:p w:rsidR="00000000" w:rsidRDefault="00000000">
            <w:pPr>
              <w:pStyle w:val="table"/>
              <w:tabs>
                <w:tab w:val="decimal" w:pos="823"/>
              </w:tabs>
              <w:spacing w:line="240" w:lineRule="auto"/>
            </w:pPr>
            <w:r>
              <w:t>280</w:t>
            </w:r>
          </w:p>
        </w:tc>
        <w:tc>
          <w:tcPr>
            <w:tcW w:w="1205" w:type="dxa"/>
            <w:vAlign w:val="bottom"/>
          </w:tcPr>
          <w:p w:rsidR="00000000" w:rsidRDefault="00000000">
            <w:pPr>
              <w:pStyle w:val="table"/>
              <w:tabs>
                <w:tab w:val="decimal" w:pos="567"/>
              </w:tabs>
              <w:spacing w:line="240" w:lineRule="auto"/>
            </w:pPr>
            <w:r>
              <w:t>2,1</w:t>
            </w:r>
          </w:p>
        </w:tc>
        <w:tc>
          <w:tcPr>
            <w:tcW w:w="1205" w:type="dxa"/>
            <w:vAlign w:val="bottom"/>
          </w:tcPr>
          <w:p w:rsidR="00000000" w:rsidRDefault="00000000">
            <w:pPr>
              <w:pStyle w:val="table"/>
              <w:tabs>
                <w:tab w:val="decimal" w:pos="567"/>
              </w:tabs>
              <w:spacing w:line="240" w:lineRule="auto"/>
            </w:pPr>
            <w:r>
              <w:t>35,4</w:t>
            </w:r>
          </w:p>
        </w:tc>
      </w:tr>
      <w:tr w:rsidR="00000000">
        <w:tblPrEx>
          <w:tblCellMar>
            <w:top w:w="0" w:type="dxa"/>
            <w:bottom w:w="0" w:type="dxa"/>
          </w:tblCellMar>
        </w:tblPrEx>
        <w:tc>
          <w:tcPr>
            <w:tcW w:w="2308" w:type="dxa"/>
          </w:tcPr>
          <w:p w:rsidR="00000000" w:rsidRDefault="00000000">
            <w:pPr>
              <w:pStyle w:val="table"/>
              <w:spacing w:line="240" w:lineRule="auto"/>
            </w:pPr>
            <w:r>
              <w:t>Бухгалтеры, специалисты по компьютерной те</w:t>
            </w:r>
            <w:r>
              <w:t>х</w:t>
            </w:r>
            <w:r>
              <w:t>нике</w:t>
            </w:r>
          </w:p>
        </w:tc>
        <w:tc>
          <w:tcPr>
            <w:tcW w:w="1205" w:type="dxa"/>
            <w:vAlign w:val="bottom"/>
          </w:tcPr>
          <w:p w:rsidR="00000000" w:rsidRDefault="00000000">
            <w:pPr>
              <w:pStyle w:val="table"/>
              <w:tabs>
                <w:tab w:val="decimal" w:pos="823"/>
              </w:tabs>
              <w:spacing w:line="240" w:lineRule="auto"/>
            </w:pPr>
            <w:r>
              <w:t>1018</w:t>
            </w:r>
          </w:p>
        </w:tc>
        <w:tc>
          <w:tcPr>
            <w:tcW w:w="1205" w:type="dxa"/>
            <w:vAlign w:val="bottom"/>
          </w:tcPr>
          <w:p w:rsidR="00000000" w:rsidRDefault="00000000">
            <w:pPr>
              <w:pStyle w:val="table"/>
              <w:tabs>
                <w:tab w:val="decimal" w:pos="823"/>
              </w:tabs>
              <w:spacing w:line="240" w:lineRule="auto"/>
            </w:pPr>
            <w:r>
              <w:t>468</w:t>
            </w:r>
          </w:p>
        </w:tc>
        <w:tc>
          <w:tcPr>
            <w:tcW w:w="1205" w:type="dxa"/>
            <w:vAlign w:val="bottom"/>
          </w:tcPr>
          <w:p w:rsidR="00000000" w:rsidRDefault="00000000">
            <w:pPr>
              <w:pStyle w:val="table"/>
              <w:tabs>
                <w:tab w:val="decimal" w:pos="567"/>
              </w:tabs>
              <w:spacing w:line="240" w:lineRule="auto"/>
            </w:pPr>
            <w:r>
              <w:t>3,5</w:t>
            </w:r>
          </w:p>
        </w:tc>
        <w:tc>
          <w:tcPr>
            <w:tcW w:w="1205" w:type="dxa"/>
            <w:vAlign w:val="bottom"/>
          </w:tcPr>
          <w:p w:rsidR="00000000" w:rsidRDefault="00000000">
            <w:pPr>
              <w:pStyle w:val="table"/>
              <w:tabs>
                <w:tab w:val="decimal" w:pos="567"/>
              </w:tabs>
              <w:spacing w:line="240" w:lineRule="auto"/>
            </w:pPr>
            <w:r>
              <w:t>46,0</w:t>
            </w:r>
          </w:p>
        </w:tc>
      </w:tr>
      <w:tr w:rsidR="00000000">
        <w:tblPrEx>
          <w:tblCellMar>
            <w:top w:w="0" w:type="dxa"/>
            <w:bottom w:w="0" w:type="dxa"/>
          </w:tblCellMar>
        </w:tblPrEx>
        <w:tc>
          <w:tcPr>
            <w:tcW w:w="2308" w:type="dxa"/>
          </w:tcPr>
          <w:p w:rsidR="00000000" w:rsidRDefault="00000000">
            <w:pPr>
              <w:pStyle w:val="table"/>
              <w:spacing w:line="240" w:lineRule="auto"/>
            </w:pPr>
            <w:r>
              <w:t>Учит</w:t>
            </w:r>
            <w:r>
              <w:t>е</w:t>
            </w:r>
            <w:r>
              <w:t>ля</w:t>
            </w:r>
          </w:p>
        </w:tc>
        <w:tc>
          <w:tcPr>
            <w:tcW w:w="1205" w:type="dxa"/>
            <w:vAlign w:val="bottom"/>
          </w:tcPr>
          <w:p w:rsidR="00000000" w:rsidRDefault="00000000">
            <w:pPr>
              <w:pStyle w:val="table"/>
              <w:tabs>
                <w:tab w:val="decimal" w:pos="823"/>
              </w:tabs>
              <w:spacing w:line="240" w:lineRule="auto"/>
            </w:pPr>
            <w:r>
              <w:t>986</w:t>
            </w:r>
          </w:p>
        </w:tc>
        <w:tc>
          <w:tcPr>
            <w:tcW w:w="1205" w:type="dxa"/>
            <w:vAlign w:val="bottom"/>
          </w:tcPr>
          <w:p w:rsidR="00000000" w:rsidRDefault="00000000">
            <w:pPr>
              <w:pStyle w:val="table"/>
              <w:tabs>
                <w:tab w:val="decimal" w:pos="823"/>
              </w:tabs>
              <w:spacing w:line="240" w:lineRule="auto"/>
            </w:pPr>
            <w:r>
              <w:t>548</w:t>
            </w:r>
          </w:p>
        </w:tc>
        <w:tc>
          <w:tcPr>
            <w:tcW w:w="1205" w:type="dxa"/>
            <w:vAlign w:val="bottom"/>
          </w:tcPr>
          <w:p w:rsidR="00000000" w:rsidRDefault="00000000">
            <w:pPr>
              <w:pStyle w:val="table"/>
              <w:tabs>
                <w:tab w:val="decimal" w:pos="567"/>
              </w:tabs>
              <w:spacing w:line="240" w:lineRule="auto"/>
            </w:pPr>
            <w:r>
              <w:t>4,1</w:t>
            </w:r>
          </w:p>
        </w:tc>
        <w:tc>
          <w:tcPr>
            <w:tcW w:w="1205" w:type="dxa"/>
            <w:vAlign w:val="bottom"/>
          </w:tcPr>
          <w:p w:rsidR="00000000" w:rsidRDefault="00000000">
            <w:pPr>
              <w:pStyle w:val="table"/>
              <w:tabs>
                <w:tab w:val="decimal" w:pos="567"/>
              </w:tabs>
              <w:spacing w:line="240" w:lineRule="auto"/>
            </w:pPr>
            <w:r>
              <w:t>55,6</w:t>
            </w:r>
          </w:p>
        </w:tc>
      </w:tr>
      <w:tr w:rsidR="00000000">
        <w:tblPrEx>
          <w:tblCellMar>
            <w:top w:w="0" w:type="dxa"/>
            <w:bottom w:w="0" w:type="dxa"/>
          </w:tblCellMar>
        </w:tblPrEx>
        <w:tc>
          <w:tcPr>
            <w:tcW w:w="2308" w:type="dxa"/>
          </w:tcPr>
          <w:p w:rsidR="00000000" w:rsidRDefault="00000000">
            <w:pPr>
              <w:pStyle w:val="table"/>
              <w:spacing w:line="240" w:lineRule="auto"/>
            </w:pPr>
            <w:r>
              <w:t>Социальные рабо</w:t>
            </w:r>
            <w:r>
              <w:t>т</w:t>
            </w:r>
            <w:r>
              <w:t>ники</w:t>
            </w:r>
          </w:p>
        </w:tc>
        <w:tc>
          <w:tcPr>
            <w:tcW w:w="1205" w:type="dxa"/>
            <w:vAlign w:val="bottom"/>
          </w:tcPr>
          <w:p w:rsidR="00000000" w:rsidRDefault="00000000">
            <w:pPr>
              <w:pStyle w:val="table"/>
              <w:tabs>
                <w:tab w:val="decimal" w:pos="823"/>
              </w:tabs>
              <w:spacing w:line="240" w:lineRule="auto"/>
            </w:pPr>
            <w:r>
              <w:t>962</w:t>
            </w:r>
          </w:p>
        </w:tc>
        <w:tc>
          <w:tcPr>
            <w:tcW w:w="1205" w:type="dxa"/>
            <w:vAlign w:val="bottom"/>
          </w:tcPr>
          <w:p w:rsidR="00000000" w:rsidRDefault="00000000">
            <w:pPr>
              <w:pStyle w:val="table"/>
              <w:tabs>
                <w:tab w:val="decimal" w:pos="823"/>
              </w:tabs>
              <w:spacing w:line="240" w:lineRule="auto"/>
            </w:pPr>
            <w:r>
              <w:t>787</w:t>
            </w:r>
          </w:p>
        </w:tc>
        <w:tc>
          <w:tcPr>
            <w:tcW w:w="1205" w:type="dxa"/>
            <w:vAlign w:val="bottom"/>
          </w:tcPr>
          <w:p w:rsidR="00000000" w:rsidRDefault="00000000">
            <w:pPr>
              <w:pStyle w:val="table"/>
              <w:tabs>
                <w:tab w:val="decimal" w:pos="567"/>
              </w:tabs>
              <w:spacing w:line="240" w:lineRule="auto"/>
            </w:pPr>
            <w:r>
              <w:t>6,0</w:t>
            </w:r>
          </w:p>
        </w:tc>
        <w:tc>
          <w:tcPr>
            <w:tcW w:w="1205" w:type="dxa"/>
            <w:vAlign w:val="bottom"/>
          </w:tcPr>
          <w:p w:rsidR="00000000" w:rsidRDefault="00000000">
            <w:pPr>
              <w:pStyle w:val="table"/>
              <w:tabs>
                <w:tab w:val="decimal" w:pos="567"/>
              </w:tabs>
              <w:spacing w:line="240" w:lineRule="auto"/>
            </w:pPr>
            <w:r>
              <w:t>81,8</w:t>
            </w:r>
          </w:p>
        </w:tc>
      </w:tr>
      <w:tr w:rsidR="00000000">
        <w:tblPrEx>
          <w:tblCellMar>
            <w:top w:w="0" w:type="dxa"/>
            <w:bottom w:w="0" w:type="dxa"/>
          </w:tblCellMar>
        </w:tblPrEx>
        <w:tc>
          <w:tcPr>
            <w:tcW w:w="2308" w:type="dxa"/>
          </w:tcPr>
          <w:p w:rsidR="00000000" w:rsidRDefault="00000000">
            <w:pPr>
              <w:pStyle w:val="table"/>
              <w:spacing w:line="240" w:lineRule="auto"/>
            </w:pPr>
            <w:r>
              <w:t>Сотрудники банковских (сберегательных) и страх</w:t>
            </w:r>
            <w:r>
              <w:t>о</w:t>
            </w:r>
            <w:r>
              <w:t>вых учрежд</w:t>
            </w:r>
            <w:r>
              <w:t>е</w:t>
            </w:r>
            <w:r>
              <w:t>ний</w:t>
            </w:r>
          </w:p>
        </w:tc>
        <w:tc>
          <w:tcPr>
            <w:tcW w:w="1205" w:type="dxa"/>
            <w:vAlign w:val="bottom"/>
          </w:tcPr>
          <w:p w:rsidR="00000000" w:rsidRDefault="00000000">
            <w:pPr>
              <w:pStyle w:val="table"/>
              <w:tabs>
                <w:tab w:val="decimal" w:pos="823"/>
              </w:tabs>
              <w:spacing w:line="240" w:lineRule="auto"/>
            </w:pPr>
            <w:r>
              <w:t>814</w:t>
            </w:r>
          </w:p>
        </w:tc>
        <w:tc>
          <w:tcPr>
            <w:tcW w:w="1205" w:type="dxa"/>
            <w:vAlign w:val="bottom"/>
          </w:tcPr>
          <w:p w:rsidR="00000000" w:rsidRDefault="00000000">
            <w:pPr>
              <w:pStyle w:val="table"/>
              <w:tabs>
                <w:tab w:val="decimal" w:pos="823"/>
              </w:tabs>
              <w:spacing w:line="240" w:lineRule="auto"/>
            </w:pPr>
            <w:r>
              <w:t>395</w:t>
            </w:r>
          </w:p>
        </w:tc>
        <w:tc>
          <w:tcPr>
            <w:tcW w:w="1205" w:type="dxa"/>
            <w:vAlign w:val="bottom"/>
          </w:tcPr>
          <w:p w:rsidR="00000000" w:rsidRDefault="00000000">
            <w:pPr>
              <w:pStyle w:val="table"/>
              <w:tabs>
                <w:tab w:val="decimal" w:pos="567"/>
              </w:tabs>
              <w:spacing w:line="240" w:lineRule="auto"/>
            </w:pPr>
            <w:r>
              <w:t>3,0</w:t>
            </w:r>
          </w:p>
        </w:tc>
        <w:tc>
          <w:tcPr>
            <w:tcW w:w="1205" w:type="dxa"/>
            <w:vAlign w:val="bottom"/>
          </w:tcPr>
          <w:p w:rsidR="00000000" w:rsidRDefault="00000000">
            <w:pPr>
              <w:pStyle w:val="table"/>
              <w:tabs>
                <w:tab w:val="decimal" w:pos="567"/>
              </w:tabs>
              <w:spacing w:line="240" w:lineRule="auto"/>
            </w:pPr>
            <w:r>
              <w:t>48,5</w:t>
            </w:r>
          </w:p>
        </w:tc>
      </w:tr>
      <w:tr w:rsidR="00000000">
        <w:tblPrEx>
          <w:tblCellMar>
            <w:top w:w="0" w:type="dxa"/>
            <w:bottom w:w="0" w:type="dxa"/>
          </w:tblCellMar>
        </w:tblPrEx>
        <w:tc>
          <w:tcPr>
            <w:tcW w:w="2308" w:type="dxa"/>
          </w:tcPr>
          <w:p w:rsidR="00000000" w:rsidRDefault="00000000">
            <w:pPr>
              <w:pStyle w:val="table"/>
              <w:spacing w:line="240" w:lineRule="auto"/>
            </w:pPr>
            <w:r>
              <w:t>Гостиничное и ресторанное дело</w:t>
            </w:r>
          </w:p>
        </w:tc>
        <w:tc>
          <w:tcPr>
            <w:tcW w:w="1205" w:type="dxa"/>
            <w:vAlign w:val="bottom"/>
          </w:tcPr>
          <w:p w:rsidR="00000000" w:rsidRDefault="00000000">
            <w:pPr>
              <w:pStyle w:val="table"/>
              <w:tabs>
                <w:tab w:val="decimal" w:pos="823"/>
              </w:tabs>
              <w:spacing w:line="240" w:lineRule="auto"/>
            </w:pPr>
            <w:r>
              <w:t>562</w:t>
            </w:r>
          </w:p>
        </w:tc>
        <w:tc>
          <w:tcPr>
            <w:tcW w:w="1205" w:type="dxa"/>
            <w:vAlign w:val="bottom"/>
          </w:tcPr>
          <w:p w:rsidR="00000000" w:rsidRDefault="00000000">
            <w:pPr>
              <w:pStyle w:val="table"/>
              <w:tabs>
                <w:tab w:val="decimal" w:pos="823"/>
              </w:tabs>
              <w:spacing w:line="240" w:lineRule="auto"/>
            </w:pPr>
            <w:r>
              <w:t>338</w:t>
            </w:r>
          </w:p>
        </w:tc>
        <w:tc>
          <w:tcPr>
            <w:tcW w:w="1205" w:type="dxa"/>
            <w:vAlign w:val="bottom"/>
          </w:tcPr>
          <w:p w:rsidR="00000000" w:rsidRDefault="00000000">
            <w:pPr>
              <w:pStyle w:val="table"/>
              <w:tabs>
                <w:tab w:val="decimal" w:pos="567"/>
              </w:tabs>
              <w:spacing w:line="240" w:lineRule="auto"/>
            </w:pPr>
            <w:r>
              <w:t>2,6</w:t>
            </w:r>
          </w:p>
        </w:tc>
        <w:tc>
          <w:tcPr>
            <w:tcW w:w="1205" w:type="dxa"/>
            <w:vAlign w:val="bottom"/>
          </w:tcPr>
          <w:p w:rsidR="00000000" w:rsidRDefault="00000000">
            <w:pPr>
              <w:pStyle w:val="table"/>
              <w:tabs>
                <w:tab w:val="decimal" w:pos="567"/>
              </w:tabs>
              <w:spacing w:line="240" w:lineRule="auto"/>
            </w:pPr>
            <w:r>
              <w:t>60,1</w:t>
            </w:r>
          </w:p>
        </w:tc>
      </w:tr>
      <w:tr w:rsidR="00000000">
        <w:tblPrEx>
          <w:tblCellMar>
            <w:top w:w="0" w:type="dxa"/>
            <w:bottom w:w="0" w:type="dxa"/>
          </w:tblCellMar>
        </w:tblPrEx>
        <w:tc>
          <w:tcPr>
            <w:tcW w:w="2308" w:type="dxa"/>
          </w:tcPr>
          <w:p w:rsidR="00000000" w:rsidRDefault="00000000">
            <w:pPr>
              <w:pStyle w:val="table"/>
              <w:spacing w:line="240" w:lineRule="auto"/>
            </w:pPr>
            <w:r>
              <w:t>Новые земли и Восточный Бе</w:t>
            </w:r>
            <w:r>
              <w:t>р</w:t>
            </w:r>
            <w:r>
              <w:t>лин</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rPr>
                <w:b/>
              </w:rPr>
            </w:pPr>
            <w:r>
              <w:rPr>
                <w:b/>
              </w:rPr>
              <w:t>Общая численность сам</w:t>
            </w:r>
            <w:r>
              <w:rPr>
                <w:b/>
              </w:rPr>
              <w:t>о</w:t>
            </w:r>
            <w:r>
              <w:rPr>
                <w:b/>
              </w:rPr>
              <w:t>деятельного насел</w:t>
            </w:r>
            <w:r>
              <w:rPr>
                <w:b/>
              </w:rPr>
              <w:t>е</w:t>
            </w:r>
            <w:r>
              <w:rPr>
                <w:b/>
              </w:rPr>
              <w:t>ния,</w:t>
            </w:r>
          </w:p>
        </w:tc>
        <w:tc>
          <w:tcPr>
            <w:tcW w:w="1205" w:type="dxa"/>
            <w:vAlign w:val="bottom"/>
          </w:tcPr>
          <w:p w:rsidR="00000000" w:rsidRDefault="00000000">
            <w:pPr>
              <w:pStyle w:val="table"/>
              <w:tabs>
                <w:tab w:val="decimal" w:pos="823"/>
              </w:tabs>
              <w:spacing w:line="240" w:lineRule="auto"/>
            </w:pPr>
            <w:r>
              <w:t>6508</w:t>
            </w:r>
          </w:p>
        </w:tc>
        <w:tc>
          <w:tcPr>
            <w:tcW w:w="1205" w:type="dxa"/>
            <w:vAlign w:val="bottom"/>
          </w:tcPr>
          <w:p w:rsidR="00000000" w:rsidRDefault="00000000">
            <w:pPr>
              <w:pStyle w:val="table"/>
              <w:tabs>
                <w:tab w:val="decimal" w:pos="823"/>
              </w:tabs>
              <w:spacing w:line="240" w:lineRule="auto"/>
            </w:pPr>
            <w:r>
              <w:t>2960</w:t>
            </w:r>
          </w:p>
        </w:tc>
        <w:tc>
          <w:tcPr>
            <w:tcW w:w="1205" w:type="dxa"/>
            <w:vAlign w:val="bottom"/>
          </w:tcPr>
          <w:p w:rsidR="00000000" w:rsidRDefault="00000000">
            <w:pPr>
              <w:pStyle w:val="table"/>
              <w:tabs>
                <w:tab w:val="decimal" w:pos="567"/>
              </w:tabs>
              <w:spacing w:line="240" w:lineRule="auto"/>
            </w:pPr>
            <w:r>
              <w:t>100,0</w:t>
            </w:r>
          </w:p>
        </w:tc>
        <w:tc>
          <w:tcPr>
            <w:tcW w:w="1205" w:type="dxa"/>
            <w:vAlign w:val="bottom"/>
          </w:tcPr>
          <w:p w:rsidR="00000000" w:rsidRDefault="00000000">
            <w:pPr>
              <w:pStyle w:val="table"/>
              <w:tabs>
                <w:tab w:val="decimal" w:pos="567"/>
              </w:tabs>
              <w:spacing w:line="240" w:lineRule="auto"/>
            </w:pPr>
            <w:r>
              <w:t>45,5</w:t>
            </w:r>
          </w:p>
        </w:tc>
      </w:tr>
      <w:tr w:rsidR="00000000">
        <w:tblPrEx>
          <w:tblCellMar>
            <w:top w:w="0" w:type="dxa"/>
            <w:bottom w:w="0" w:type="dxa"/>
          </w:tblCellMar>
        </w:tblPrEx>
        <w:tc>
          <w:tcPr>
            <w:tcW w:w="2308" w:type="dxa"/>
          </w:tcPr>
          <w:p w:rsidR="00000000" w:rsidRDefault="00000000">
            <w:pPr>
              <w:pStyle w:val="table"/>
              <w:spacing w:line="240" w:lineRule="auto"/>
            </w:pPr>
            <w:r>
              <w:t>в том чи</w:t>
            </w:r>
            <w:r>
              <w:t>с</w:t>
            </w:r>
            <w:r>
              <w:t>ле:</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pPr>
            <w:r>
              <w:t>Квалифицированный ко</w:t>
            </w:r>
            <w:r>
              <w:t>н</w:t>
            </w:r>
            <w:r>
              <w:t>торский персонал, делопр</w:t>
            </w:r>
            <w:r>
              <w:t>о</w:t>
            </w:r>
            <w:r>
              <w:t>изводители коммерческих предприятий, не облада</w:t>
            </w:r>
            <w:r>
              <w:t>ю</w:t>
            </w:r>
            <w:r>
              <w:t>щие дополнительной кв</w:t>
            </w:r>
            <w:r>
              <w:t>а</w:t>
            </w:r>
            <w:r>
              <w:t>лификац</w:t>
            </w:r>
            <w:r>
              <w:t>и</w:t>
            </w:r>
            <w:r>
              <w:t>ей,</w:t>
            </w:r>
          </w:p>
        </w:tc>
        <w:tc>
          <w:tcPr>
            <w:tcW w:w="1205" w:type="dxa"/>
            <w:vAlign w:val="bottom"/>
          </w:tcPr>
          <w:p w:rsidR="00000000" w:rsidRDefault="00000000">
            <w:pPr>
              <w:pStyle w:val="table"/>
              <w:tabs>
                <w:tab w:val="decimal" w:pos="823"/>
              </w:tabs>
              <w:spacing w:line="240" w:lineRule="auto"/>
            </w:pPr>
            <w:r>
              <w:t>660</w:t>
            </w:r>
          </w:p>
        </w:tc>
        <w:tc>
          <w:tcPr>
            <w:tcW w:w="1205" w:type="dxa"/>
            <w:vAlign w:val="bottom"/>
          </w:tcPr>
          <w:p w:rsidR="00000000" w:rsidRDefault="00000000">
            <w:pPr>
              <w:pStyle w:val="table"/>
              <w:tabs>
                <w:tab w:val="decimal" w:pos="823"/>
              </w:tabs>
              <w:spacing w:line="240" w:lineRule="auto"/>
            </w:pPr>
            <w:r>
              <w:t>548</w:t>
            </w:r>
          </w:p>
        </w:tc>
        <w:tc>
          <w:tcPr>
            <w:tcW w:w="1205" w:type="dxa"/>
            <w:vAlign w:val="bottom"/>
          </w:tcPr>
          <w:p w:rsidR="00000000" w:rsidRDefault="00000000">
            <w:pPr>
              <w:pStyle w:val="table"/>
              <w:tabs>
                <w:tab w:val="decimal" w:pos="567"/>
              </w:tabs>
              <w:spacing w:line="240" w:lineRule="auto"/>
            </w:pPr>
            <w:r>
              <w:t>18,5</w:t>
            </w:r>
          </w:p>
        </w:tc>
        <w:tc>
          <w:tcPr>
            <w:tcW w:w="1205" w:type="dxa"/>
            <w:vAlign w:val="bottom"/>
          </w:tcPr>
          <w:p w:rsidR="00000000" w:rsidRDefault="00000000">
            <w:pPr>
              <w:pStyle w:val="table"/>
              <w:tabs>
                <w:tab w:val="decimal" w:pos="567"/>
              </w:tabs>
              <w:spacing w:line="240" w:lineRule="auto"/>
            </w:pPr>
            <w:r>
              <w:t>83,0</w:t>
            </w:r>
          </w:p>
        </w:tc>
      </w:tr>
      <w:tr w:rsidR="00000000">
        <w:tblPrEx>
          <w:tblCellMar>
            <w:top w:w="0" w:type="dxa"/>
            <w:bottom w:w="0" w:type="dxa"/>
          </w:tblCellMar>
        </w:tblPrEx>
        <w:tc>
          <w:tcPr>
            <w:tcW w:w="2308" w:type="dxa"/>
          </w:tcPr>
          <w:p w:rsidR="00000000" w:rsidRDefault="00000000">
            <w:pPr>
              <w:pStyle w:val="table"/>
              <w:spacing w:line="240" w:lineRule="auto"/>
              <w:ind w:left="296"/>
            </w:pPr>
            <w:r>
              <w:t>из них:</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ind w:left="296"/>
            </w:pPr>
            <w:r>
              <w:t>Клерки общего профиля, коммерческие делопр</w:t>
            </w:r>
            <w:r>
              <w:t>о</w:t>
            </w:r>
            <w:r>
              <w:t>изводители (без дал</w:t>
            </w:r>
            <w:r>
              <w:t>ь</w:t>
            </w:r>
            <w:r>
              <w:t>нейшего уточн</w:t>
            </w:r>
            <w:r>
              <w:t>е</w:t>
            </w:r>
            <w:r>
              <w:t>ния)</w:t>
            </w:r>
          </w:p>
        </w:tc>
        <w:tc>
          <w:tcPr>
            <w:tcW w:w="1205" w:type="dxa"/>
            <w:vAlign w:val="bottom"/>
          </w:tcPr>
          <w:p w:rsidR="00000000" w:rsidRDefault="00000000">
            <w:pPr>
              <w:pStyle w:val="table"/>
              <w:tabs>
                <w:tab w:val="decimal" w:pos="823"/>
              </w:tabs>
              <w:spacing w:line="240" w:lineRule="auto"/>
            </w:pPr>
            <w:r>
              <w:t>208</w:t>
            </w:r>
          </w:p>
        </w:tc>
        <w:tc>
          <w:tcPr>
            <w:tcW w:w="1205" w:type="dxa"/>
            <w:vAlign w:val="bottom"/>
          </w:tcPr>
          <w:p w:rsidR="00000000" w:rsidRDefault="00000000">
            <w:pPr>
              <w:pStyle w:val="table"/>
              <w:tabs>
                <w:tab w:val="decimal" w:pos="823"/>
              </w:tabs>
              <w:spacing w:line="240" w:lineRule="auto"/>
            </w:pPr>
            <w:r>
              <w:t>167</w:t>
            </w:r>
          </w:p>
        </w:tc>
        <w:tc>
          <w:tcPr>
            <w:tcW w:w="1205" w:type="dxa"/>
            <w:vAlign w:val="bottom"/>
          </w:tcPr>
          <w:p w:rsidR="00000000" w:rsidRDefault="00000000">
            <w:pPr>
              <w:pStyle w:val="table"/>
              <w:tabs>
                <w:tab w:val="decimal" w:pos="567"/>
              </w:tabs>
              <w:spacing w:line="240" w:lineRule="auto"/>
            </w:pPr>
            <w:r>
              <w:t>5,6</w:t>
            </w:r>
          </w:p>
        </w:tc>
        <w:tc>
          <w:tcPr>
            <w:tcW w:w="1205" w:type="dxa"/>
            <w:vAlign w:val="bottom"/>
          </w:tcPr>
          <w:p w:rsidR="00000000" w:rsidRDefault="00000000">
            <w:pPr>
              <w:pStyle w:val="table"/>
              <w:tabs>
                <w:tab w:val="decimal" w:pos="567"/>
              </w:tabs>
              <w:spacing w:line="240" w:lineRule="auto"/>
            </w:pPr>
            <w:r>
              <w:t>80,3</w:t>
            </w:r>
          </w:p>
        </w:tc>
      </w:tr>
      <w:tr w:rsidR="00000000">
        <w:tblPrEx>
          <w:tblCellMar>
            <w:top w:w="0" w:type="dxa"/>
            <w:bottom w:w="0" w:type="dxa"/>
          </w:tblCellMar>
        </w:tblPrEx>
        <w:tc>
          <w:tcPr>
            <w:tcW w:w="2308" w:type="dxa"/>
          </w:tcPr>
          <w:p w:rsidR="00000000" w:rsidRDefault="00000000">
            <w:pPr>
              <w:pStyle w:val="table"/>
              <w:spacing w:line="240" w:lineRule="auto"/>
            </w:pPr>
            <w:r>
              <w:t>Менеджеры и пр</w:t>
            </w:r>
            <w:r>
              <w:t>о</w:t>
            </w:r>
            <w:r>
              <w:t>давцы</w:t>
            </w:r>
          </w:p>
        </w:tc>
        <w:tc>
          <w:tcPr>
            <w:tcW w:w="1205" w:type="dxa"/>
            <w:vAlign w:val="bottom"/>
          </w:tcPr>
          <w:p w:rsidR="00000000" w:rsidRDefault="00000000">
            <w:pPr>
              <w:pStyle w:val="table"/>
              <w:tabs>
                <w:tab w:val="decimal" w:pos="823"/>
              </w:tabs>
              <w:spacing w:line="240" w:lineRule="auto"/>
            </w:pPr>
            <w:r>
              <w:t>553</w:t>
            </w:r>
          </w:p>
        </w:tc>
        <w:tc>
          <w:tcPr>
            <w:tcW w:w="1205" w:type="dxa"/>
            <w:vAlign w:val="bottom"/>
          </w:tcPr>
          <w:p w:rsidR="00000000" w:rsidRDefault="00000000">
            <w:pPr>
              <w:pStyle w:val="table"/>
              <w:tabs>
                <w:tab w:val="decimal" w:pos="823"/>
              </w:tabs>
              <w:spacing w:line="240" w:lineRule="auto"/>
            </w:pPr>
            <w:r>
              <w:t>384</w:t>
            </w:r>
          </w:p>
        </w:tc>
        <w:tc>
          <w:tcPr>
            <w:tcW w:w="1205" w:type="dxa"/>
            <w:vAlign w:val="bottom"/>
          </w:tcPr>
          <w:p w:rsidR="00000000" w:rsidRDefault="00000000">
            <w:pPr>
              <w:pStyle w:val="table"/>
              <w:tabs>
                <w:tab w:val="decimal" w:pos="567"/>
              </w:tabs>
              <w:spacing w:line="240" w:lineRule="auto"/>
            </w:pPr>
            <w:r>
              <w:t>13,0</w:t>
            </w:r>
          </w:p>
        </w:tc>
        <w:tc>
          <w:tcPr>
            <w:tcW w:w="1205" w:type="dxa"/>
            <w:vAlign w:val="bottom"/>
          </w:tcPr>
          <w:p w:rsidR="00000000" w:rsidRDefault="00000000">
            <w:pPr>
              <w:pStyle w:val="table"/>
              <w:tabs>
                <w:tab w:val="decimal" w:pos="567"/>
              </w:tabs>
              <w:spacing w:line="240" w:lineRule="auto"/>
            </w:pPr>
            <w:r>
              <w:t>69,4</w:t>
            </w:r>
          </w:p>
        </w:tc>
      </w:tr>
      <w:tr w:rsidR="00000000">
        <w:tblPrEx>
          <w:tblCellMar>
            <w:top w:w="0" w:type="dxa"/>
            <w:bottom w:w="0" w:type="dxa"/>
          </w:tblCellMar>
        </w:tblPrEx>
        <w:tc>
          <w:tcPr>
            <w:tcW w:w="2308" w:type="dxa"/>
          </w:tcPr>
          <w:p w:rsidR="00000000" w:rsidRDefault="00000000">
            <w:pPr>
              <w:pStyle w:val="table"/>
              <w:spacing w:line="240" w:lineRule="auto"/>
            </w:pPr>
            <w:r>
              <w:t>Другие профессии в секторе здравоохран</w:t>
            </w:r>
            <w:r>
              <w:t>е</w:t>
            </w:r>
            <w:r>
              <w:t xml:space="preserve">ния, </w:t>
            </w:r>
          </w:p>
        </w:tc>
        <w:tc>
          <w:tcPr>
            <w:tcW w:w="1205" w:type="dxa"/>
            <w:vAlign w:val="bottom"/>
          </w:tcPr>
          <w:p w:rsidR="00000000" w:rsidRDefault="00000000">
            <w:pPr>
              <w:pStyle w:val="table"/>
              <w:tabs>
                <w:tab w:val="decimal" w:pos="823"/>
              </w:tabs>
              <w:spacing w:line="240" w:lineRule="auto"/>
            </w:pPr>
            <w:r>
              <w:t>318</w:t>
            </w:r>
          </w:p>
        </w:tc>
        <w:tc>
          <w:tcPr>
            <w:tcW w:w="1205" w:type="dxa"/>
            <w:vAlign w:val="bottom"/>
          </w:tcPr>
          <w:p w:rsidR="00000000" w:rsidRDefault="00000000">
            <w:pPr>
              <w:pStyle w:val="table"/>
              <w:tabs>
                <w:tab w:val="decimal" w:pos="823"/>
              </w:tabs>
              <w:spacing w:line="240" w:lineRule="auto"/>
            </w:pPr>
            <w:r>
              <w:t>281</w:t>
            </w:r>
          </w:p>
        </w:tc>
        <w:tc>
          <w:tcPr>
            <w:tcW w:w="1205" w:type="dxa"/>
            <w:vAlign w:val="bottom"/>
          </w:tcPr>
          <w:p w:rsidR="00000000" w:rsidRDefault="00000000">
            <w:pPr>
              <w:pStyle w:val="table"/>
              <w:tabs>
                <w:tab w:val="decimal" w:pos="567"/>
              </w:tabs>
              <w:spacing w:line="240" w:lineRule="auto"/>
            </w:pPr>
            <w:r>
              <w:t>9,5</w:t>
            </w:r>
          </w:p>
        </w:tc>
        <w:tc>
          <w:tcPr>
            <w:tcW w:w="1205" w:type="dxa"/>
            <w:vAlign w:val="bottom"/>
          </w:tcPr>
          <w:p w:rsidR="00000000" w:rsidRDefault="00000000">
            <w:pPr>
              <w:pStyle w:val="table"/>
              <w:tabs>
                <w:tab w:val="decimal" w:pos="567"/>
              </w:tabs>
              <w:spacing w:line="240" w:lineRule="auto"/>
            </w:pPr>
            <w:r>
              <w:t>88,4</w:t>
            </w:r>
          </w:p>
        </w:tc>
      </w:tr>
      <w:tr w:rsidR="00000000">
        <w:tblPrEx>
          <w:tblCellMar>
            <w:top w:w="0" w:type="dxa"/>
            <w:bottom w:w="0" w:type="dxa"/>
          </w:tblCellMar>
        </w:tblPrEx>
        <w:tc>
          <w:tcPr>
            <w:tcW w:w="2308" w:type="dxa"/>
          </w:tcPr>
          <w:p w:rsidR="00000000" w:rsidRDefault="00000000">
            <w:pPr>
              <w:pStyle w:val="table"/>
              <w:spacing w:line="240" w:lineRule="auto"/>
              <w:ind w:left="296"/>
            </w:pPr>
            <w:r>
              <w:t>из них:</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ind w:left="296"/>
            </w:pPr>
            <w:r>
              <w:t>медицинские сес</w:t>
            </w:r>
            <w:r>
              <w:t>т</w:t>
            </w:r>
            <w:r>
              <w:t>ры,</w:t>
            </w: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823"/>
              </w:tabs>
              <w:spacing w:line="240" w:lineRule="auto"/>
            </w:pPr>
          </w:p>
        </w:tc>
        <w:tc>
          <w:tcPr>
            <w:tcW w:w="1205" w:type="dxa"/>
            <w:vAlign w:val="bottom"/>
          </w:tcPr>
          <w:p w:rsidR="00000000" w:rsidRDefault="00000000">
            <w:pPr>
              <w:pStyle w:val="table"/>
              <w:tabs>
                <w:tab w:val="decimal" w:pos="567"/>
              </w:tabs>
              <w:spacing w:line="240" w:lineRule="auto"/>
            </w:pPr>
          </w:p>
        </w:tc>
        <w:tc>
          <w:tcPr>
            <w:tcW w:w="1205" w:type="dxa"/>
            <w:vAlign w:val="bottom"/>
          </w:tcPr>
          <w:p w:rsidR="00000000" w:rsidRDefault="00000000">
            <w:pPr>
              <w:pStyle w:val="table"/>
              <w:tabs>
                <w:tab w:val="decimal" w:pos="567"/>
              </w:tabs>
              <w:spacing w:line="240" w:lineRule="auto"/>
            </w:pPr>
          </w:p>
        </w:tc>
      </w:tr>
      <w:tr w:rsidR="00000000">
        <w:tblPrEx>
          <w:tblCellMar>
            <w:top w:w="0" w:type="dxa"/>
            <w:bottom w:w="0" w:type="dxa"/>
          </w:tblCellMar>
        </w:tblPrEx>
        <w:tc>
          <w:tcPr>
            <w:tcW w:w="2308" w:type="dxa"/>
          </w:tcPr>
          <w:p w:rsidR="00000000" w:rsidRDefault="00000000">
            <w:pPr>
              <w:pStyle w:val="table"/>
              <w:spacing w:line="240" w:lineRule="auto"/>
              <w:ind w:left="296"/>
            </w:pPr>
            <w:r>
              <w:t>акуше</w:t>
            </w:r>
            <w:r>
              <w:t>р</w:t>
            </w:r>
            <w:r>
              <w:t>ки</w:t>
            </w:r>
          </w:p>
        </w:tc>
        <w:tc>
          <w:tcPr>
            <w:tcW w:w="1205" w:type="dxa"/>
            <w:vAlign w:val="bottom"/>
          </w:tcPr>
          <w:p w:rsidR="00000000" w:rsidRDefault="00000000">
            <w:pPr>
              <w:pStyle w:val="table"/>
              <w:tabs>
                <w:tab w:val="decimal" w:pos="823"/>
              </w:tabs>
              <w:spacing w:line="240" w:lineRule="auto"/>
            </w:pPr>
            <w:r>
              <w:t>154</w:t>
            </w:r>
          </w:p>
        </w:tc>
        <w:tc>
          <w:tcPr>
            <w:tcW w:w="1205" w:type="dxa"/>
            <w:vAlign w:val="bottom"/>
          </w:tcPr>
          <w:p w:rsidR="00000000" w:rsidRDefault="00000000">
            <w:pPr>
              <w:pStyle w:val="table"/>
              <w:tabs>
                <w:tab w:val="decimal" w:pos="823"/>
              </w:tabs>
              <w:spacing w:line="240" w:lineRule="auto"/>
            </w:pPr>
            <w:r>
              <w:t>140</w:t>
            </w:r>
          </w:p>
        </w:tc>
        <w:tc>
          <w:tcPr>
            <w:tcW w:w="1205" w:type="dxa"/>
            <w:vAlign w:val="bottom"/>
          </w:tcPr>
          <w:p w:rsidR="00000000" w:rsidRDefault="00000000">
            <w:pPr>
              <w:pStyle w:val="table"/>
              <w:tabs>
                <w:tab w:val="decimal" w:pos="567"/>
              </w:tabs>
              <w:spacing w:line="240" w:lineRule="auto"/>
            </w:pPr>
            <w:r>
              <w:t>4,7</w:t>
            </w:r>
          </w:p>
        </w:tc>
        <w:tc>
          <w:tcPr>
            <w:tcW w:w="1205" w:type="dxa"/>
            <w:vAlign w:val="bottom"/>
          </w:tcPr>
          <w:p w:rsidR="00000000" w:rsidRDefault="00000000">
            <w:pPr>
              <w:pStyle w:val="table"/>
              <w:tabs>
                <w:tab w:val="decimal" w:pos="567"/>
              </w:tabs>
              <w:spacing w:line="240" w:lineRule="auto"/>
            </w:pPr>
            <w:r>
              <w:t>90,9</w:t>
            </w:r>
          </w:p>
        </w:tc>
      </w:tr>
      <w:tr w:rsidR="00000000">
        <w:tblPrEx>
          <w:tblCellMar>
            <w:top w:w="0" w:type="dxa"/>
            <w:bottom w:w="0" w:type="dxa"/>
          </w:tblCellMar>
        </w:tblPrEx>
        <w:tc>
          <w:tcPr>
            <w:tcW w:w="2308" w:type="dxa"/>
          </w:tcPr>
          <w:p w:rsidR="00000000" w:rsidRDefault="00000000">
            <w:pPr>
              <w:pStyle w:val="table"/>
              <w:spacing w:line="240" w:lineRule="auto"/>
            </w:pPr>
            <w:r>
              <w:t>Уборка мусора и удаление отх</w:t>
            </w:r>
            <w:r>
              <w:t>о</w:t>
            </w:r>
            <w:r>
              <w:t>дов</w:t>
            </w:r>
          </w:p>
        </w:tc>
        <w:tc>
          <w:tcPr>
            <w:tcW w:w="1205" w:type="dxa"/>
            <w:vAlign w:val="bottom"/>
          </w:tcPr>
          <w:p w:rsidR="00000000" w:rsidRDefault="00000000">
            <w:pPr>
              <w:pStyle w:val="table"/>
              <w:tabs>
                <w:tab w:val="decimal" w:pos="823"/>
              </w:tabs>
              <w:spacing w:line="240" w:lineRule="auto"/>
            </w:pPr>
            <w:r>
              <w:t>162</w:t>
            </w:r>
          </w:p>
        </w:tc>
        <w:tc>
          <w:tcPr>
            <w:tcW w:w="1205" w:type="dxa"/>
            <w:vAlign w:val="bottom"/>
          </w:tcPr>
          <w:p w:rsidR="00000000" w:rsidRDefault="00000000">
            <w:pPr>
              <w:pStyle w:val="table"/>
              <w:tabs>
                <w:tab w:val="decimal" w:pos="823"/>
              </w:tabs>
              <w:spacing w:line="240" w:lineRule="auto"/>
            </w:pPr>
            <w:r>
              <w:t>122</w:t>
            </w:r>
          </w:p>
        </w:tc>
        <w:tc>
          <w:tcPr>
            <w:tcW w:w="1205" w:type="dxa"/>
            <w:vAlign w:val="bottom"/>
          </w:tcPr>
          <w:p w:rsidR="00000000" w:rsidRDefault="00000000">
            <w:pPr>
              <w:pStyle w:val="table"/>
              <w:tabs>
                <w:tab w:val="decimal" w:pos="567"/>
              </w:tabs>
              <w:spacing w:line="240" w:lineRule="auto"/>
            </w:pPr>
            <w:r>
              <w:t>4,1</w:t>
            </w:r>
          </w:p>
        </w:tc>
        <w:tc>
          <w:tcPr>
            <w:tcW w:w="1205" w:type="dxa"/>
            <w:vAlign w:val="bottom"/>
          </w:tcPr>
          <w:p w:rsidR="00000000" w:rsidRDefault="00000000">
            <w:pPr>
              <w:pStyle w:val="table"/>
              <w:tabs>
                <w:tab w:val="decimal" w:pos="567"/>
              </w:tabs>
              <w:spacing w:line="240" w:lineRule="auto"/>
            </w:pPr>
            <w:r>
              <w:t>75,3</w:t>
            </w:r>
          </w:p>
        </w:tc>
      </w:tr>
      <w:tr w:rsidR="00000000">
        <w:tblPrEx>
          <w:tblCellMar>
            <w:top w:w="0" w:type="dxa"/>
            <w:bottom w:w="0" w:type="dxa"/>
          </w:tblCellMar>
        </w:tblPrEx>
        <w:tc>
          <w:tcPr>
            <w:tcW w:w="2308" w:type="dxa"/>
          </w:tcPr>
          <w:p w:rsidR="00000000" w:rsidRDefault="00000000">
            <w:pPr>
              <w:pStyle w:val="table"/>
              <w:spacing w:line="240" w:lineRule="auto"/>
            </w:pPr>
            <w:r>
              <w:t>Сельское хозяйство, живо</w:t>
            </w:r>
            <w:r>
              <w:t>т</w:t>
            </w:r>
            <w:r>
              <w:t>новодство, лесное хозяйство и садов</w:t>
            </w:r>
            <w:r>
              <w:t>о</w:t>
            </w:r>
            <w:r>
              <w:t>дство</w:t>
            </w:r>
          </w:p>
        </w:tc>
        <w:tc>
          <w:tcPr>
            <w:tcW w:w="1205" w:type="dxa"/>
            <w:vAlign w:val="bottom"/>
          </w:tcPr>
          <w:p w:rsidR="00000000" w:rsidRDefault="00000000">
            <w:pPr>
              <w:pStyle w:val="table"/>
              <w:tabs>
                <w:tab w:val="decimal" w:pos="823"/>
              </w:tabs>
              <w:spacing w:line="240" w:lineRule="auto"/>
            </w:pPr>
            <w:r>
              <w:t>206</w:t>
            </w:r>
          </w:p>
        </w:tc>
        <w:tc>
          <w:tcPr>
            <w:tcW w:w="1205" w:type="dxa"/>
            <w:vAlign w:val="bottom"/>
          </w:tcPr>
          <w:p w:rsidR="00000000" w:rsidRDefault="00000000">
            <w:pPr>
              <w:pStyle w:val="table"/>
              <w:tabs>
                <w:tab w:val="decimal" w:pos="823"/>
              </w:tabs>
              <w:spacing w:line="240" w:lineRule="auto"/>
            </w:pPr>
            <w:r>
              <w:t>80</w:t>
            </w:r>
          </w:p>
        </w:tc>
        <w:tc>
          <w:tcPr>
            <w:tcW w:w="1205" w:type="dxa"/>
            <w:vAlign w:val="bottom"/>
          </w:tcPr>
          <w:p w:rsidR="00000000" w:rsidRDefault="00000000">
            <w:pPr>
              <w:pStyle w:val="table"/>
              <w:tabs>
                <w:tab w:val="decimal" w:pos="567"/>
              </w:tabs>
              <w:spacing w:line="240" w:lineRule="auto"/>
            </w:pPr>
            <w:r>
              <w:t>2,7</w:t>
            </w:r>
          </w:p>
        </w:tc>
        <w:tc>
          <w:tcPr>
            <w:tcW w:w="1205" w:type="dxa"/>
            <w:vAlign w:val="bottom"/>
          </w:tcPr>
          <w:p w:rsidR="00000000" w:rsidRDefault="00000000">
            <w:pPr>
              <w:pStyle w:val="table"/>
              <w:tabs>
                <w:tab w:val="decimal" w:pos="567"/>
              </w:tabs>
              <w:spacing w:line="240" w:lineRule="auto"/>
            </w:pPr>
            <w:r>
              <w:t>38,8</w:t>
            </w:r>
          </w:p>
        </w:tc>
      </w:tr>
      <w:tr w:rsidR="00000000">
        <w:tblPrEx>
          <w:tblCellMar>
            <w:top w:w="0" w:type="dxa"/>
            <w:bottom w:w="0" w:type="dxa"/>
          </w:tblCellMar>
        </w:tblPrEx>
        <w:tc>
          <w:tcPr>
            <w:tcW w:w="2308" w:type="dxa"/>
          </w:tcPr>
          <w:p w:rsidR="00000000" w:rsidRDefault="00000000">
            <w:pPr>
              <w:pStyle w:val="table"/>
              <w:spacing w:line="240" w:lineRule="auto"/>
            </w:pPr>
            <w:r>
              <w:t>Бухгалтеры, специалисты по компьютерной те</w:t>
            </w:r>
            <w:r>
              <w:t>х</w:t>
            </w:r>
            <w:r>
              <w:t>нике</w:t>
            </w:r>
          </w:p>
        </w:tc>
        <w:tc>
          <w:tcPr>
            <w:tcW w:w="1205" w:type="dxa"/>
            <w:vAlign w:val="bottom"/>
          </w:tcPr>
          <w:p w:rsidR="00000000" w:rsidRDefault="00000000">
            <w:pPr>
              <w:pStyle w:val="table"/>
              <w:tabs>
                <w:tab w:val="decimal" w:pos="823"/>
              </w:tabs>
              <w:spacing w:line="240" w:lineRule="auto"/>
            </w:pPr>
            <w:r>
              <w:t>177</w:t>
            </w:r>
          </w:p>
        </w:tc>
        <w:tc>
          <w:tcPr>
            <w:tcW w:w="1205" w:type="dxa"/>
            <w:vAlign w:val="bottom"/>
          </w:tcPr>
          <w:p w:rsidR="00000000" w:rsidRDefault="00000000">
            <w:pPr>
              <w:pStyle w:val="table"/>
              <w:tabs>
                <w:tab w:val="decimal" w:pos="823"/>
              </w:tabs>
              <w:spacing w:line="240" w:lineRule="auto"/>
            </w:pPr>
            <w:r>
              <w:t>112</w:t>
            </w:r>
          </w:p>
        </w:tc>
        <w:tc>
          <w:tcPr>
            <w:tcW w:w="1205" w:type="dxa"/>
            <w:vAlign w:val="bottom"/>
          </w:tcPr>
          <w:p w:rsidR="00000000" w:rsidRDefault="00000000">
            <w:pPr>
              <w:pStyle w:val="table"/>
              <w:tabs>
                <w:tab w:val="decimal" w:pos="567"/>
              </w:tabs>
              <w:spacing w:line="240" w:lineRule="auto"/>
            </w:pPr>
            <w:r>
              <w:t>3,8</w:t>
            </w:r>
          </w:p>
        </w:tc>
        <w:tc>
          <w:tcPr>
            <w:tcW w:w="1205" w:type="dxa"/>
            <w:vAlign w:val="bottom"/>
          </w:tcPr>
          <w:p w:rsidR="00000000" w:rsidRDefault="00000000">
            <w:pPr>
              <w:pStyle w:val="table"/>
              <w:tabs>
                <w:tab w:val="decimal" w:pos="567"/>
              </w:tabs>
              <w:spacing w:line="240" w:lineRule="auto"/>
            </w:pPr>
            <w:r>
              <w:t>63,3</w:t>
            </w:r>
          </w:p>
        </w:tc>
      </w:tr>
      <w:tr w:rsidR="00000000">
        <w:tblPrEx>
          <w:tblCellMar>
            <w:top w:w="0" w:type="dxa"/>
            <w:bottom w:w="0" w:type="dxa"/>
          </w:tblCellMar>
        </w:tblPrEx>
        <w:tc>
          <w:tcPr>
            <w:tcW w:w="2308" w:type="dxa"/>
          </w:tcPr>
          <w:p w:rsidR="00000000" w:rsidRDefault="00000000">
            <w:pPr>
              <w:pStyle w:val="table"/>
              <w:spacing w:line="240" w:lineRule="auto"/>
            </w:pPr>
            <w:r>
              <w:t>Учит</w:t>
            </w:r>
            <w:r>
              <w:t>е</w:t>
            </w:r>
            <w:r>
              <w:t>ля</w:t>
            </w:r>
          </w:p>
        </w:tc>
        <w:tc>
          <w:tcPr>
            <w:tcW w:w="1205" w:type="dxa"/>
            <w:vAlign w:val="bottom"/>
          </w:tcPr>
          <w:p w:rsidR="00000000" w:rsidRDefault="00000000">
            <w:pPr>
              <w:pStyle w:val="table"/>
              <w:tabs>
                <w:tab w:val="decimal" w:pos="823"/>
              </w:tabs>
              <w:spacing w:line="240" w:lineRule="auto"/>
            </w:pPr>
            <w:r>
              <w:t>218</w:t>
            </w:r>
          </w:p>
        </w:tc>
        <w:tc>
          <w:tcPr>
            <w:tcW w:w="1205" w:type="dxa"/>
            <w:vAlign w:val="bottom"/>
          </w:tcPr>
          <w:p w:rsidR="00000000" w:rsidRDefault="00000000">
            <w:pPr>
              <w:pStyle w:val="table"/>
              <w:tabs>
                <w:tab w:val="decimal" w:pos="823"/>
              </w:tabs>
              <w:spacing w:line="240" w:lineRule="auto"/>
            </w:pPr>
            <w:r>
              <w:t>141</w:t>
            </w:r>
          </w:p>
        </w:tc>
        <w:tc>
          <w:tcPr>
            <w:tcW w:w="1205" w:type="dxa"/>
            <w:vAlign w:val="bottom"/>
          </w:tcPr>
          <w:p w:rsidR="00000000" w:rsidRDefault="00000000">
            <w:pPr>
              <w:pStyle w:val="table"/>
              <w:tabs>
                <w:tab w:val="decimal" w:pos="567"/>
              </w:tabs>
              <w:spacing w:line="240" w:lineRule="auto"/>
            </w:pPr>
            <w:r>
              <w:t>4,8</w:t>
            </w:r>
          </w:p>
        </w:tc>
        <w:tc>
          <w:tcPr>
            <w:tcW w:w="1205" w:type="dxa"/>
            <w:vAlign w:val="bottom"/>
          </w:tcPr>
          <w:p w:rsidR="00000000" w:rsidRDefault="00000000">
            <w:pPr>
              <w:pStyle w:val="table"/>
              <w:tabs>
                <w:tab w:val="decimal" w:pos="567"/>
              </w:tabs>
              <w:spacing w:line="240" w:lineRule="auto"/>
            </w:pPr>
            <w:r>
              <w:t>64,7</w:t>
            </w:r>
          </w:p>
        </w:tc>
      </w:tr>
      <w:tr w:rsidR="00000000">
        <w:tblPrEx>
          <w:tblCellMar>
            <w:top w:w="0" w:type="dxa"/>
            <w:bottom w:w="0" w:type="dxa"/>
          </w:tblCellMar>
        </w:tblPrEx>
        <w:tc>
          <w:tcPr>
            <w:tcW w:w="2308" w:type="dxa"/>
          </w:tcPr>
          <w:p w:rsidR="00000000" w:rsidRDefault="00000000">
            <w:pPr>
              <w:pStyle w:val="table"/>
              <w:spacing w:line="240" w:lineRule="auto"/>
            </w:pPr>
            <w:r>
              <w:t>Социальные рабо</w:t>
            </w:r>
            <w:r>
              <w:t>т</w:t>
            </w:r>
            <w:r>
              <w:t>ники</w:t>
            </w:r>
          </w:p>
        </w:tc>
        <w:tc>
          <w:tcPr>
            <w:tcW w:w="1205" w:type="dxa"/>
            <w:vAlign w:val="bottom"/>
          </w:tcPr>
          <w:p w:rsidR="00000000" w:rsidRDefault="00000000">
            <w:pPr>
              <w:pStyle w:val="table"/>
              <w:tabs>
                <w:tab w:val="decimal" w:pos="823"/>
              </w:tabs>
              <w:spacing w:line="240" w:lineRule="auto"/>
            </w:pPr>
            <w:r>
              <w:t>253</w:t>
            </w:r>
          </w:p>
        </w:tc>
        <w:tc>
          <w:tcPr>
            <w:tcW w:w="1205" w:type="dxa"/>
            <w:vAlign w:val="bottom"/>
          </w:tcPr>
          <w:p w:rsidR="00000000" w:rsidRDefault="00000000">
            <w:pPr>
              <w:pStyle w:val="table"/>
              <w:tabs>
                <w:tab w:val="decimal" w:pos="823"/>
              </w:tabs>
              <w:spacing w:line="240" w:lineRule="auto"/>
            </w:pPr>
            <w:r>
              <w:t>220</w:t>
            </w:r>
          </w:p>
        </w:tc>
        <w:tc>
          <w:tcPr>
            <w:tcW w:w="1205" w:type="dxa"/>
            <w:vAlign w:val="bottom"/>
          </w:tcPr>
          <w:p w:rsidR="00000000" w:rsidRDefault="00000000">
            <w:pPr>
              <w:pStyle w:val="table"/>
              <w:tabs>
                <w:tab w:val="decimal" w:pos="567"/>
              </w:tabs>
              <w:spacing w:line="240" w:lineRule="auto"/>
            </w:pPr>
            <w:r>
              <w:t>7,4</w:t>
            </w:r>
          </w:p>
        </w:tc>
        <w:tc>
          <w:tcPr>
            <w:tcW w:w="1205" w:type="dxa"/>
            <w:vAlign w:val="bottom"/>
          </w:tcPr>
          <w:p w:rsidR="00000000" w:rsidRDefault="00000000">
            <w:pPr>
              <w:pStyle w:val="table"/>
              <w:tabs>
                <w:tab w:val="decimal" w:pos="567"/>
              </w:tabs>
              <w:spacing w:line="240" w:lineRule="auto"/>
            </w:pPr>
            <w:r>
              <w:t>87,0</w:t>
            </w:r>
          </w:p>
        </w:tc>
      </w:tr>
      <w:tr w:rsidR="00000000">
        <w:tblPrEx>
          <w:tblCellMar>
            <w:top w:w="0" w:type="dxa"/>
            <w:bottom w:w="0" w:type="dxa"/>
          </w:tblCellMar>
        </w:tblPrEx>
        <w:tc>
          <w:tcPr>
            <w:tcW w:w="2308" w:type="dxa"/>
          </w:tcPr>
          <w:p w:rsidR="00000000" w:rsidRDefault="00000000">
            <w:pPr>
              <w:pStyle w:val="table"/>
              <w:spacing w:line="240" w:lineRule="auto"/>
            </w:pPr>
            <w:r>
              <w:t>Сотрудники банковских (сберегательных) и страх</w:t>
            </w:r>
            <w:r>
              <w:t>о</w:t>
            </w:r>
            <w:r>
              <w:t>вых учрежд</w:t>
            </w:r>
            <w:r>
              <w:t>е</w:t>
            </w:r>
            <w:r>
              <w:t>ний</w:t>
            </w:r>
          </w:p>
        </w:tc>
        <w:tc>
          <w:tcPr>
            <w:tcW w:w="1205" w:type="dxa"/>
            <w:vAlign w:val="bottom"/>
          </w:tcPr>
          <w:p w:rsidR="00000000" w:rsidRDefault="00000000">
            <w:pPr>
              <w:pStyle w:val="table"/>
              <w:tabs>
                <w:tab w:val="decimal" w:pos="823"/>
              </w:tabs>
              <w:spacing w:line="240" w:lineRule="auto"/>
            </w:pPr>
            <w:r>
              <w:t>116</w:t>
            </w:r>
          </w:p>
        </w:tc>
        <w:tc>
          <w:tcPr>
            <w:tcW w:w="1205" w:type="dxa"/>
            <w:vAlign w:val="bottom"/>
          </w:tcPr>
          <w:p w:rsidR="00000000" w:rsidRDefault="00000000">
            <w:pPr>
              <w:pStyle w:val="table"/>
              <w:tabs>
                <w:tab w:val="decimal" w:pos="823"/>
              </w:tabs>
              <w:spacing w:line="240" w:lineRule="auto"/>
            </w:pPr>
            <w:r>
              <w:t>71</w:t>
            </w:r>
          </w:p>
        </w:tc>
        <w:tc>
          <w:tcPr>
            <w:tcW w:w="1205" w:type="dxa"/>
            <w:vAlign w:val="bottom"/>
          </w:tcPr>
          <w:p w:rsidR="00000000" w:rsidRDefault="00000000">
            <w:pPr>
              <w:pStyle w:val="table"/>
              <w:tabs>
                <w:tab w:val="decimal" w:pos="567"/>
              </w:tabs>
              <w:spacing w:line="240" w:lineRule="auto"/>
            </w:pPr>
            <w:r>
              <w:t>2,4</w:t>
            </w:r>
          </w:p>
        </w:tc>
        <w:tc>
          <w:tcPr>
            <w:tcW w:w="1205" w:type="dxa"/>
            <w:vAlign w:val="bottom"/>
          </w:tcPr>
          <w:p w:rsidR="00000000" w:rsidRDefault="00000000">
            <w:pPr>
              <w:pStyle w:val="table"/>
              <w:tabs>
                <w:tab w:val="decimal" w:pos="567"/>
              </w:tabs>
              <w:spacing w:line="240" w:lineRule="auto"/>
            </w:pPr>
            <w:r>
              <w:t>61,2</w:t>
            </w:r>
          </w:p>
        </w:tc>
      </w:tr>
      <w:tr w:rsidR="00000000">
        <w:tblPrEx>
          <w:tblCellMar>
            <w:top w:w="0" w:type="dxa"/>
            <w:bottom w:w="0" w:type="dxa"/>
          </w:tblCellMar>
        </w:tblPrEx>
        <w:tc>
          <w:tcPr>
            <w:tcW w:w="2308" w:type="dxa"/>
            <w:tcBorders>
              <w:bottom w:val="single" w:sz="12" w:space="0" w:color="auto"/>
            </w:tcBorders>
          </w:tcPr>
          <w:p w:rsidR="00000000" w:rsidRDefault="00000000">
            <w:pPr>
              <w:pStyle w:val="table"/>
              <w:spacing w:line="240" w:lineRule="auto"/>
            </w:pPr>
            <w:r>
              <w:t>Гостиничное и ресторанное дело</w:t>
            </w:r>
          </w:p>
        </w:tc>
        <w:tc>
          <w:tcPr>
            <w:tcW w:w="1205" w:type="dxa"/>
            <w:tcBorders>
              <w:bottom w:val="single" w:sz="12" w:space="0" w:color="auto"/>
            </w:tcBorders>
            <w:vAlign w:val="bottom"/>
          </w:tcPr>
          <w:p w:rsidR="00000000" w:rsidRDefault="00000000">
            <w:pPr>
              <w:pStyle w:val="table"/>
              <w:tabs>
                <w:tab w:val="decimal" w:pos="823"/>
              </w:tabs>
              <w:spacing w:line="240" w:lineRule="auto"/>
            </w:pPr>
            <w:r>
              <w:t>118</w:t>
            </w:r>
          </w:p>
        </w:tc>
        <w:tc>
          <w:tcPr>
            <w:tcW w:w="1205" w:type="dxa"/>
            <w:tcBorders>
              <w:bottom w:val="single" w:sz="12" w:space="0" w:color="auto"/>
            </w:tcBorders>
            <w:vAlign w:val="bottom"/>
          </w:tcPr>
          <w:p w:rsidR="00000000" w:rsidRDefault="00000000">
            <w:pPr>
              <w:pStyle w:val="table"/>
              <w:tabs>
                <w:tab w:val="decimal" w:pos="823"/>
              </w:tabs>
              <w:spacing w:line="240" w:lineRule="auto"/>
            </w:pPr>
            <w:r>
              <w:t>82</w:t>
            </w:r>
          </w:p>
        </w:tc>
        <w:tc>
          <w:tcPr>
            <w:tcW w:w="1205" w:type="dxa"/>
            <w:tcBorders>
              <w:bottom w:val="single" w:sz="12" w:space="0" w:color="auto"/>
            </w:tcBorders>
            <w:vAlign w:val="bottom"/>
          </w:tcPr>
          <w:p w:rsidR="00000000" w:rsidRDefault="00000000">
            <w:pPr>
              <w:pStyle w:val="table"/>
              <w:tabs>
                <w:tab w:val="decimal" w:pos="567"/>
              </w:tabs>
              <w:spacing w:line="240" w:lineRule="auto"/>
            </w:pPr>
            <w:r>
              <w:t>2,8</w:t>
            </w:r>
          </w:p>
        </w:tc>
        <w:tc>
          <w:tcPr>
            <w:tcW w:w="1205" w:type="dxa"/>
            <w:tcBorders>
              <w:bottom w:val="single" w:sz="12" w:space="0" w:color="auto"/>
            </w:tcBorders>
            <w:vAlign w:val="bottom"/>
          </w:tcPr>
          <w:p w:rsidR="00000000" w:rsidRDefault="00000000">
            <w:pPr>
              <w:pStyle w:val="table"/>
              <w:tabs>
                <w:tab w:val="decimal" w:pos="567"/>
              </w:tabs>
              <w:spacing w:line="240" w:lineRule="auto"/>
            </w:pPr>
            <w:r>
              <w:t>69,5</w:t>
            </w:r>
          </w:p>
        </w:tc>
      </w:tr>
    </w:tbl>
    <w:p w:rsidR="00000000" w:rsidRDefault="00000000">
      <w:pPr>
        <w:pStyle w:val="istochnik"/>
      </w:pPr>
      <w:r>
        <w:rPr>
          <w:i/>
        </w:rPr>
        <w:t>Источник</w:t>
      </w:r>
      <w:r>
        <w:t>: Федеральное статистическое управление</w:t>
      </w:r>
    </w:p>
    <w:p w:rsidR="00000000" w:rsidRDefault="00000000">
      <w:pPr>
        <w:pStyle w:val="H23"/>
      </w:pPr>
      <w:bookmarkStart w:id="693" w:name="_Toc44113558"/>
      <w:bookmarkStart w:id="694" w:name="_Toc44113859"/>
      <w:bookmarkStart w:id="695" w:name="_Toc44114367"/>
      <w:bookmarkStart w:id="696" w:name="_Toc44115613"/>
      <w:bookmarkStart w:id="697" w:name="_Toc44116045"/>
      <w:r>
        <w:t>Таблица 3.4: Сопоставление доходов мужчин и женщин</w:t>
      </w:r>
      <w:bookmarkEnd w:id="693"/>
      <w:bookmarkEnd w:id="694"/>
      <w:bookmarkEnd w:id="695"/>
      <w:bookmarkEnd w:id="696"/>
      <w:bookmarkEnd w:id="697"/>
    </w:p>
    <w:p w:rsidR="00000000" w:rsidRDefault="00000000">
      <w:pPr>
        <w:pStyle w:val="SingleTxt"/>
        <w:keepNext/>
      </w:pPr>
      <w:r>
        <w:t>1. Средняя общая месячная заработная плата лиц, занятых полный раб</w:t>
      </w:r>
      <w:r>
        <w:t>о</w:t>
      </w:r>
      <w:r>
        <w:t>чий день в промышленности*) в ЕВРО</w:t>
      </w:r>
    </w:p>
    <w:tbl>
      <w:tblPr>
        <w:tblW w:w="0" w:type="auto"/>
        <w:tblInd w:w="1158" w:type="dxa"/>
        <w:tblLayout w:type="fixed"/>
        <w:tblLook w:val="0000" w:firstRow="0" w:lastRow="0" w:firstColumn="0" w:lastColumn="0" w:noHBand="0" w:noVBand="0"/>
      </w:tblPr>
      <w:tblGrid>
        <w:gridCol w:w="1737"/>
        <w:gridCol w:w="1823"/>
        <w:gridCol w:w="1824"/>
        <w:gridCol w:w="2107"/>
      </w:tblGrid>
      <w:tr w:rsidR="00000000">
        <w:tblPrEx>
          <w:tblCellMar>
            <w:top w:w="0" w:type="dxa"/>
            <w:bottom w:w="0" w:type="dxa"/>
          </w:tblCellMar>
        </w:tblPrEx>
        <w:trPr>
          <w:tblHeader/>
        </w:trPr>
        <w:tc>
          <w:tcPr>
            <w:tcW w:w="1737" w:type="dxa"/>
            <w:tcBorders>
              <w:top w:val="single" w:sz="6" w:space="0" w:color="auto"/>
              <w:bottom w:val="single" w:sz="12" w:space="0" w:color="auto"/>
            </w:tcBorders>
            <w:vAlign w:val="center"/>
          </w:tcPr>
          <w:p w:rsidR="00000000" w:rsidRDefault="00000000">
            <w:pPr>
              <w:pStyle w:val="table"/>
              <w:keepNext/>
              <w:spacing w:line="240" w:lineRule="auto"/>
              <w:jc w:val="center"/>
              <w:rPr>
                <w:i/>
              </w:rPr>
            </w:pPr>
            <w:r>
              <w:rPr>
                <w:i/>
              </w:rPr>
              <w:t>Год 1)</w:t>
            </w:r>
          </w:p>
        </w:tc>
        <w:tc>
          <w:tcPr>
            <w:tcW w:w="1823" w:type="dxa"/>
            <w:tcBorders>
              <w:top w:val="single" w:sz="6" w:space="0" w:color="auto"/>
              <w:bottom w:val="single" w:sz="12" w:space="0" w:color="auto"/>
            </w:tcBorders>
            <w:vAlign w:val="center"/>
          </w:tcPr>
          <w:p w:rsidR="00000000" w:rsidRDefault="00000000">
            <w:pPr>
              <w:pStyle w:val="table"/>
              <w:keepNext/>
              <w:spacing w:line="240" w:lineRule="auto"/>
              <w:jc w:val="center"/>
              <w:rPr>
                <w:i/>
              </w:rPr>
            </w:pPr>
            <w:r>
              <w:rPr>
                <w:i/>
              </w:rPr>
              <w:t>Мужчины</w:t>
            </w:r>
          </w:p>
        </w:tc>
        <w:tc>
          <w:tcPr>
            <w:tcW w:w="1824" w:type="dxa"/>
            <w:tcBorders>
              <w:top w:val="single" w:sz="6" w:space="0" w:color="auto"/>
              <w:bottom w:val="single" w:sz="12" w:space="0" w:color="auto"/>
            </w:tcBorders>
            <w:vAlign w:val="center"/>
          </w:tcPr>
          <w:p w:rsidR="00000000" w:rsidRDefault="00000000">
            <w:pPr>
              <w:pStyle w:val="table"/>
              <w:keepNext/>
              <w:spacing w:line="240" w:lineRule="auto"/>
              <w:jc w:val="center"/>
              <w:rPr>
                <w:i/>
              </w:rPr>
            </w:pPr>
            <w:r>
              <w:rPr>
                <w:i/>
              </w:rPr>
              <w:t>Женщины</w:t>
            </w:r>
          </w:p>
        </w:tc>
        <w:tc>
          <w:tcPr>
            <w:tcW w:w="2107" w:type="dxa"/>
            <w:tcBorders>
              <w:top w:val="single" w:sz="6" w:space="0" w:color="auto"/>
              <w:bottom w:val="single" w:sz="12" w:space="0" w:color="auto"/>
            </w:tcBorders>
            <w:vAlign w:val="center"/>
          </w:tcPr>
          <w:p w:rsidR="00000000" w:rsidRDefault="00000000">
            <w:pPr>
              <w:pStyle w:val="table"/>
              <w:keepNext/>
              <w:spacing w:line="240" w:lineRule="auto"/>
              <w:jc w:val="center"/>
              <w:rPr>
                <w:i/>
              </w:rPr>
            </w:pPr>
            <w:r>
              <w:rPr>
                <w:i/>
              </w:rPr>
              <w:t>Доход женщин в соо</w:t>
            </w:r>
            <w:r>
              <w:rPr>
                <w:i/>
              </w:rPr>
              <w:t>т</w:t>
            </w:r>
            <w:r>
              <w:rPr>
                <w:i/>
              </w:rPr>
              <w:t>ношении с доходом мужчин в проце</w:t>
            </w:r>
            <w:r>
              <w:rPr>
                <w:i/>
              </w:rPr>
              <w:t>н</w:t>
            </w:r>
            <w:r>
              <w:rPr>
                <w:i/>
              </w:rPr>
              <w:t>тах</w:t>
            </w:r>
          </w:p>
        </w:tc>
      </w:tr>
      <w:tr w:rsidR="00000000">
        <w:tblPrEx>
          <w:tblCellMar>
            <w:top w:w="0" w:type="dxa"/>
            <w:bottom w:w="0" w:type="dxa"/>
          </w:tblCellMar>
        </w:tblPrEx>
        <w:tc>
          <w:tcPr>
            <w:tcW w:w="7491" w:type="dxa"/>
            <w:gridSpan w:val="4"/>
            <w:tcBorders>
              <w:top w:val="single" w:sz="12" w:space="0" w:color="auto"/>
            </w:tcBorders>
          </w:tcPr>
          <w:p w:rsidR="00000000" w:rsidRDefault="00000000">
            <w:pPr>
              <w:pStyle w:val="table"/>
              <w:keepNext/>
              <w:spacing w:line="240" w:lineRule="auto"/>
            </w:pPr>
            <w:r>
              <w:t>Прежняя федеральная территория</w:t>
            </w:r>
          </w:p>
        </w:tc>
      </w:tr>
      <w:tr w:rsidR="00000000">
        <w:tblPrEx>
          <w:tblCellMar>
            <w:top w:w="0" w:type="dxa"/>
            <w:bottom w:w="0" w:type="dxa"/>
          </w:tblCellMar>
        </w:tblPrEx>
        <w:tc>
          <w:tcPr>
            <w:tcW w:w="1737" w:type="dxa"/>
          </w:tcPr>
          <w:p w:rsidR="00000000" w:rsidRDefault="00000000">
            <w:pPr>
              <w:pStyle w:val="table"/>
              <w:spacing w:line="240" w:lineRule="auto"/>
            </w:pPr>
            <w:r>
              <w:t>1960</w:t>
            </w:r>
          </w:p>
        </w:tc>
        <w:tc>
          <w:tcPr>
            <w:tcW w:w="1823" w:type="dxa"/>
          </w:tcPr>
          <w:p w:rsidR="00000000" w:rsidRDefault="00000000">
            <w:pPr>
              <w:pStyle w:val="table"/>
              <w:tabs>
                <w:tab w:val="decimal" w:pos="827"/>
              </w:tabs>
              <w:spacing w:line="240" w:lineRule="auto"/>
            </w:pPr>
            <w:r>
              <w:t>295</w:t>
            </w:r>
          </w:p>
        </w:tc>
        <w:tc>
          <w:tcPr>
            <w:tcW w:w="1824" w:type="dxa"/>
          </w:tcPr>
          <w:p w:rsidR="00000000" w:rsidRDefault="00000000">
            <w:pPr>
              <w:pStyle w:val="table"/>
              <w:tabs>
                <w:tab w:val="decimal" w:pos="827"/>
              </w:tabs>
              <w:spacing w:line="240" w:lineRule="auto"/>
            </w:pPr>
            <w:r>
              <w:t>176</w:t>
            </w:r>
          </w:p>
        </w:tc>
        <w:tc>
          <w:tcPr>
            <w:tcW w:w="2107" w:type="dxa"/>
          </w:tcPr>
          <w:p w:rsidR="00000000" w:rsidRDefault="00000000">
            <w:pPr>
              <w:pStyle w:val="table"/>
              <w:tabs>
                <w:tab w:val="decimal" w:pos="827"/>
              </w:tabs>
              <w:spacing w:line="240" w:lineRule="auto"/>
            </w:pPr>
            <w:r>
              <w:t>59,4</w:t>
            </w:r>
          </w:p>
        </w:tc>
      </w:tr>
      <w:tr w:rsidR="00000000">
        <w:tblPrEx>
          <w:tblCellMar>
            <w:top w:w="0" w:type="dxa"/>
            <w:bottom w:w="0" w:type="dxa"/>
          </w:tblCellMar>
        </w:tblPrEx>
        <w:tc>
          <w:tcPr>
            <w:tcW w:w="1737" w:type="dxa"/>
          </w:tcPr>
          <w:p w:rsidR="00000000" w:rsidRDefault="00000000">
            <w:pPr>
              <w:pStyle w:val="table"/>
              <w:spacing w:line="240" w:lineRule="auto"/>
            </w:pPr>
            <w:r>
              <w:t>1970</w:t>
            </w:r>
          </w:p>
        </w:tc>
        <w:tc>
          <w:tcPr>
            <w:tcW w:w="1823" w:type="dxa"/>
          </w:tcPr>
          <w:p w:rsidR="00000000" w:rsidRDefault="00000000">
            <w:pPr>
              <w:pStyle w:val="table"/>
              <w:tabs>
                <w:tab w:val="decimal" w:pos="827"/>
              </w:tabs>
              <w:spacing w:line="240" w:lineRule="auto"/>
            </w:pPr>
            <w:r>
              <w:t>646</w:t>
            </w:r>
          </w:p>
        </w:tc>
        <w:tc>
          <w:tcPr>
            <w:tcW w:w="1824" w:type="dxa"/>
          </w:tcPr>
          <w:p w:rsidR="00000000" w:rsidRDefault="00000000">
            <w:pPr>
              <w:pStyle w:val="table"/>
              <w:tabs>
                <w:tab w:val="decimal" w:pos="827"/>
              </w:tabs>
              <w:spacing w:line="240" w:lineRule="auto"/>
            </w:pPr>
            <w:r>
              <w:t>398</w:t>
            </w:r>
          </w:p>
        </w:tc>
        <w:tc>
          <w:tcPr>
            <w:tcW w:w="2107" w:type="dxa"/>
          </w:tcPr>
          <w:p w:rsidR="00000000" w:rsidRDefault="00000000">
            <w:pPr>
              <w:pStyle w:val="table"/>
              <w:tabs>
                <w:tab w:val="decimal" w:pos="827"/>
              </w:tabs>
              <w:spacing w:line="240" w:lineRule="auto"/>
            </w:pPr>
            <w:r>
              <w:t>61,5</w:t>
            </w:r>
          </w:p>
        </w:tc>
      </w:tr>
      <w:tr w:rsidR="00000000">
        <w:tblPrEx>
          <w:tblCellMar>
            <w:top w:w="0" w:type="dxa"/>
            <w:bottom w:w="0" w:type="dxa"/>
          </w:tblCellMar>
        </w:tblPrEx>
        <w:tc>
          <w:tcPr>
            <w:tcW w:w="1737" w:type="dxa"/>
          </w:tcPr>
          <w:p w:rsidR="00000000" w:rsidRDefault="00000000">
            <w:pPr>
              <w:pStyle w:val="table"/>
              <w:spacing w:line="240" w:lineRule="auto"/>
            </w:pPr>
            <w:r>
              <w:t>1980</w:t>
            </w:r>
          </w:p>
        </w:tc>
        <w:tc>
          <w:tcPr>
            <w:tcW w:w="1823" w:type="dxa"/>
          </w:tcPr>
          <w:p w:rsidR="00000000" w:rsidRDefault="00000000">
            <w:pPr>
              <w:pStyle w:val="table"/>
              <w:tabs>
                <w:tab w:val="decimal" w:pos="827"/>
              </w:tabs>
              <w:spacing w:line="240" w:lineRule="auto"/>
            </w:pPr>
            <w:r>
              <w:t>1315</w:t>
            </w:r>
          </w:p>
        </w:tc>
        <w:tc>
          <w:tcPr>
            <w:tcW w:w="1824" w:type="dxa"/>
          </w:tcPr>
          <w:p w:rsidR="00000000" w:rsidRDefault="00000000">
            <w:pPr>
              <w:pStyle w:val="table"/>
              <w:tabs>
                <w:tab w:val="decimal" w:pos="827"/>
              </w:tabs>
              <w:spacing w:line="240" w:lineRule="auto"/>
            </w:pPr>
            <w:r>
              <w:t>893</w:t>
            </w:r>
          </w:p>
        </w:tc>
        <w:tc>
          <w:tcPr>
            <w:tcW w:w="2107" w:type="dxa"/>
          </w:tcPr>
          <w:p w:rsidR="00000000" w:rsidRDefault="00000000">
            <w:pPr>
              <w:pStyle w:val="table"/>
              <w:tabs>
                <w:tab w:val="decimal" w:pos="827"/>
              </w:tabs>
              <w:spacing w:line="240" w:lineRule="auto"/>
            </w:pPr>
            <w:r>
              <w:t>67,9</w:t>
            </w:r>
          </w:p>
        </w:tc>
      </w:tr>
      <w:tr w:rsidR="00000000">
        <w:tblPrEx>
          <w:tblCellMar>
            <w:top w:w="0" w:type="dxa"/>
            <w:bottom w:w="0" w:type="dxa"/>
          </w:tblCellMar>
        </w:tblPrEx>
        <w:tc>
          <w:tcPr>
            <w:tcW w:w="1737" w:type="dxa"/>
          </w:tcPr>
          <w:p w:rsidR="00000000" w:rsidRDefault="00000000">
            <w:pPr>
              <w:pStyle w:val="table"/>
              <w:spacing w:line="240" w:lineRule="auto"/>
            </w:pPr>
            <w:r>
              <w:t>1990</w:t>
            </w:r>
          </w:p>
        </w:tc>
        <w:tc>
          <w:tcPr>
            <w:tcW w:w="1823" w:type="dxa"/>
          </w:tcPr>
          <w:p w:rsidR="00000000" w:rsidRDefault="00000000">
            <w:pPr>
              <w:pStyle w:val="table"/>
              <w:tabs>
                <w:tab w:val="decimal" w:pos="827"/>
              </w:tabs>
              <w:spacing w:line="240" w:lineRule="auto"/>
            </w:pPr>
            <w:r>
              <w:t>1866</w:t>
            </w:r>
          </w:p>
        </w:tc>
        <w:tc>
          <w:tcPr>
            <w:tcW w:w="1824" w:type="dxa"/>
          </w:tcPr>
          <w:p w:rsidR="00000000" w:rsidRDefault="00000000">
            <w:pPr>
              <w:pStyle w:val="table"/>
              <w:tabs>
                <w:tab w:val="decimal" w:pos="827"/>
              </w:tabs>
              <w:spacing w:line="240" w:lineRule="auto"/>
            </w:pPr>
            <w:r>
              <w:t>1311</w:t>
            </w:r>
          </w:p>
        </w:tc>
        <w:tc>
          <w:tcPr>
            <w:tcW w:w="2107" w:type="dxa"/>
          </w:tcPr>
          <w:p w:rsidR="00000000" w:rsidRDefault="00000000">
            <w:pPr>
              <w:pStyle w:val="table"/>
              <w:tabs>
                <w:tab w:val="decimal" w:pos="827"/>
              </w:tabs>
              <w:spacing w:line="240" w:lineRule="auto"/>
            </w:pPr>
            <w:r>
              <w:t>70,2</w:t>
            </w:r>
          </w:p>
        </w:tc>
      </w:tr>
      <w:tr w:rsidR="00000000">
        <w:tblPrEx>
          <w:tblCellMar>
            <w:top w:w="0" w:type="dxa"/>
            <w:bottom w:w="0" w:type="dxa"/>
          </w:tblCellMar>
        </w:tblPrEx>
        <w:tc>
          <w:tcPr>
            <w:tcW w:w="1737" w:type="dxa"/>
          </w:tcPr>
          <w:p w:rsidR="00000000" w:rsidRDefault="00000000">
            <w:pPr>
              <w:pStyle w:val="table"/>
              <w:spacing w:line="240" w:lineRule="auto"/>
            </w:pPr>
            <w:r>
              <w:t>1991</w:t>
            </w:r>
          </w:p>
        </w:tc>
        <w:tc>
          <w:tcPr>
            <w:tcW w:w="1823" w:type="dxa"/>
          </w:tcPr>
          <w:p w:rsidR="00000000" w:rsidRDefault="00000000">
            <w:pPr>
              <w:pStyle w:val="table"/>
              <w:tabs>
                <w:tab w:val="decimal" w:pos="827"/>
              </w:tabs>
              <w:spacing w:line="240" w:lineRule="auto"/>
            </w:pPr>
            <w:r>
              <w:t>1959</w:t>
            </w:r>
          </w:p>
        </w:tc>
        <w:tc>
          <w:tcPr>
            <w:tcW w:w="1824" w:type="dxa"/>
          </w:tcPr>
          <w:p w:rsidR="00000000" w:rsidRDefault="00000000">
            <w:pPr>
              <w:pStyle w:val="table"/>
              <w:tabs>
                <w:tab w:val="decimal" w:pos="827"/>
              </w:tabs>
              <w:spacing w:line="240" w:lineRule="auto"/>
            </w:pPr>
            <w:r>
              <w:t>1391</w:t>
            </w:r>
          </w:p>
        </w:tc>
        <w:tc>
          <w:tcPr>
            <w:tcW w:w="2107" w:type="dxa"/>
          </w:tcPr>
          <w:p w:rsidR="00000000" w:rsidRDefault="00000000">
            <w:pPr>
              <w:pStyle w:val="table"/>
              <w:tabs>
                <w:tab w:val="decimal" w:pos="827"/>
              </w:tabs>
              <w:spacing w:line="240" w:lineRule="auto"/>
            </w:pPr>
            <w:r>
              <w:t>71,0</w:t>
            </w:r>
          </w:p>
        </w:tc>
      </w:tr>
      <w:tr w:rsidR="00000000">
        <w:tblPrEx>
          <w:tblCellMar>
            <w:top w:w="0" w:type="dxa"/>
            <w:bottom w:w="0" w:type="dxa"/>
          </w:tblCellMar>
        </w:tblPrEx>
        <w:tc>
          <w:tcPr>
            <w:tcW w:w="1737" w:type="dxa"/>
          </w:tcPr>
          <w:p w:rsidR="00000000" w:rsidRDefault="00000000">
            <w:pPr>
              <w:pStyle w:val="table"/>
              <w:spacing w:line="240" w:lineRule="auto"/>
            </w:pPr>
            <w:r>
              <w:t>1992</w:t>
            </w:r>
          </w:p>
        </w:tc>
        <w:tc>
          <w:tcPr>
            <w:tcW w:w="1823" w:type="dxa"/>
          </w:tcPr>
          <w:p w:rsidR="00000000" w:rsidRDefault="00000000">
            <w:pPr>
              <w:pStyle w:val="table"/>
              <w:tabs>
                <w:tab w:val="decimal" w:pos="827"/>
              </w:tabs>
              <w:spacing w:line="240" w:lineRule="auto"/>
            </w:pPr>
            <w:r>
              <w:t>2055</w:t>
            </w:r>
          </w:p>
        </w:tc>
        <w:tc>
          <w:tcPr>
            <w:tcW w:w="1824" w:type="dxa"/>
          </w:tcPr>
          <w:p w:rsidR="00000000" w:rsidRDefault="00000000">
            <w:pPr>
              <w:pStyle w:val="table"/>
              <w:tabs>
                <w:tab w:val="decimal" w:pos="827"/>
              </w:tabs>
              <w:spacing w:line="240" w:lineRule="auto"/>
            </w:pPr>
            <w:r>
              <w:t>1462</w:t>
            </w:r>
          </w:p>
        </w:tc>
        <w:tc>
          <w:tcPr>
            <w:tcW w:w="2107" w:type="dxa"/>
          </w:tcPr>
          <w:p w:rsidR="00000000" w:rsidRDefault="00000000">
            <w:pPr>
              <w:pStyle w:val="table"/>
              <w:tabs>
                <w:tab w:val="decimal" w:pos="827"/>
              </w:tabs>
              <w:spacing w:line="240" w:lineRule="auto"/>
            </w:pPr>
            <w:r>
              <w:t>71,1</w:t>
            </w:r>
          </w:p>
        </w:tc>
      </w:tr>
      <w:tr w:rsidR="00000000">
        <w:tblPrEx>
          <w:tblCellMar>
            <w:top w:w="0" w:type="dxa"/>
            <w:bottom w:w="0" w:type="dxa"/>
          </w:tblCellMar>
        </w:tblPrEx>
        <w:tc>
          <w:tcPr>
            <w:tcW w:w="1737" w:type="dxa"/>
          </w:tcPr>
          <w:p w:rsidR="00000000" w:rsidRDefault="00000000">
            <w:pPr>
              <w:pStyle w:val="table"/>
              <w:spacing w:line="240" w:lineRule="auto"/>
            </w:pPr>
            <w:r>
              <w:t>1993</w:t>
            </w:r>
          </w:p>
        </w:tc>
        <w:tc>
          <w:tcPr>
            <w:tcW w:w="1823" w:type="dxa"/>
          </w:tcPr>
          <w:p w:rsidR="00000000" w:rsidRDefault="00000000">
            <w:pPr>
              <w:pStyle w:val="table"/>
              <w:tabs>
                <w:tab w:val="decimal" w:pos="827"/>
              </w:tabs>
              <w:spacing w:line="240" w:lineRule="auto"/>
            </w:pPr>
            <w:r>
              <w:t>2099</w:t>
            </w:r>
          </w:p>
        </w:tc>
        <w:tc>
          <w:tcPr>
            <w:tcW w:w="1824" w:type="dxa"/>
          </w:tcPr>
          <w:p w:rsidR="00000000" w:rsidRDefault="00000000">
            <w:pPr>
              <w:pStyle w:val="table"/>
              <w:tabs>
                <w:tab w:val="decimal" w:pos="827"/>
              </w:tabs>
              <w:spacing w:line="240" w:lineRule="auto"/>
            </w:pPr>
            <w:r>
              <w:t>1506</w:t>
            </w:r>
          </w:p>
        </w:tc>
        <w:tc>
          <w:tcPr>
            <w:tcW w:w="2107" w:type="dxa"/>
          </w:tcPr>
          <w:p w:rsidR="00000000" w:rsidRDefault="00000000">
            <w:pPr>
              <w:pStyle w:val="table"/>
              <w:tabs>
                <w:tab w:val="decimal" w:pos="827"/>
              </w:tabs>
              <w:spacing w:line="240" w:lineRule="auto"/>
            </w:pPr>
            <w:r>
              <w:t>71,7</w:t>
            </w:r>
          </w:p>
        </w:tc>
      </w:tr>
      <w:tr w:rsidR="00000000">
        <w:tblPrEx>
          <w:tblCellMar>
            <w:top w:w="0" w:type="dxa"/>
            <w:bottom w:w="0" w:type="dxa"/>
          </w:tblCellMar>
        </w:tblPrEx>
        <w:tc>
          <w:tcPr>
            <w:tcW w:w="1737" w:type="dxa"/>
          </w:tcPr>
          <w:p w:rsidR="00000000" w:rsidRDefault="00000000">
            <w:pPr>
              <w:pStyle w:val="table"/>
              <w:spacing w:line="240" w:lineRule="auto"/>
            </w:pPr>
            <w:r>
              <w:t>1994</w:t>
            </w:r>
          </w:p>
        </w:tc>
        <w:tc>
          <w:tcPr>
            <w:tcW w:w="1823" w:type="dxa"/>
          </w:tcPr>
          <w:p w:rsidR="00000000" w:rsidRDefault="00000000">
            <w:pPr>
              <w:pStyle w:val="table"/>
              <w:tabs>
                <w:tab w:val="decimal" w:pos="827"/>
              </w:tabs>
              <w:spacing w:line="240" w:lineRule="auto"/>
            </w:pPr>
            <w:r>
              <w:t>2190</w:t>
            </w:r>
          </w:p>
        </w:tc>
        <w:tc>
          <w:tcPr>
            <w:tcW w:w="1824" w:type="dxa"/>
          </w:tcPr>
          <w:p w:rsidR="00000000" w:rsidRDefault="00000000">
            <w:pPr>
              <w:pStyle w:val="table"/>
              <w:tabs>
                <w:tab w:val="decimal" w:pos="827"/>
              </w:tabs>
              <w:spacing w:line="240" w:lineRule="auto"/>
            </w:pPr>
            <w:r>
              <w:t>1571</w:t>
            </w:r>
          </w:p>
        </w:tc>
        <w:tc>
          <w:tcPr>
            <w:tcW w:w="2107" w:type="dxa"/>
          </w:tcPr>
          <w:p w:rsidR="00000000" w:rsidRDefault="00000000">
            <w:pPr>
              <w:pStyle w:val="table"/>
              <w:tabs>
                <w:tab w:val="decimal" w:pos="827"/>
              </w:tabs>
              <w:spacing w:line="240" w:lineRule="auto"/>
            </w:pPr>
            <w:r>
              <w:t>71,7</w:t>
            </w:r>
          </w:p>
        </w:tc>
      </w:tr>
      <w:tr w:rsidR="00000000">
        <w:tblPrEx>
          <w:tblCellMar>
            <w:top w:w="0" w:type="dxa"/>
            <w:bottom w:w="0" w:type="dxa"/>
          </w:tblCellMar>
        </w:tblPrEx>
        <w:tc>
          <w:tcPr>
            <w:tcW w:w="1737" w:type="dxa"/>
          </w:tcPr>
          <w:p w:rsidR="00000000" w:rsidRDefault="00000000">
            <w:pPr>
              <w:pStyle w:val="table"/>
              <w:spacing w:line="240" w:lineRule="auto"/>
            </w:pPr>
            <w:r>
              <w:t>1995</w:t>
            </w:r>
          </w:p>
        </w:tc>
        <w:tc>
          <w:tcPr>
            <w:tcW w:w="1823" w:type="dxa"/>
          </w:tcPr>
          <w:p w:rsidR="00000000" w:rsidRDefault="00000000">
            <w:pPr>
              <w:pStyle w:val="table"/>
              <w:tabs>
                <w:tab w:val="decimal" w:pos="827"/>
              </w:tabs>
              <w:spacing w:line="240" w:lineRule="auto"/>
            </w:pPr>
            <w:r>
              <w:t>2275</w:t>
            </w:r>
          </w:p>
        </w:tc>
        <w:tc>
          <w:tcPr>
            <w:tcW w:w="1824" w:type="dxa"/>
          </w:tcPr>
          <w:p w:rsidR="00000000" w:rsidRDefault="00000000">
            <w:pPr>
              <w:pStyle w:val="table"/>
              <w:tabs>
                <w:tab w:val="decimal" w:pos="827"/>
              </w:tabs>
              <w:spacing w:line="240" w:lineRule="auto"/>
            </w:pPr>
            <w:r>
              <w:t>1631</w:t>
            </w:r>
          </w:p>
        </w:tc>
        <w:tc>
          <w:tcPr>
            <w:tcW w:w="2107" w:type="dxa"/>
          </w:tcPr>
          <w:p w:rsidR="00000000" w:rsidRDefault="00000000">
            <w:pPr>
              <w:pStyle w:val="table"/>
              <w:tabs>
                <w:tab w:val="decimal" w:pos="827"/>
              </w:tabs>
              <w:spacing w:line="240" w:lineRule="auto"/>
            </w:pPr>
            <w:r>
              <w:t>71,7</w:t>
            </w:r>
          </w:p>
        </w:tc>
      </w:tr>
      <w:tr w:rsidR="00000000">
        <w:tblPrEx>
          <w:tblCellMar>
            <w:top w:w="0" w:type="dxa"/>
            <w:bottom w:w="0" w:type="dxa"/>
          </w:tblCellMar>
        </w:tblPrEx>
        <w:tc>
          <w:tcPr>
            <w:tcW w:w="1737" w:type="dxa"/>
          </w:tcPr>
          <w:p w:rsidR="00000000" w:rsidRDefault="00000000">
            <w:pPr>
              <w:pStyle w:val="table"/>
              <w:spacing w:line="240" w:lineRule="auto"/>
            </w:pPr>
            <w:r>
              <w:t>1996</w:t>
            </w:r>
          </w:p>
        </w:tc>
        <w:tc>
          <w:tcPr>
            <w:tcW w:w="1823" w:type="dxa"/>
          </w:tcPr>
          <w:p w:rsidR="00000000" w:rsidRDefault="00000000">
            <w:pPr>
              <w:pStyle w:val="table"/>
              <w:tabs>
                <w:tab w:val="decimal" w:pos="827"/>
              </w:tabs>
              <w:spacing w:line="240" w:lineRule="auto"/>
            </w:pPr>
            <w:r>
              <w:t>2293</w:t>
            </w:r>
          </w:p>
        </w:tc>
        <w:tc>
          <w:tcPr>
            <w:tcW w:w="1824" w:type="dxa"/>
          </w:tcPr>
          <w:p w:rsidR="00000000" w:rsidRDefault="00000000">
            <w:pPr>
              <w:pStyle w:val="table"/>
              <w:tabs>
                <w:tab w:val="decimal" w:pos="827"/>
              </w:tabs>
              <w:spacing w:line="240" w:lineRule="auto"/>
            </w:pPr>
            <w:r>
              <w:t>1664</w:t>
            </w:r>
          </w:p>
        </w:tc>
        <w:tc>
          <w:tcPr>
            <w:tcW w:w="2107" w:type="dxa"/>
          </w:tcPr>
          <w:p w:rsidR="00000000" w:rsidRDefault="00000000">
            <w:pPr>
              <w:pStyle w:val="table"/>
              <w:tabs>
                <w:tab w:val="decimal" w:pos="827"/>
              </w:tabs>
              <w:spacing w:line="240" w:lineRule="auto"/>
            </w:pPr>
            <w:r>
              <w:t>72,6</w:t>
            </w:r>
          </w:p>
        </w:tc>
      </w:tr>
      <w:tr w:rsidR="00000000">
        <w:tblPrEx>
          <w:tblCellMar>
            <w:top w:w="0" w:type="dxa"/>
            <w:bottom w:w="0" w:type="dxa"/>
          </w:tblCellMar>
        </w:tblPrEx>
        <w:tc>
          <w:tcPr>
            <w:tcW w:w="1737" w:type="dxa"/>
          </w:tcPr>
          <w:p w:rsidR="00000000" w:rsidRDefault="00000000">
            <w:pPr>
              <w:pStyle w:val="table"/>
              <w:spacing w:line="240" w:lineRule="auto"/>
            </w:pPr>
            <w:r>
              <w:t>1997</w:t>
            </w:r>
          </w:p>
        </w:tc>
        <w:tc>
          <w:tcPr>
            <w:tcW w:w="1823" w:type="dxa"/>
          </w:tcPr>
          <w:p w:rsidR="00000000" w:rsidRDefault="00000000">
            <w:pPr>
              <w:pStyle w:val="table"/>
              <w:tabs>
                <w:tab w:val="decimal" w:pos="827"/>
              </w:tabs>
              <w:spacing w:line="240" w:lineRule="auto"/>
            </w:pPr>
            <w:r>
              <w:t>2319</w:t>
            </w:r>
          </w:p>
        </w:tc>
        <w:tc>
          <w:tcPr>
            <w:tcW w:w="1824" w:type="dxa"/>
          </w:tcPr>
          <w:p w:rsidR="00000000" w:rsidRDefault="00000000">
            <w:pPr>
              <w:pStyle w:val="table"/>
              <w:tabs>
                <w:tab w:val="decimal" w:pos="827"/>
              </w:tabs>
              <w:spacing w:line="240" w:lineRule="auto"/>
            </w:pPr>
            <w:r>
              <w:t>1691</w:t>
            </w:r>
          </w:p>
        </w:tc>
        <w:tc>
          <w:tcPr>
            <w:tcW w:w="2107" w:type="dxa"/>
          </w:tcPr>
          <w:p w:rsidR="00000000" w:rsidRDefault="00000000">
            <w:pPr>
              <w:pStyle w:val="table"/>
              <w:tabs>
                <w:tab w:val="decimal" w:pos="827"/>
              </w:tabs>
              <w:spacing w:line="240" w:lineRule="auto"/>
            </w:pPr>
            <w:r>
              <w:t>72,9</w:t>
            </w:r>
          </w:p>
        </w:tc>
      </w:tr>
      <w:tr w:rsidR="00000000">
        <w:tblPrEx>
          <w:tblCellMar>
            <w:top w:w="0" w:type="dxa"/>
            <w:bottom w:w="0" w:type="dxa"/>
          </w:tblCellMar>
        </w:tblPrEx>
        <w:tc>
          <w:tcPr>
            <w:tcW w:w="1737" w:type="dxa"/>
          </w:tcPr>
          <w:p w:rsidR="00000000" w:rsidRDefault="00000000">
            <w:pPr>
              <w:pStyle w:val="table"/>
              <w:spacing w:line="240" w:lineRule="auto"/>
            </w:pPr>
            <w:r>
              <w:t>1998</w:t>
            </w:r>
          </w:p>
        </w:tc>
        <w:tc>
          <w:tcPr>
            <w:tcW w:w="1823" w:type="dxa"/>
          </w:tcPr>
          <w:p w:rsidR="00000000" w:rsidRDefault="00000000">
            <w:pPr>
              <w:pStyle w:val="table"/>
              <w:tabs>
                <w:tab w:val="decimal" w:pos="827"/>
              </w:tabs>
              <w:spacing w:line="240" w:lineRule="auto"/>
            </w:pPr>
            <w:r>
              <w:t>2370</w:t>
            </w:r>
          </w:p>
        </w:tc>
        <w:tc>
          <w:tcPr>
            <w:tcW w:w="1824" w:type="dxa"/>
          </w:tcPr>
          <w:p w:rsidR="00000000" w:rsidRDefault="00000000">
            <w:pPr>
              <w:pStyle w:val="table"/>
              <w:tabs>
                <w:tab w:val="decimal" w:pos="827"/>
              </w:tabs>
              <w:spacing w:line="240" w:lineRule="auto"/>
            </w:pPr>
            <w:r>
              <w:t>1737</w:t>
            </w:r>
          </w:p>
        </w:tc>
        <w:tc>
          <w:tcPr>
            <w:tcW w:w="2107" w:type="dxa"/>
          </w:tcPr>
          <w:p w:rsidR="00000000" w:rsidRDefault="00000000">
            <w:pPr>
              <w:pStyle w:val="table"/>
              <w:tabs>
                <w:tab w:val="decimal" w:pos="827"/>
              </w:tabs>
              <w:spacing w:line="240" w:lineRule="auto"/>
            </w:pPr>
            <w:r>
              <w:t>73,3</w:t>
            </w:r>
          </w:p>
        </w:tc>
      </w:tr>
      <w:tr w:rsidR="00000000">
        <w:tblPrEx>
          <w:tblCellMar>
            <w:top w:w="0" w:type="dxa"/>
            <w:bottom w:w="0" w:type="dxa"/>
          </w:tblCellMar>
        </w:tblPrEx>
        <w:tc>
          <w:tcPr>
            <w:tcW w:w="1737" w:type="dxa"/>
          </w:tcPr>
          <w:p w:rsidR="00000000" w:rsidRDefault="00000000">
            <w:pPr>
              <w:pStyle w:val="table"/>
              <w:spacing w:line="240" w:lineRule="auto"/>
            </w:pPr>
            <w:r>
              <w:t>1999</w:t>
            </w:r>
          </w:p>
        </w:tc>
        <w:tc>
          <w:tcPr>
            <w:tcW w:w="1823" w:type="dxa"/>
          </w:tcPr>
          <w:p w:rsidR="00000000" w:rsidRDefault="00000000">
            <w:pPr>
              <w:pStyle w:val="table"/>
              <w:tabs>
                <w:tab w:val="decimal" w:pos="827"/>
              </w:tabs>
              <w:spacing w:line="240" w:lineRule="auto"/>
            </w:pPr>
            <w:r>
              <w:t>2426</w:t>
            </w:r>
          </w:p>
        </w:tc>
        <w:tc>
          <w:tcPr>
            <w:tcW w:w="1824" w:type="dxa"/>
          </w:tcPr>
          <w:p w:rsidR="00000000" w:rsidRDefault="00000000">
            <w:pPr>
              <w:pStyle w:val="table"/>
              <w:tabs>
                <w:tab w:val="decimal" w:pos="827"/>
              </w:tabs>
              <w:spacing w:line="240" w:lineRule="auto"/>
            </w:pPr>
            <w:r>
              <w:t>1791</w:t>
            </w:r>
          </w:p>
        </w:tc>
        <w:tc>
          <w:tcPr>
            <w:tcW w:w="2107" w:type="dxa"/>
          </w:tcPr>
          <w:p w:rsidR="00000000" w:rsidRDefault="00000000">
            <w:pPr>
              <w:pStyle w:val="table"/>
              <w:tabs>
                <w:tab w:val="decimal" w:pos="827"/>
              </w:tabs>
              <w:spacing w:line="240" w:lineRule="auto"/>
            </w:pPr>
            <w:r>
              <w:t>73,8</w:t>
            </w:r>
          </w:p>
        </w:tc>
      </w:tr>
      <w:tr w:rsidR="00000000">
        <w:tblPrEx>
          <w:tblCellMar>
            <w:top w:w="0" w:type="dxa"/>
            <w:bottom w:w="0" w:type="dxa"/>
          </w:tblCellMar>
        </w:tblPrEx>
        <w:tc>
          <w:tcPr>
            <w:tcW w:w="1737" w:type="dxa"/>
          </w:tcPr>
          <w:p w:rsidR="00000000" w:rsidRDefault="00000000">
            <w:pPr>
              <w:pStyle w:val="table"/>
              <w:spacing w:line="240" w:lineRule="auto"/>
            </w:pPr>
            <w:r>
              <w:t>2000</w:t>
            </w:r>
          </w:p>
        </w:tc>
        <w:tc>
          <w:tcPr>
            <w:tcW w:w="1823" w:type="dxa"/>
          </w:tcPr>
          <w:p w:rsidR="00000000" w:rsidRDefault="00000000">
            <w:pPr>
              <w:pStyle w:val="table"/>
              <w:tabs>
                <w:tab w:val="decimal" w:pos="827"/>
              </w:tabs>
              <w:spacing w:line="240" w:lineRule="auto"/>
            </w:pPr>
            <w:r>
              <w:t>2499</w:t>
            </w:r>
          </w:p>
        </w:tc>
        <w:tc>
          <w:tcPr>
            <w:tcW w:w="1824" w:type="dxa"/>
          </w:tcPr>
          <w:p w:rsidR="00000000" w:rsidRDefault="00000000">
            <w:pPr>
              <w:pStyle w:val="table"/>
              <w:tabs>
                <w:tab w:val="decimal" w:pos="827"/>
              </w:tabs>
              <w:spacing w:line="240" w:lineRule="auto"/>
            </w:pPr>
            <w:r>
              <w:t>1842</w:t>
            </w:r>
          </w:p>
        </w:tc>
        <w:tc>
          <w:tcPr>
            <w:tcW w:w="2107" w:type="dxa"/>
          </w:tcPr>
          <w:p w:rsidR="00000000" w:rsidRDefault="00000000">
            <w:pPr>
              <w:pStyle w:val="table"/>
              <w:tabs>
                <w:tab w:val="decimal" w:pos="827"/>
              </w:tabs>
              <w:spacing w:line="240" w:lineRule="auto"/>
            </w:pPr>
            <w:r>
              <w:t>73,7</w:t>
            </w:r>
          </w:p>
        </w:tc>
      </w:tr>
      <w:tr w:rsidR="00000000">
        <w:tblPrEx>
          <w:tblCellMar>
            <w:top w:w="0" w:type="dxa"/>
            <w:bottom w:w="0" w:type="dxa"/>
          </w:tblCellMar>
        </w:tblPrEx>
        <w:tc>
          <w:tcPr>
            <w:tcW w:w="1737" w:type="dxa"/>
          </w:tcPr>
          <w:p w:rsidR="00000000" w:rsidRDefault="00000000">
            <w:pPr>
              <w:pStyle w:val="table"/>
              <w:spacing w:line="240" w:lineRule="auto"/>
            </w:pPr>
            <w:r>
              <w:t>2001</w:t>
            </w:r>
          </w:p>
        </w:tc>
        <w:tc>
          <w:tcPr>
            <w:tcW w:w="1823" w:type="dxa"/>
          </w:tcPr>
          <w:p w:rsidR="00000000" w:rsidRDefault="00000000">
            <w:pPr>
              <w:pStyle w:val="table"/>
              <w:tabs>
                <w:tab w:val="decimal" w:pos="827"/>
              </w:tabs>
              <w:spacing w:line="240" w:lineRule="auto"/>
            </w:pPr>
            <w:r>
              <w:t>2531</w:t>
            </w:r>
          </w:p>
        </w:tc>
        <w:tc>
          <w:tcPr>
            <w:tcW w:w="1824" w:type="dxa"/>
          </w:tcPr>
          <w:p w:rsidR="00000000" w:rsidRDefault="00000000">
            <w:pPr>
              <w:pStyle w:val="table"/>
              <w:tabs>
                <w:tab w:val="decimal" w:pos="827"/>
              </w:tabs>
              <w:spacing w:line="240" w:lineRule="auto"/>
            </w:pPr>
            <w:r>
              <w:t>1865</w:t>
            </w:r>
          </w:p>
        </w:tc>
        <w:tc>
          <w:tcPr>
            <w:tcW w:w="2107" w:type="dxa"/>
          </w:tcPr>
          <w:p w:rsidR="00000000" w:rsidRDefault="00000000">
            <w:pPr>
              <w:pStyle w:val="table"/>
              <w:tabs>
                <w:tab w:val="decimal" w:pos="827"/>
              </w:tabs>
              <w:spacing w:line="240" w:lineRule="auto"/>
            </w:pPr>
            <w:r>
              <w:t>73,7</w:t>
            </w:r>
          </w:p>
        </w:tc>
      </w:tr>
      <w:tr w:rsidR="00000000">
        <w:tblPrEx>
          <w:tblCellMar>
            <w:top w:w="0" w:type="dxa"/>
            <w:bottom w:w="0" w:type="dxa"/>
          </w:tblCellMar>
        </w:tblPrEx>
        <w:tc>
          <w:tcPr>
            <w:tcW w:w="7491" w:type="dxa"/>
            <w:gridSpan w:val="4"/>
          </w:tcPr>
          <w:p w:rsidR="00000000" w:rsidRDefault="00000000">
            <w:pPr>
              <w:pStyle w:val="table"/>
              <w:spacing w:line="240" w:lineRule="auto"/>
            </w:pPr>
            <w:r>
              <w:t>Новая федеральная территория и Восточный Берлин</w:t>
            </w:r>
          </w:p>
        </w:tc>
      </w:tr>
      <w:tr w:rsidR="00000000">
        <w:tblPrEx>
          <w:tblCellMar>
            <w:top w:w="0" w:type="dxa"/>
            <w:bottom w:w="0" w:type="dxa"/>
          </w:tblCellMar>
        </w:tblPrEx>
        <w:tc>
          <w:tcPr>
            <w:tcW w:w="1737" w:type="dxa"/>
          </w:tcPr>
          <w:p w:rsidR="00000000" w:rsidRDefault="00000000">
            <w:pPr>
              <w:pStyle w:val="table"/>
              <w:spacing w:line="240" w:lineRule="auto"/>
            </w:pPr>
            <w:r>
              <w:t>1991</w:t>
            </w:r>
          </w:p>
        </w:tc>
        <w:tc>
          <w:tcPr>
            <w:tcW w:w="1823" w:type="dxa"/>
          </w:tcPr>
          <w:p w:rsidR="00000000" w:rsidRDefault="00000000">
            <w:pPr>
              <w:pStyle w:val="table"/>
              <w:tabs>
                <w:tab w:val="decimal" w:pos="827"/>
              </w:tabs>
              <w:spacing w:line="240" w:lineRule="auto"/>
            </w:pPr>
            <w:r>
              <w:t>955</w:t>
            </w:r>
          </w:p>
        </w:tc>
        <w:tc>
          <w:tcPr>
            <w:tcW w:w="1824" w:type="dxa"/>
          </w:tcPr>
          <w:p w:rsidR="00000000" w:rsidRDefault="00000000">
            <w:pPr>
              <w:pStyle w:val="table"/>
              <w:tabs>
                <w:tab w:val="decimal" w:pos="827"/>
              </w:tabs>
              <w:spacing w:line="240" w:lineRule="auto"/>
            </w:pPr>
            <w:r>
              <w:t>713</w:t>
            </w:r>
          </w:p>
        </w:tc>
        <w:tc>
          <w:tcPr>
            <w:tcW w:w="2107" w:type="dxa"/>
          </w:tcPr>
          <w:p w:rsidR="00000000" w:rsidRDefault="00000000">
            <w:pPr>
              <w:pStyle w:val="table"/>
              <w:tabs>
                <w:tab w:val="decimal" w:pos="827"/>
              </w:tabs>
              <w:spacing w:line="240" w:lineRule="auto"/>
            </w:pPr>
            <w:r>
              <w:t>74,7</w:t>
            </w:r>
          </w:p>
        </w:tc>
      </w:tr>
      <w:tr w:rsidR="00000000">
        <w:tblPrEx>
          <w:tblCellMar>
            <w:top w:w="0" w:type="dxa"/>
            <w:bottom w:w="0" w:type="dxa"/>
          </w:tblCellMar>
        </w:tblPrEx>
        <w:tc>
          <w:tcPr>
            <w:tcW w:w="1737" w:type="dxa"/>
          </w:tcPr>
          <w:p w:rsidR="00000000" w:rsidRDefault="00000000">
            <w:pPr>
              <w:pStyle w:val="table"/>
              <w:spacing w:line="240" w:lineRule="auto"/>
            </w:pPr>
            <w:r>
              <w:t>1992</w:t>
            </w:r>
          </w:p>
        </w:tc>
        <w:tc>
          <w:tcPr>
            <w:tcW w:w="1823" w:type="dxa"/>
          </w:tcPr>
          <w:p w:rsidR="00000000" w:rsidRDefault="00000000">
            <w:pPr>
              <w:pStyle w:val="table"/>
              <w:tabs>
                <w:tab w:val="decimal" w:pos="827"/>
              </w:tabs>
              <w:spacing w:line="240" w:lineRule="auto"/>
            </w:pPr>
            <w:r>
              <w:t>1237</w:t>
            </w:r>
          </w:p>
        </w:tc>
        <w:tc>
          <w:tcPr>
            <w:tcW w:w="1824" w:type="dxa"/>
          </w:tcPr>
          <w:p w:rsidR="00000000" w:rsidRDefault="00000000">
            <w:pPr>
              <w:pStyle w:val="table"/>
              <w:tabs>
                <w:tab w:val="decimal" w:pos="827"/>
              </w:tabs>
              <w:spacing w:line="240" w:lineRule="auto"/>
            </w:pPr>
            <w:r>
              <w:t>891</w:t>
            </w:r>
          </w:p>
        </w:tc>
        <w:tc>
          <w:tcPr>
            <w:tcW w:w="2107" w:type="dxa"/>
          </w:tcPr>
          <w:p w:rsidR="00000000" w:rsidRDefault="00000000">
            <w:pPr>
              <w:pStyle w:val="table"/>
              <w:tabs>
                <w:tab w:val="decimal" w:pos="827"/>
              </w:tabs>
              <w:spacing w:line="240" w:lineRule="auto"/>
            </w:pPr>
            <w:r>
              <w:t>72,0</w:t>
            </w:r>
          </w:p>
        </w:tc>
      </w:tr>
      <w:tr w:rsidR="00000000">
        <w:tblPrEx>
          <w:tblCellMar>
            <w:top w:w="0" w:type="dxa"/>
            <w:bottom w:w="0" w:type="dxa"/>
          </w:tblCellMar>
        </w:tblPrEx>
        <w:tc>
          <w:tcPr>
            <w:tcW w:w="1737" w:type="dxa"/>
          </w:tcPr>
          <w:p w:rsidR="00000000" w:rsidRDefault="00000000">
            <w:pPr>
              <w:pStyle w:val="table"/>
              <w:spacing w:line="240" w:lineRule="auto"/>
            </w:pPr>
            <w:r>
              <w:t>1993</w:t>
            </w:r>
          </w:p>
        </w:tc>
        <w:tc>
          <w:tcPr>
            <w:tcW w:w="1823" w:type="dxa"/>
          </w:tcPr>
          <w:p w:rsidR="00000000" w:rsidRDefault="00000000">
            <w:pPr>
              <w:pStyle w:val="table"/>
              <w:tabs>
                <w:tab w:val="decimal" w:pos="827"/>
              </w:tabs>
              <w:spacing w:line="240" w:lineRule="auto"/>
            </w:pPr>
            <w:r>
              <w:t>1440</w:t>
            </w:r>
          </w:p>
        </w:tc>
        <w:tc>
          <w:tcPr>
            <w:tcW w:w="1824" w:type="dxa"/>
          </w:tcPr>
          <w:p w:rsidR="00000000" w:rsidRDefault="00000000">
            <w:pPr>
              <w:pStyle w:val="table"/>
              <w:tabs>
                <w:tab w:val="decimal" w:pos="827"/>
              </w:tabs>
              <w:spacing w:line="240" w:lineRule="auto"/>
            </w:pPr>
            <w:r>
              <w:t>1020</w:t>
            </w:r>
          </w:p>
        </w:tc>
        <w:tc>
          <w:tcPr>
            <w:tcW w:w="2107" w:type="dxa"/>
          </w:tcPr>
          <w:p w:rsidR="00000000" w:rsidRDefault="00000000">
            <w:pPr>
              <w:pStyle w:val="table"/>
              <w:tabs>
                <w:tab w:val="decimal" w:pos="827"/>
              </w:tabs>
              <w:spacing w:line="240" w:lineRule="auto"/>
            </w:pPr>
            <w:r>
              <w:t>70,8</w:t>
            </w:r>
          </w:p>
        </w:tc>
      </w:tr>
      <w:tr w:rsidR="00000000">
        <w:tblPrEx>
          <w:tblCellMar>
            <w:top w:w="0" w:type="dxa"/>
            <w:bottom w:w="0" w:type="dxa"/>
          </w:tblCellMar>
        </w:tblPrEx>
        <w:tc>
          <w:tcPr>
            <w:tcW w:w="1737" w:type="dxa"/>
          </w:tcPr>
          <w:p w:rsidR="00000000" w:rsidRDefault="00000000">
            <w:pPr>
              <w:pStyle w:val="table"/>
              <w:spacing w:line="240" w:lineRule="auto"/>
            </w:pPr>
            <w:r>
              <w:t>1994</w:t>
            </w:r>
          </w:p>
        </w:tc>
        <w:tc>
          <w:tcPr>
            <w:tcW w:w="1823" w:type="dxa"/>
          </w:tcPr>
          <w:p w:rsidR="00000000" w:rsidRDefault="00000000">
            <w:pPr>
              <w:pStyle w:val="table"/>
              <w:tabs>
                <w:tab w:val="decimal" w:pos="827"/>
              </w:tabs>
              <w:spacing w:line="240" w:lineRule="auto"/>
            </w:pPr>
            <w:r>
              <w:t>1528</w:t>
            </w:r>
          </w:p>
        </w:tc>
        <w:tc>
          <w:tcPr>
            <w:tcW w:w="1824" w:type="dxa"/>
          </w:tcPr>
          <w:p w:rsidR="00000000" w:rsidRDefault="00000000">
            <w:pPr>
              <w:pStyle w:val="table"/>
              <w:tabs>
                <w:tab w:val="decimal" w:pos="827"/>
              </w:tabs>
              <w:spacing w:line="240" w:lineRule="auto"/>
            </w:pPr>
            <w:r>
              <w:t>1091</w:t>
            </w:r>
          </w:p>
        </w:tc>
        <w:tc>
          <w:tcPr>
            <w:tcW w:w="2107" w:type="dxa"/>
          </w:tcPr>
          <w:p w:rsidR="00000000" w:rsidRDefault="00000000">
            <w:pPr>
              <w:pStyle w:val="table"/>
              <w:tabs>
                <w:tab w:val="decimal" w:pos="827"/>
              </w:tabs>
              <w:spacing w:line="240" w:lineRule="auto"/>
            </w:pPr>
            <w:r>
              <w:t>71,4</w:t>
            </w:r>
          </w:p>
        </w:tc>
      </w:tr>
      <w:tr w:rsidR="00000000">
        <w:tblPrEx>
          <w:tblCellMar>
            <w:top w:w="0" w:type="dxa"/>
            <w:bottom w:w="0" w:type="dxa"/>
          </w:tblCellMar>
        </w:tblPrEx>
        <w:tc>
          <w:tcPr>
            <w:tcW w:w="1737" w:type="dxa"/>
          </w:tcPr>
          <w:p w:rsidR="00000000" w:rsidRDefault="00000000">
            <w:pPr>
              <w:pStyle w:val="table"/>
              <w:spacing w:line="240" w:lineRule="auto"/>
            </w:pPr>
            <w:r>
              <w:t>1995</w:t>
            </w:r>
          </w:p>
        </w:tc>
        <w:tc>
          <w:tcPr>
            <w:tcW w:w="1823" w:type="dxa"/>
          </w:tcPr>
          <w:p w:rsidR="00000000" w:rsidRDefault="00000000">
            <w:pPr>
              <w:pStyle w:val="table"/>
              <w:tabs>
                <w:tab w:val="decimal" w:pos="827"/>
              </w:tabs>
              <w:spacing w:line="240" w:lineRule="auto"/>
            </w:pPr>
            <w:r>
              <w:t>1620</w:t>
            </w:r>
          </w:p>
        </w:tc>
        <w:tc>
          <w:tcPr>
            <w:tcW w:w="1824" w:type="dxa"/>
          </w:tcPr>
          <w:p w:rsidR="00000000" w:rsidRDefault="00000000">
            <w:pPr>
              <w:pStyle w:val="table"/>
              <w:tabs>
                <w:tab w:val="decimal" w:pos="827"/>
              </w:tabs>
              <w:spacing w:line="240" w:lineRule="auto"/>
            </w:pPr>
            <w:r>
              <w:t>1184</w:t>
            </w:r>
          </w:p>
        </w:tc>
        <w:tc>
          <w:tcPr>
            <w:tcW w:w="2107" w:type="dxa"/>
          </w:tcPr>
          <w:p w:rsidR="00000000" w:rsidRDefault="00000000">
            <w:pPr>
              <w:pStyle w:val="table"/>
              <w:tabs>
                <w:tab w:val="decimal" w:pos="827"/>
              </w:tabs>
              <w:spacing w:line="240" w:lineRule="auto"/>
            </w:pPr>
            <w:r>
              <w:t>73,1</w:t>
            </w:r>
          </w:p>
        </w:tc>
      </w:tr>
      <w:tr w:rsidR="00000000">
        <w:tblPrEx>
          <w:tblCellMar>
            <w:top w:w="0" w:type="dxa"/>
            <w:bottom w:w="0" w:type="dxa"/>
          </w:tblCellMar>
        </w:tblPrEx>
        <w:tc>
          <w:tcPr>
            <w:tcW w:w="1737" w:type="dxa"/>
          </w:tcPr>
          <w:p w:rsidR="00000000" w:rsidRDefault="00000000">
            <w:pPr>
              <w:pStyle w:val="table"/>
              <w:spacing w:line="240" w:lineRule="auto"/>
            </w:pPr>
            <w:r>
              <w:t>1996</w:t>
            </w:r>
          </w:p>
        </w:tc>
        <w:tc>
          <w:tcPr>
            <w:tcW w:w="1823" w:type="dxa"/>
          </w:tcPr>
          <w:p w:rsidR="00000000" w:rsidRDefault="00000000">
            <w:pPr>
              <w:pStyle w:val="table"/>
              <w:tabs>
                <w:tab w:val="decimal" w:pos="827"/>
              </w:tabs>
              <w:spacing w:line="240" w:lineRule="auto"/>
            </w:pPr>
            <w:r>
              <w:t>1675</w:t>
            </w:r>
          </w:p>
        </w:tc>
        <w:tc>
          <w:tcPr>
            <w:tcW w:w="1824" w:type="dxa"/>
          </w:tcPr>
          <w:p w:rsidR="00000000" w:rsidRDefault="00000000">
            <w:pPr>
              <w:pStyle w:val="table"/>
              <w:tabs>
                <w:tab w:val="decimal" w:pos="827"/>
              </w:tabs>
              <w:spacing w:line="240" w:lineRule="auto"/>
            </w:pPr>
            <w:r>
              <w:t>1249</w:t>
            </w:r>
          </w:p>
        </w:tc>
        <w:tc>
          <w:tcPr>
            <w:tcW w:w="2107" w:type="dxa"/>
          </w:tcPr>
          <w:p w:rsidR="00000000" w:rsidRDefault="00000000">
            <w:pPr>
              <w:pStyle w:val="table"/>
              <w:tabs>
                <w:tab w:val="decimal" w:pos="827"/>
              </w:tabs>
              <w:spacing w:line="240" w:lineRule="auto"/>
            </w:pPr>
            <w:r>
              <w:t>74,5</w:t>
            </w:r>
          </w:p>
        </w:tc>
      </w:tr>
      <w:tr w:rsidR="00000000">
        <w:tblPrEx>
          <w:tblCellMar>
            <w:top w:w="0" w:type="dxa"/>
            <w:bottom w:w="0" w:type="dxa"/>
          </w:tblCellMar>
        </w:tblPrEx>
        <w:tc>
          <w:tcPr>
            <w:tcW w:w="1737" w:type="dxa"/>
          </w:tcPr>
          <w:p w:rsidR="00000000" w:rsidRDefault="00000000">
            <w:pPr>
              <w:pStyle w:val="table"/>
              <w:spacing w:line="240" w:lineRule="auto"/>
            </w:pPr>
            <w:r>
              <w:t>1997</w:t>
            </w:r>
          </w:p>
        </w:tc>
        <w:tc>
          <w:tcPr>
            <w:tcW w:w="1823" w:type="dxa"/>
          </w:tcPr>
          <w:p w:rsidR="00000000" w:rsidRDefault="00000000">
            <w:pPr>
              <w:pStyle w:val="table"/>
              <w:tabs>
                <w:tab w:val="decimal" w:pos="827"/>
              </w:tabs>
              <w:spacing w:line="240" w:lineRule="auto"/>
            </w:pPr>
            <w:r>
              <w:t>1708</w:t>
            </w:r>
          </w:p>
        </w:tc>
        <w:tc>
          <w:tcPr>
            <w:tcW w:w="1824" w:type="dxa"/>
          </w:tcPr>
          <w:p w:rsidR="00000000" w:rsidRDefault="00000000">
            <w:pPr>
              <w:pStyle w:val="table"/>
              <w:tabs>
                <w:tab w:val="decimal" w:pos="827"/>
              </w:tabs>
              <w:spacing w:line="240" w:lineRule="auto"/>
            </w:pPr>
            <w:r>
              <w:t>1284</w:t>
            </w:r>
          </w:p>
        </w:tc>
        <w:tc>
          <w:tcPr>
            <w:tcW w:w="2107" w:type="dxa"/>
          </w:tcPr>
          <w:p w:rsidR="00000000" w:rsidRDefault="00000000">
            <w:pPr>
              <w:pStyle w:val="table"/>
              <w:tabs>
                <w:tab w:val="decimal" w:pos="827"/>
              </w:tabs>
              <w:spacing w:line="240" w:lineRule="auto"/>
            </w:pPr>
            <w:r>
              <w:t>75,2</w:t>
            </w:r>
          </w:p>
        </w:tc>
      </w:tr>
      <w:tr w:rsidR="00000000">
        <w:tblPrEx>
          <w:tblCellMar>
            <w:top w:w="0" w:type="dxa"/>
            <w:bottom w:w="0" w:type="dxa"/>
          </w:tblCellMar>
        </w:tblPrEx>
        <w:tc>
          <w:tcPr>
            <w:tcW w:w="1737" w:type="dxa"/>
          </w:tcPr>
          <w:p w:rsidR="00000000" w:rsidRDefault="00000000">
            <w:pPr>
              <w:pStyle w:val="table"/>
              <w:spacing w:line="240" w:lineRule="auto"/>
            </w:pPr>
            <w:r>
              <w:t>1998</w:t>
            </w:r>
          </w:p>
        </w:tc>
        <w:tc>
          <w:tcPr>
            <w:tcW w:w="1823" w:type="dxa"/>
          </w:tcPr>
          <w:p w:rsidR="00000000" w:rsidRDefault="00000000">
            <w:pPr>
              <w:pStyle w:val="table"/>
              <w:tabs>
                <w:tab w:val="decimal" w:pos="827"/>
              </w:tabs>
              <w:spacing w:line="240" w:lineRule="auto"/>
            </w:pPr>
            <w:r>
              <w:t>1744</w:t>
            </w:r>
          </w:p>
        </w:tc>
        <w:tc>
          <w:tcPr>
            <w:tcW w:w="1824" w:type="dxa"/>
          </w:tcPr>
          <w:p w:rsidR="00000000" w:rsidRDefault="00000000">
            <w:pPr>
              <w:pStyle w:val="table"/>
              <w:tabs>
                <w:tab w:val="decimal" w:pos="827"/>
              </w:tabs>
              <w:spacing w:line="240" w:lineRule="auto"/>
            </w:pPr>
            <w:r>
              <w:t>131</w:t>
            </w:r>
          </w:p>
        </w:tc>
        <w:tc>
          <w:tcPr>
            <w:tcW w:w="2107" w:type="dxa"/>
          </w:tcPr>
          <w:p w:rsidR="00000000" w:rsidRDefault="00000000">
            <w:pPr>
              <w:pStyle w:val="table"/>
              <w:tabs>
                <w:tab w:val="decimal" w:pos="827"/>
              </w:tabs>
              <w:spacing w:line="240" w:lineRule="auto"/>
            </w:pPr>
            <w:r>
              <w:t>76,3</w:t>
            </w:r>
          </w:p>
        </w:tc>
      </w:tr>
      <w:tr w:rsidR="00000000">
        <w:tblPrEx>
          <w:tblCellMar>
            <w:top w:w="0" w:type="dxa"/>
            <w:bottom w:w="0" w:type="dxa"/>
          </w:tblCellMar>
        </w:tblPrEx>
        <w:tc>
          <w:tcPr>
            <w:tcW w:w="1737" w:type="dxa"/>
          </w:tcPr>
          <w:p w:rsidR="00000000" w:rsidRDefault="00000000">
            <w:pPr>
              <w:pStyle w:val="table"/>
              <w:spacing w:line="240" w:lineRule="auto"/>
            </w:pPr>
            <w:r>
              <w:t>1999</w:t>
            </w:r>
          </w:p>
        </w:tc>
        <w:tc>
          <w:tcPr>
            <w:tcW w:w="1823" w:type="dxa"/>
          </w:tcPr>
          <w:p w:rsidR="00000000" w:rsidRDefault="00000000">
            <w:pPr>
              <w:pStyle w:val="table"/>
              <w:tabs>
                <w:tab w:val="decimal" w:pos="827"/>
              </w:tabs>
              <w:spacing w:line="240" w:lineRule="auto"/>
            </w:pPr>
            <w:r>
              <w:t>1784</w:t>
            </w:r>
          </w:p>
        </w:tc>
        <w:tc>
          <w:tcPr>
            <w:tcW w:w="1824" w:type="dxa"/>
          </w:tcPr>
          <w:p w:rsidR="00000000" w:rsidRDefault="00000000">
            <w:pPr>
              <w:pStyle w:val="table"/>
              <w:tabs>
                <w:tab w:val="decimal" w:pos="827"/>
              </w:tabs>
              <w:spacing w:line="240" w:lineRule="auto"/>
            </w:pPr>
            <w:r>
              <w:t>1368</w:t>
            </w:r>
          </w:p>
        </w:tc>
        <w:tc>
          <w:tcPr>
            <w:tcW w:w="2107" w:type="dxa"/>
          </w:tcPr>
          <w:p w:rsidR="00000000" w:rsidRDefault="00000000">
            <w:pPr>
              <w:pStyle w:val="table"/>
              <w:tabs>
                <w:tab w:val="decimal" w:pos="827"/>
              </w:tabs>
              <w:spacing w:line="240" w:lineRule="auto"/>
            </w:pPr>
            <w:r>
              <w:t>76,7</w:t>
            </w:r>
          </w:p>
        </w:tc>
      </w:tr>
      <w:tr w:rsidR="00000000">
        <w:tblPrEx>
          <w:tblCellMar>
            <w:top w:w="0" w:type="dxa"/>
            <w:bottom w:w="0" w:type="dxa"/>
          </w:tblCellMar>
        </w:tblPrEx>
        <w:tc>
          <w:tcPr>
            <w:tcW w:w="1737" w:type="dxa"/>
          </w:tcPr>
          <w:p w:rsidR="00000000" w:rsidRDefault="00000000">
            <w:pPr>
              <w:pStyle w:val="table"/>
              <w:spacing w:line="240" w:lineRule="auto"/>
            </w:pPr>
            <w:r>
              <w:t>2000</w:t>
            </w:r>
          </w:p>
        </w:tc>
        <w:tc>
          <w:tcPr>
            <w:tcW w:w="1823" w:type="dxa"/>
          </w:tcPr>
          <w:p w:rsidR="00000000" w:rsidRDefault="00000000">
            <w:pPr>
              <w:pStyle w:val="table"/>
              <w:tabs>
                <w:tab w:val="decimal" w:pos="827"/>
              </w:tabs>
              <w:spacing w:line="240" w:lineRule="auto"/>
            </w:pPr>
            <w:r>
              <w:t>1822</w:t>
            </w:r>
          </w:p>
        </w:tc>
        <w:tc>
          <w:tcPr>
            <w:tcW w:w="1824" w:type="dxa"/>
          </w:tcPr>
          <w:p w:rsidR="00000000" w:rsidRDefault="00000000">
            <w:pPr>
              <w:pStyle w:val="table"/>
              <w:tabs>
                <w:tab w:val="decimal" w:pos="827"/>
              </w:tabs>
              <w:spacing w:line="240" w:lineRule="auto"/>
            </w:pPr>
            <w:r>
              <w:t>1411</w:t>
            </w:r>
          </w:p>
        </w:tc>
        <w:tc>
          <w:tcPr>
            <w:tcW w:w="2107" w:type="dxa"/>
          </w:tcPr>
          <w:p w:rsidR="00000000" w:rsidRDefault="00000000">
            <w:pPr>
              <w:pStyle w:val="table"/>
              <w:tabs>
                <w:tab w:val="decimal" w:pos="827"/>
              </w:tabs>
              <w:spacing w:line="240" w:lineRule="auto"/>
            </w:pPr>
            <w:r>
              <w:t>77,4</w:t>
            </w:r>
          </w:p>
        </w:tc>
      </w:tr>
      <w:tr w:rsidR="00000000">
        <w:tblPrEx>
          <w:tblCellMar>
            <w:top w:w="0" w:type="dxa"/>
            <w:bottom w:w="0" w:type="dxa"/>
          </w:tblCellMar>
        </w:tblPrEx>
        <w:tc>
          <w:tcPr>
            <w:tcW w:w="1737" w:type="dxa"/>
            <w:tcBorders>
              <w:bottom w:val="single" w:sz="12" w:space="0" w:color="auto"/>
            </w:tcBorders>
          </w:tcPr>
          <w:p w:rsidR="00000000" w:rsidRDefault="00000000">
            <w:pPr>
              <w:pStyle w:val="table"/>
              <w:spacing w:line="240" w:lineRule="auto"/>
            </w:pPr>
            <w:r>
              <w:t>2001</w:t>
            </w:r>
          </w:p>
        </w:tc>
        <w:tc>
          <w:tcPr>
            <w:tcW w:w="1823" w:type="dxa"/>
            <w:tcBorders>
              <w:bottom w:val="single" w:sz="12" w:space="0" w:color="auto"/>
            </w:tcBorders>
          </w:tcPr>
          <w:p w:rsidR="00000000" w:rsidRDefault="00000000">
            <w:pPr>
              <w:pStyle w:val="table"/>
              <w:tabs>
                <w:tab w:val="decimal" w:pos="827"/>
              </w:tabs>
              <w:spacing w:line="240" w:lineRule="auto"/>
            </w:pPr>
            <w:r>
              <w:t>1855</w:t>
            </w:r>
          </w:p>
        </w:tc>
        <w:tc>
          <w:tcPr>
            <w:tcW w:w="1824" w:type="dxa"/>
            <w:tcBorders>
              <w:bottom w:val="single" w:sz="12" w:space="0" w:color="auto"/>
            </w:tcBorders>
          </w:tcPr>
          <w:p w:rsidR="00000000" w:rsidRDefault="00000000">
            <w:pPr>
              <w:pStyle w:val="table"/>
              <w:tabs>
                <w:tab w:val="decimal" w:pos="827"/>
              </w:tabs>
              <w:spacing w:line="240" w:lineRule="auto"/>
            </w:pPr>
            <w:r>
              <w:t>1434</w:t>
            </w:r>
          </w:p>
        </w:tc>
        <w:tc>
          <w:tcPr>
            <w:tcW w:w="2107" w:type="dxa"/>
            <w:tcBorders>
              <w:bottom w:val="single" w:sz="12" w:space="0" w:color="auto"/>
            </w:tcBorders>
          </w:tcPr>
          <w:p w:rsidR="00000000" w:rsidRDefault="00000000">
            <w:pPr>
              <w:pStyle w:val="table"/>
              <w:tabs>
                <w:tab w:val="decimal" w:pos="827"/>
              </w:tabs>
              <w:spacing w:line="240" w:lineRule="auto"/>
            </w:pPr>
            <w:r>
              <w:t>77,3</w:t>
            </w:r>
          </w:p>
        </w:tc>
      </w:tr>
    </w:tbl>
    <w:p w:rsidR="00000000" w:rsidRDefault="00000000">
      <w:pPr>
        <w:pStyle w:val="istochnik"/>
      </w:pPr>
      <w:r>
        <w:t>*) По классификации экономических секторов 1993 года (</w:t>
      </w:r>
      <w:r>
        <w:rPr>
          <w:lang w:val="en-US"/>
        </w:rPr>
        <w:t>ES</w:t>
      </w:r>
      <w:r>
        <w:t>93)</w:t>
      </w:r>
    </w:p>
    <w:p w:rsidR="00000000" w:rsidRDefault="00000000">
      <w:pPr>
        <w:pStyle w:val="istochnik"/>
      </w:pPr>
      <w:r>
        <w:t>1) В среднем по четырем обследованным месяцам</w:t>
      </w:r>
    </w:p>
    <w:p w:rsidR="00000000" w:rsidRDefault="00000000">
      <w:pPr>
        <w:pStyle w:val="istochnik"/>
      </w:pPr>
      <w:r>
        <w:rPr>
          <w:i/>
        </w:rPr>
        <w:t>Источник</w:t>
      </w:r>
      <w:r>
        <w:t>: Федеральное статистическое управление</w:t>
      </w:r>
    </w:p>
    <w:p w:rsidR="00000000" w:rsidRDefault="00000000">
      <w:pPr>
        <w:pStyle w:val="SingleTxt"/>
        <w:keepNext/>
      </w:pPr>
      <w:r>
        <w:t>2. Среднемесячная валовая заработная плата работников в секторах обр</w:t>
      </w:r>
      <w:r>
        <w:t>а</w:t>
      </w:r>
      <w:r>
        <w:t>батывающей промышленности, оптовой и розничной торговли, финансовых посреднических услуг</w:t>
      </w:r>
      <w:r>
        <w:rPr>
          <w:vertAlign w:val="superscript"/>
        </w:rPr>
        <w:t>*)</w:t>
      </w:r>
      <w:r>
        <w:t xml:space="preserve"> в ЕВРО</w:t>
      </w:r>
    </w:p>
    <w:tbl>
      <w:tblPr>
        <w:tblW w:w="0" w:type="auto"/>
        <w:tblInd w:w="1158" w:type="dxa"/>
        <w:tblLayout w:type="fixed"/>
        <w:tblLook w:val="0000" w:firstRow="0" w:lastRow="0" w:firstColumn="0" w:lastColumn="0" w:noHBand="0" w:noVBand="0"/>
      </w:tblPr>
      <w:tblGrid>
        <w:gridCol w:w="1679"/>
        <w:gridCol w:w="1843"/>
        <w:gridCol w:w="1843"/>
        <w:gridCol w:w="2126"/>
      </w:tblGrid>
      <w:tr w:rsidR="00000000">
        <w:tblPrEx>
          <w:tblCellMar>
            <w:top w:w="0" w:type="dxa"/>
            <w:bottom w:w="0" w:type="dxa"/>
          </w:tblCellMar>
        </w:tblPrEx>
        <w:trPr>
          <w:tblHeader/>
        </w:trPr>
        <w:tc>
          <w:tcPr>
            <w:tcW w:w="1679" w:type="dxa"/>
            <w:tcBorders>
              <w:top w:val="single" w:sz="6" w:space="0" w:color="auto"/>
              <w:bottom w:val="single" w:sz="12" w:space="0" w:color="auto"/>
            </w:tcBorders>
            <w:vAlign w:val="center"/>
          </w:tcPr>
          <w:p w:rsidR="00000000" w:rsidRDefault="00000000">
            <w:pPr>
              <w:pStyle w:val="table"/>
              <w:jc w:val="center"/>
              <w:rPr>
                <w:i/>
              </w:rPr>
            </w:pPr>
            <w:r>
              <w:rPr>
                <w:i/>
              </w:rPr>
              <w:t>Год</w:t>
            </w:r>
            <w:r>
              <w:rPr>
                <w:i/>
                <w:vertAlign w:val="superscript"/>
              </w:rPr>
              <w:t>1)</w:t>
            </w:r>
          </w:p>
        </w:tc>
        <w:tc>
          <w:tcPr>
            <w:tcW w:w="1843" w:type="dxa"/>
            <w:tcBorders>
              <w:top w:val="single" w:sz="6" w:space="0" w:color="auto"/>
              <w:bottom w:val="single" w:sz="12" w:space="0" w:color="auto"/>
            </w:tcBorders>
            <w:vAlign w:val="center"/>
          </w:tcPr>
          <w:p w:rsidR="00000000" w:rsidRDefault="00000000">
            <w:pPr>
              <w:pStyle w:val="table"/>
              <w:jc w:val="center"/>
              <w:rPr>
                <w:i/>
              </w:rPr>
            </w:pPr>
            <w:r>
              <w:rPr>
                <w:i/>
              </w:rPr>
              <w:t>Мужчины</w:t>
            </w:r>
          </w:p>
        </w:tc>
        <w:tc>
          <w:tcPr>
            <w:tcW w:w="1843"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c>
          <w:tcPr>
            <w:tcW w:w="2126" w:type="dxa"/>
            <w:tcBorders>
              <w:top w:val="single" w:sz="6" w:space="0" w:color="auto"/>
              <w:bottom w:val="single" w:sz="12" w:space="0" w:color="auto"/>
            </w:tcBorders>
            <w:vAlign w:val="center"/>
          </w:tcPr>
          <w:p w:rsidR="00000000" w:rsidRDefault="00000000">
            <w:pPr>
              <w:pStyle w:val="table"/>
              <w:jc w:val="center"/>
              <w:rPr>
                <w:i/>
              </w:rPr>
            </w:pPr>
            <w:r>
              <w:rPr>
                <w:i/>
              </w:rPr>
              <w:t>Соотношение зарабо</w:t>
            </w:r>
            <w:r>
              <w:rPr>
                <w:i/>
              </w:rPr>
              <w:t>т</w:t>
            </w:r>
            <w:r>
              <w:rPr>
                <w:i/>
              </w:rPr>
              <w:t>ной платы мужчин и женщин в пр</w:t>
            </w:r>
            <w:r>
              <w:rPr>
                <w:i/>
              </w:rPr>
              <w:t>о</w:t>
            </w:r>
            <w:r>
              <w:rPr>
                <w:i/>
              </w:rPr>
              <w:t>центах</w:t>
            </w:r>
          </w:p>
        </w:tc>
      </w:tr>
      <w:tr w:rsidR="00000000">
        <w:tblPrEx>
          <w:tblCellMar>
            <w:top w:w="0" w:type="dxa"/>
            <w:bottom w:w="0" w:type="dxa"/>
          </w:tblCellMar>
        </w:tblPrEx>
        <w:tc>
          <w:tcPr>
            <w:tcW w:w="1679" w:type="dxa"/>
            <w:tcBorders>
              <w:top w:val="single" w:sz="12" w:space="0" w:color="auto"/>
            </w:tcBorders>
          </w:tcPr>
          <w:p w:rsidR="00000000" w:rsidRDefault="00000000">
            <w:pPr>
              <w:pStyle w:val="table"/>
            </w:pPr>
          </w:p>
        </w:tc>
        <w:tc>
          <w:tcPr>
            <w:tcW w:w="5812" w:type="dxa"/>
            <w:gridSpan w:val="3"/>
            <w:tcBorders>
              <w:top w:val="single" w:sz="12" w:space="0" w:color="auto"/>
            </w:tcBorders>
          </w:tcPr>
          <w:p w:rsidR="00000000" w:rsidRDefault="00000000">
            <w:pPr>
              <w:pStyle w:val="table"/>
            </w:pPr>
            <w:r>
              <w:t>Прежняя федеральная территория</w:t>
            </w:r>
          </w:p>
        </w:tc>
      </w:tr>
      <w:tr w:rsidR="00000000">
        <w:tblPrEx>
          <w:tblCellMar>
            <w:top w:w="0" w:type="dxa"/>
            <w:bottom w:w="0" w:type="dxa"/>
          </w:tblCellMar>
        </w:tblPrEx>
        <w:tc>
          <w:tcPr>
            <w:tcW w:w="1679" w:type="dxa"/>
          </w:tcPr>
          <w:p w:rsidR="00000000" w:rsidRDefault="00000000">
            <w:pPr>
              <w:pStyle w:val="table"/>
            </w:pPr>
            <w:r>
              <w:t>1960</w:t>
            </w:r>
          </w:p>
        </w:tc>
        <w:tc>
          <w:tcPr>
            <w:tcW w:w="1843" w:type="dxa"/>
          </w:tcPr>
          <w:p w:rsidR="00000000" w:rsidRDefault="00000000">
            <w:pPr>
              <w:pStyle w:val="table"/>
              <w:tabs>
                <w:tab w:val="decimal" w:pos="885"/>
              </w:tabs>
            </w:pPr>
            <w:r>
              <w:t>354</w:t>
            </w:r>
          </w:p>
        </w:tc>
        <w:tc>
          <w:tcPr>
            <w:tcW w:w="1843" w:type="dxa"/>
          </w:tcPr>
          <w:p w:rsidR="00000000" w:rsidRDefault="00000000">
            <w:pPr>
              <w:pStyle w:val="table"/>
              <w:tabs>
                <w:tab w:val="decimal" w:pos="885"/>
              </w:tabs>
            </w:pPr>
            <w:r>
              <w:t>194</w:t>
            </w:r>
          </w:p>
        </w:tc>
        <w:tc>
          <w:tcPr>
            <w:tcW w:w="2126" w:type="dxa"/>
          </w:tcPr>
          <w:p w:rsidR="00000000" w:rsidRDefault="00000000">
            <w:pPr>
              <w:pStyle w:val="table"/>
              <w:tabs>
                <w:tab w:val="decimal" w:pos="885"/>
              </w:tabs>
            </w:pPr>
            <w:r>
              <w:t>54,7</w:t>
            </w:r>
          </w:p>
        </w:tc>
      </w:tr>
      <w:tr w:rsidR="00000000">
        <w:tblPrEx>
          <w:tblCellMar>
            <w:top w:w="0" w:type="dxa"/>
            <w:bottom w:w="0" w:type="dxa"/>
          </w:tblCellMar>
        </w:tblPrEx>
        <w:tc>
          <w:tcPr>
            <w:tcW w:w="1679" w:type="dxa"/>
          </w:tcPr>
          <w:p w:rsidR="00000000" w:rsidRDefault="00000000">
            <w:pPr>
              <w:pStyle w:val="table"/>
            </w:pPr>
            <w:r>
              <w:t>1970</w:t>
            </w:r>
          </w:p>
        </w:tc>
        <w:tc>
          <w:tcPr>
            <w:tcW w:w="1843" w:type="dxa"/>
          </w:tcPr>
          <w:p w:rsidR="00000000" w:rsidRDefault="00000000">
            <w:pPr>
              <w:pStyle w:val="table"/>
              <w:tabs>
                <w:tab w:val="decimal" w:pos="885"/>
              </w:tabs>
            </w:pPr>
            <w:r>
              <w:t>750</w:t>
            </w:r>
          </w:p>
        </w:tc>
        <w:tc>
          <w:tcPr>
            <w:tcW w:w="1843" w:type="dxa"/>
          </w:tcPr>
          <w:p w:rsidR="00000000" w:rsidRDefault="00000000">
            <w:pPr>
              <w:pStyle w:val="table"/>
              <w:tabs>
                <w:tab w:val="decimal" w:pos="885"/>
              </w:tabs>
            </w:pPr>
            <w:r>
              <w:t>440</w:t>
            </w:r>
          </w:p>
        </w:tc>
        <w:tc>
          <w:tcPr>
            <w:tcW w:w="2126" w:type="dxa"/>
          </w:tcPr>
          <w:p w:rsidR="00000000" w:rsidRDefault="00000000">
            <w:pPr>
              <w:pStyle w:val="table"/>
              <w:tabs>
                <w:tab w:val="decimal" w:pos="885"/>
              </w:tabs>
            </w:pPr>
            <w:r>
              <w:t>58,7</w:t>
            </w:r>
          </w:p>
        </w:tc>
      </w:tr>
      <w:tr w:rsidR="00000000">
        <w:tblPrEx>
          <w:tblCellMar>
            <w:top w:w="0" w:type="dxa"/>
            <w:bottom w:w="0" w:type="dxa"/>
          </w:tblCellMar>
        </w:tblPrEx>
        <w:tc>
          <w:tcPr>
            <w:tcW w:w="1679" w:type="dxa"/>
          </w:tcPr>
          <w:p w:rsidR="00000000" w:rsidRDefault="00000000">
            <w:pPr>
              <w:pStyle w:val="table"/>
            </w:pPr>
            <w:r>
              <w:t>1980</w:t>
            </w:r>
          </w:p>
        </w:tc>
        <w:tc>
          <w:tcPr>
            <w:tcW w:w="1843" w:type="dxa"/>
          </w:tcPr>
          <w:p w:rsidR="00000000" w:rsidRDefault="00000000">
            <w:pPr>
              <w:pStyle w:val="table"/>
              <w:tabs>
                <w:tab w:val="decimal" w:pos="885"/>
              </w:tabs>
            </w:pPr>
            <w:r>
              <w:t>1675</w:t>
            </w:r>
          </w:p>
        </w:tc>
        <w:tc>
          <w:tcPr>
            <w:tcW w:w="1843" w:type="dxa"/>
          </w:tcPr>
          <w:p w:rsidR="00000000" w:rsidRDefault="00000000">
            <w:pPr>
              <w:pStyle w:val="table"/>
              <w:tabs>
                <w:tab w:val="decimal" w:pos="885"/>
              </w:tabs>
            </w:pPr>
            <w:r>
              <w:t>1056</w:t>
            </w:r>
          </w:p>
        </w:tc>
        <w:tc>
          <w:tcPr>
            <w:tcW w:w="2126" w:type="dxa"/>
          </w:tcPr>
          <w:p w:rsidR="00000000" w:rsidRDefault="00000000">
            <w:pPr>
              <w:pStyle w:val="table"/>
              <w:tabs>
                <w:tab w:val="decimal" w:pos="885"/>
              </w:tabs>
            </w:pPr>
            <w:r>
              <w:t>63,0</w:t>
            </w:r>
          </w:p>
        </w:tc>
      </w:tr>
      <w:tr w:rsidR="00000000">
        <w:tblPrEx>
          <w:tblCellMar>
            <w:top w:w="0" w:type="dxa"/>
            <w:bottom w:w="0" w:type="dxa"/>
          </w:tblCellMar>
        </w:tblPrEx>
        <w:tc>
          <w:tcPr>
            <w:tcW w:w="1679" w:type="dxa"/>
          </w:tcPr>
          <w:p w:rsidR="00000000" w:rsidRDefault="00000000">
            <w:pPr>
              <w:pStyle w:val="table"/>
            </w:pPr>
            <w:r>
              <w:t>1990</w:t>
            </w:r>
          </w:p>
        </w:tc>
        <w:tc>
          <w:tcPr>
            <w:tcW w:w="1843" w:type="dxa"/>
          </w:tcPr>
          <w:p w:rsidR="00000000" w:rsidRDefault="00000000">
            <w:pPr>
              <w:pStyle w:val="table"/>
              <w:tabs>
                <w:tab w:val="decimal" w:pos="885"/>
              </w:tabs>
            </w:pPr>
            <w:r>
              <w:t>2499</w:t>
            </w:r>
          </w:p>
        </w:tc>
        <w:tc>
          <w:tcPr>
            <w:tcW w:w="1843" w:type="dxa"/>
          </w:tcPr>
          <w:p w:rsidR="00000000" w:rsidRDefault="00000000">
            <w:pPr>
              <w:pStyle w:val="table"/>
              <w:tabs>
                <w:tab w:val="decimal" w:pos="885"/>
              </w:tabs>
            </w:pPr>
            <w:r>
              <w:t>1619</w:t>
            </w:r>
          </w:p>
        </w:tc>
        <w:tc>
          <w:tcPr>
            <w:tcW w:w="2126" w:type="dxa"/>
          </w:tcPr>
          <w:p w:rsidR="00000000" w:rsidRDefault="00000000">
            <w:pPr>
              <w:pStyle w:val="table"/>
              <w:tabs>
                <w:tab w:val="decimal" w:pos="885"/>
              </w:tabs>
            </w:pPr>
            <w:r>
              <w:t>64,8</w:t>
            </w:r>
          </w:p>
        </w:tc>
      </w:tr>
      <w:tr w:rsidR="00000000">
        <w:tblPrEx>
          <w:tblCellMar>
            <w:top w:w="0" w:type="dxa"/>
            <w:bottom w:w="0" w:type="dxa"/>
          </w:tblCellMar>
        </w:tblPrEx>
        <w:tc>
          <w:tcPr>
            <w:tcW w:w="1679" w:type="dxa"/>
          </w:tcPr>
          <w:p w:rsidR="00000000" w:rsidRDefault="00000000">
            <w:pPr>
              <w:pStyle w:val="table"/>
            </w:pPr>
            <w:r>
              <w:t>1991</w:t>
            </w:r>
          </w:p>
        </w:tc>
        <w:tc>
          <w:tcPr>
            <w:tcW w:w="1843" w:type="dxa"/>
          </w:tcPr>
          <w:p w:rsidR="00000000" w:rsidRDefault="00000000">
            <w:pPr>
              <w:pStyle w:val="table"/>
              <w:tabs>
                <w:tab w:val="decimal" w:pos="885"/>
              </w:tabs>
            </w:pPr>
            <w:r>
              <w:t>2646</w:t>
            </w:r>
          </w:p>
        </w:tc>
        <w:tc>
          <w:tcPr>
            <w:tcW w:w="1843" w:type="dxa"/>
          </w:tcPr>
          <w:p w:rsidR="00000000" w:rsidRDefault="00000000">
            <w:pPr>
              <w:pStyle w:val="table"/>
              <w:tabs>
                <w:tab w:val="decimal" w:pos="885"/>
              </w:tabs>
            </w:pPr>
            <w:r>
              <w:t>1727</w:t>
            </w:r>
          </w:p>
        </w:tc>
        <w:tc>
          <w:tcPr>
            <w:tcW w:w="2126" w:type="dxa"/>
          </w:tcPr>
          <w:p w:rsidR="00000000" w:rsidRDefault="00000000">
            <w:pPr>
              <w:pStyle w:val="table"/>
              <w:tabs>
                <w:tab w:val="decimal" w:pos="885"/>
              </w:tabs>
            </w:pPr>
            <w:r>
              <w:t>65,3</w:t>
            </w:r>
          </w:p>
        </w:tc>
      </w:tr>
      <w:tr w:rsidR="00000000">
        <w:tblPrEx>
          <w:tblCellMar>
            <w:top w:w="0" w:type="dxa"/>
            <w:bottom w:w="0" w:type="dxa"/>
          </w:tblCellMar>
        </w:tblPrEx>
        <w:tc>
          <w:tcPr>
            <w:tcW w:w="1679" w:type="dxa"/>
          </w:tcPr>
          <w:p w:rsidR="00000000" w:rsidRDefault="00000000">
            <w:pPr>
              <w:pStyle w:val="table"/>
            </w:pPr>
            <w:r>
              <w:t>1992</w:t>
            </w:r>
          </w:p>
        </w:tc>
        <w:tc>
          <w:tcPr>
            <w:tcW w:w="1843" w:type="dxa"/>
          </w:tcPr>
          <w:p w:rsidR="00000000" w:rsidRDefault="00000000">
            <w:pPr>
              <w:pStyle w:val="table"/>
              <w:tabs>
                <w:tab w:val="decimal" w:pos="885"/>
              </w:tabs>
            </w:pPr>
            <w:r>
              <w:t>2801</w:t>
            </w:r>
          </w:p>
        </w:tc>
        <w:tc>
          <w:tcPr>
            <w:tcW w:w="1843" w:type="dxa"/>
          </w:tcPr>
          <w:p w:rsidR="00000000" w:rsidRDefault="00000000">
            <w:pPr>
              <w:pStyle w:val="table"/>
              <w:tabs>
                <w:tab w:val="decimal" w:pos="885"/>
              </w:tabs>
            </w:pPr>
            <w:r>
              <w:t>1840</w:t>
            </w:r>
          </w:p>
        </w:tc>
        <w:tc>
          <w:tcPr>
            <w:tcW w:w="2126" w:type="dxa"/>
          </w:tcPr>
          <w:p w:rsidR="00000000" w:rsidRDefault="00000000">
            <w:pPr>
              <w:pStyle w:val="table"/>
              <w:tabs>
                <w:tab w:val="decimal" w:pos="885"/>
              </w:tabs>
            </w:pPr>
            <w:r>
              <w:t>65,7</w:t>
            </w:r>
          </w:p>
        </w:tc>
      </w:tr>
      <w:tr w:rsidR="00000000">
        <w:tblPrEx>
          <w:tblCellMar>
            <w:top w:w="0" w:type="dxa"/>
            <w:bottom w:w="0" w:type="dxa"/>
          </w:tblCellMar>
        </w:tblPrEx>
        <w:tc>
          <w:tcPr>
            <w:tcW w:w="1679" w:type="dxa"/>
          </w:tcPr>
          <w:p w:rsidR="00000000" w:rsidRDefault="00000000">
            <w:pPr>
              <w:pStyle w:val="table"/>
            </w:pPr>
            <w:r>
              <w:t>1993</w:t>
            </w:r>
          </w:p>
        </w:tc>
        <w:tc>
          <w:tcPr>
            <w:tcW w:w="1843" w:type="dxa"/>
          </w:tcPr>
          <w:p w:rsidR="00000000" w:rsidRDefault="00000000">
            <w:pPr>
              <w:pStyle w:val="table"/>
              <w:tabs>
                <w:tab w:val="decimal" w:pos="885"/>
              </w:tabs>
            </w:pPr>
            <w:r>
              <w:t>2907</w:t>
            </w:r>
          </w:p>
        </w:tc>
        <w:tc>
          <w:tcPr>
            <w:tcW w:w="1843" w:type="dxa"/>
          </w:tcPr>
          <w:p w:rsidR="00000000" w:rsidRDefault="00000000">
            <w:pPr>
              <w:pStyle w:val="table"/>
              <w:tabs>
                <w:tab w:val="decimal" w:pos="885"/>
              </w:tabs>
            </w:pPr>
            <w:r>
              <w:t>1935</w:t>
            </w:r>
          </w:p>
        </w:tc>
        <w:tc>
          <w:tcPr>
            <w:tcW w:w="2126" w:type="dxa"/>
          </w:tcPr>
          <w:p w:rsidR="00000000" w:rsidRDefault="00000000">
            <w:pPr>
              <w:pStyle w:val="table"/>
              <w:tabs>
                <w:tab w:val="decimal" w:pos="885"/>
              </w:tabs>
            </w:pPr>
            <w:r>
              <w:t>66,6</w:t>
            </w:r>
          </w:p>
        </w:tc>
      </w:tr>
      <w:tr w:rsidR="00000000">
        <w:tblPrEx>
          <w:tblCellMar>
            <w:top w:w="0" w:type="dxa"/>
            <w:bottom w:w="0" w:type="dxa"/>
          </w:tblCellMar>
        </w:tblPrEx>
        <w:tc>
          <w:tcPr>
            <w:tcW w:w="1679" w:type="dxa"/>
          </w:tcPr>
          <w:p w:rsidR="00000000" w:rsidRDefault="00000000">
            <w:pPr>
              <w:pStyle w:val="table"/>
            </w:pPr>
            <w:r>
              <w:t>1994</w:t>
            </w:r>
          </w:p>
        </w:tc>
        <w:tc>
          <w:tcPr>
            <w:tcW w:w="1843" w:type="dxa"/>
          </w:tcPr>
          <w:p w:rsidR="00000000" w:rsidRDefault="00000000">
            <w:pPr>
              <w:pStyle w:val="table"/>
              <w:tabs>
                <w:tab w:val="decimal" w:pos="885"/>
              </w:tabs>
            </w:pPr>
            <w:r>
              <w:t>2977</w:t>
            </w:r>
          </w:p>
        </w:tc>
        <w:tc>
          <w:tcPr>
            <w:tcW w:w="1843" w:type="dxa"/>
          </w:tcPr>
          <w:p w:rsidR="00000000" w:rsidRDefault="00000000">
            <w:pPr>
              <w:pStyle w:val="table"/>
              <w:tabs>
                <w:tab w:val="decimal" w:pos="885"/>
              </w:tabs>
            </w:pPr>
            <w:r>
              <w:t>2001</w:t>
            </w:r>
          </w:p>
        </w:tc>
        <w:tc>
          <w:tcPr>
            <w:tcW w:w="2126" w:type="dxa"/>
          </w:tcPr>
          <w:p w:rsidR="00000000" w:rsidRDefault="00000000">
            <w:pPr>
              <w:pStyle w:val="table"/>
              <w:tabs>
                <w:tab w:val="decimal" w:pos="885"/>
              </w:tabs>
            </w:pPr>
            <w:r>
              <w:t>67,2</w:t>
            </w:r>
          </w:p>
        </w:tc>
      </w:tr>
      <w:tr w:rsidR="00000000">
        <w:tblPrEx>
          <w:tblCellMar>
            <w:top w:w="0" w:type="dxa"/>
            <w:bottom w:w="0" w:type="dxa"/>
          </w:tblCellMar>
        </w:tblPrEx>
        <w:tc>
          <w:tcPr>
            <w:tcW w:w="1679" w:type="dxa"/>
          </w:tcPr>
          <w:p w:rsidR="00000000" w:rsidRDefault="00000000">
            <w:pPr>
              <w:pStyle w:val="table"/>
            </w:pPr>
            <w:r>
              <w:t>1995</w:t>
            </w:r>
          </w:p>
        </w:tc>
        <w:tc>
          <w:tcPr>
            <w:tcW w:w="1843" w:type="dxa"/>
          </w:tcPr>
          <w:p w:rsidR="00000000" w:rsidRDefault="00000000">
            <w:pPr>
              <w:pStyle w:val="table"/>
              <w:tabs>
                <w:tab w:val="decimal" w:pos="885"/>
              </w:tabs>
            </w:pPr>
            <w:r>
              <w:t>3080</w:t>
            </w:r>
          </w:p>
        </w:tc>
        <w:tc>
          <w:tcPr>
            <w:tcW w:w="1843" w:type="dxa"/>
          </w:tcPr>
          <w:p w:rsidR="00000000" w:rsidRDefault="00000000">
            <w:pPr>
              <w:pStyle w:val="table"/>
              <w:tabs>
                <w:tab w:val="decimal" w:pos="885"/>
              </w:tabs>
            </w:pPr>
            <w:r>
              <w:t>2086</w:t>
            </w:r>
          </w:p>
        </w:tc>
        <w:tc>
          <w:tcPr>
            <w:tcW w:w="2126" w:type="dxa"/>
          </w:tcPr>
          <w:p w:rsidR="00000000" w:rsidRDefault="00000000">
            <w:pPr>
              <w:pStyle w:val="table"/>
              <w:tabs>
                <w:tab w:val="decimal" w:pos="885"/>
              </w:tabs>
            </w:pPr>
            <w:r>
              <w:t>67,7</w:t>
            </w:r>
          </w:p>
        </w:tc>
      </w:tr>
      <w:tr w:rsidR="00000000">
        <w:tblPrEx>
          <w:tblCellMar>
            <w:top w:w="0" w:type="dxa"/>
            <w:bottom w:w="0" w:type="dxa"/>
          </w:tblCellMar>
        </w:tblPrEx>
        <w:tc>
          <w:tcPr>
            <w:tcW w:w="1679" w:type="dxa"/>
          </w:tcPr>
          <w:p w:rsidR="00000000" w:rsidRDefault="00000000">
            <w:pPr>
              <w:pStyle w:val="table"/>
            </w:pPr>
            <w:r>
              <w:t>1996</w:t>
            </w:r>
          </w:p>
        </w:tc>
        <w:tc>
          <w:tcPr>
            <w:tcW w:w="1843" w:type="dxa"/>
          </w:tcPr>
          <w:p w:rsidR="00000000" w:rsidRDefault="00000000">
            <w:pPr>
              <w:pStyle w:val="table"/>
              <w:tabs>
                <w:tab w:val="decimal" w:pos="885"/>
              </w:tabs>
            </w:pPr>
            <w:r>
              <w:t>3163</w:t>
            </w:r>
          </w:p>
        </w:tc>
        <w:tc>
          <w:tcPr>
            <w:tcW w:w="1843" w:type="dxa"/>
          </w:tcPr>
          <w:p w:rsidR="00000000" w:rsidRDefault="00000000">
            <w:pPr>
              <w:pStyle w:val="table"/>
              <w:tabs>
                <w:tab w:val="decimal" w:pos="885"/>
              </w:tabs>
            </w:pPr>
            <w:r>
              <w:t>2164</w:t>
            </w:r>
          </w:p>
        </w:tc>
        <w:tc>
          <w:tcPr>
            <w:tcW w:w="2126" w:type="dxa"/>
          </w:tcPr>
          <w:p w:rsidR="00000000" w:rsidRDefault="00000000">
            <w:pPr>
              <w:pStyle w:val="table"/>
              <w:tabs>
                <w:tab w:val="decimal" w:pos="885"/>
              </w:tabs>
            </w:pPr>
            <w:r>
              <w:t>68,4</w:t>
            </w:r>
          </w:p>
        </w:tc>
      </w:tr>
      <w:tr w:rsidR="00000000">
        <w:tblPrEx>
          <w:tblCellMar>
            <w:top w:w="0" w:type="dxa"/>
            <w:bottom w:w="0" w:type="dxa"/>
          </w:tblCellMar>
        </w:tblPrEx>
        <w:tc>
          <w:tcPr>
            <w:tcW w:w="1679" w:type="dxa"/>
          </w:tcPr>
          <w:p w:rsidR="00000000" w:rsidRDefault="00000000">
            <w:pPr>
              <w:pStyle w:val="table"/>
            </w:pPr>
            <w:r>
              <w:t>1997</w:t>
            </w:r>
          </w:p>
        </w:tc>
        <w:tc>
          <w:tcPr>
            <w:tcW w:w="1843" w:type="dxa"/>
          </w:tcPr>
          <w:p w:rsidR="00000000" w:rsidRDefault="00000000">
            <w:pPr>
              <w:pStyle w:val="table"/>
              <w:tabs>
                <w:tab w:val="decimal" w:pos="885"/>
              </w:tabs>
            </w:pPr>
            <w:r>
              <w:t>3204</w:t>
            </w:r>
          </w:p>
        </w:tc>
        <w:tc>
          <w:tcPr>
            <w:tcW w:w="1843" w:type="dxa"/>
          </w:tcPr>
          <w:p w:rsidR="00000000" w:rsidRDefault="00000000">
            <w:pPr>
              <w:pStyle w:val="table"/>
              <w:tabs>
                <w:tab w:val="decimal" w:pos="885"/>
              </w:tabs>
            </w:pPr>
            <w:r>
              <w:t>2222</w:t>
            </w:r>
          </w:p>
        </w:tc>
        <w:tc>
          <w:tcPr>
            <w:tcW w:w="2126" w:type="dxa"/>
          </w:tcPr>
          <w:p w:rsidR="00000000" w:rsidRDefault="00000000">
            <w:pPr>
              <w:pStyle w:val="table"/>
              <w:tabs>
                <w:tab w:val="decimal" w:pos="885"/>
              </w:tabs>
            </w:pPr>
            <w:r>
              <w:t>69,4</w:t>
            </w:r>
          </w:p>
        </w:tc>
      </w:tr>
      <w:tr w:rsidR="00000000">
        <w:tblPrEx>
          <w:tblCellMar>
            <w:top w:w="0" w:type="dxa"/>
            <w:bottom w:w="0" w:type="dxa"/>
          </w:tblCellMar>
        </w:tblPrEx>
        <w:tc>
          <w:tcPr>
            <w:tcW w:w="1679" w:type="dxa"/>
          </w:tcPr>
          <w:p w:rsidR="00000000" w:rsidRDefault="00000000">
            <w:pPr>
              <w:pStyle w:val="table"/>
            </w:pPr>
            <w:r>
              <w:t>1998</w:t>
            </w:r>
          </w:p>
        </w:tc>
        <w:tc>
          <w:tcPr>
            <w:tcW w:w="1843" w:type="dxa"/>
          </w:tcPr>
          <w:p w:rsidR="00000000" w:rsidRDefault="00000000">
            <w:pPr>
              <w:pStyle w:val="table"/>
              <w:tabs>
                <w:tab w:val="decimal" w:pos="885"/>
              </w:tabs>
            </w:pPr>
            <w:r>
              <w:t>3270</w:t>
            </w:r>
          </w:p>
        </w:tc>
        <w:tc>
          <w:tcPr>
            <w:tcW w:w="1843" w:type="dxa"/>
          </w:tcPr>
          <w:p w:rsidR="00000000" w:rsidRDefault="00000000">
            <w:pPr>
              <w:pStyle w:val="table"/>
              <w:tabs>
                <w:tab w:val="decimal" w:pos="885"/>
              </w:tabs>
            </w:pPr>
            <w:r>
              <w:t>2281</w:t>
            </w:r>
          </w:p>
        </w:tc>
        <w:tc>
          <w:tcPr>
            <w:tcW w:w="2126" w:type="dxa"/>
          </w:tcPr>
          <w:p w:rsidR="00000000" w:rsidRDefault="00000000">
            <w:pPr>
              <w:pStyle w:val="table"/>
              <w:tabs>
                <w:tab w:val="decimal" w:pos="885"/>
              </w:tabs>
            </w:pPr>
            <w:r>
              <w:t>69,8</w:t>
            </w:r>
          </w:p>
        </w:tc>
      </w:tr>
      <w:tr w:rsidR="00000000">
        <w:tblPrEx>
          <w:tblCellMar>
            <w:top w:w="0" w:type="dxa"/>
            <w:bottom w:w="0" w:type="dxa"/>
          </w:tblCellMar>
        </w:tblPrEx>
        <w:tc>
          <w:tcPr>
            <w:tcW w:w="1679" w:type="dxa"/>
          </w:tcPr>
          <w:p w:rsidR="00000000" w:rsidRDefault="00000000">
            <w:pPr>
              <w:pStyle w:val="table"/>
            </w:pPr>
            <w:r>
              <w:t>1999</w:t>
            </w:r>
          </w:p>
        </w:tc>
        <w:tc>
          <w:tcPr>
            <w:tcW w:w="1843" w:type="dxa"/>
          </w:tcPr>
          <w:p w:rsidR="00000000" w:rsidRDefault="00000000">
            <w:pPr>
              <w:pStyle w:val="table"/>
              <w:tabs>
                <w:tab w:val="decimal" w:pos="885"/>
              </w:tabs>
            </w:pPr>
            <w:r>
              <w:t>3358</w:t>
            </w:r>
          </w:p>
        </w:tc>
        <w:tc>
          <w:tcPr>
            <w:tcW w:w="1843" w:type="dxa"/>
          </w:tcPr>
          <w:p w:rsidR="00000000" w:rsidRDefault="00000000">
            <w:pPr>
              <w:pStyle w:val="table"/>
              <w:tabs>
                <w:tab w:val="decimal" w:pos="885"/>
              </w:tabs>
            </w:pPr>
            <w:r>
              <w:t>2352</w:t>
            </w:r>
          </w:p>
        </w:tc>
        <w:tc>
          <w:tcPr>
            <w:tcW w:w="2126" w:type="dxa"/>
          </w:tcPr>
          <w:p w:rsidR="00000000" w:rsidRDefault="00000000">
            <w:pPr>
              <w:pStyle w:val="table"/>
              <w:tabs>
                <w:tab w:val="decimal" w:pos="885"/>
              </w:tabs>
            </w:pPr>
            <w:r>
              <w:t>70,1</w:t>
            </w:r>
          </w:p>
        </w:tc>
      </w:tr>
      <w:tr w:rsidR="00000000">
        <w:tblPrEx>
          <w:tblCellMar>
            <w:top w:w="0" w:type="dxa"/>
            <w:bottom w:w="0" w:type="dxa"/>
          </w:tblCellMar>
        </w:tblPrEx>
        <w:tc>
          <w:tcPr>
            <w:tcW w:w="1679" w:type="dxa"/>
          </w:tcPr>
          <w:p w:rsidR="00000000" w:rsidRDefault="00000000">
            <w:pPr>
              <w:pStyle w:val="table"/>
            </w:pPr>
            <w:r>
              <w:t>2000</w:t>
            </w:r>
          </w:p>
        </w:tc>
        <w:tc>
          <w:tcPr>
            <w:tcW w:w="1843" w:type="dxa"/>
          </w:tcPr>
          <w:p w:rsidR="00000000" w:rsidRDefault="00000000">
            <w:pPr>
              <w:pStyle w:val="table"/>
              <w:tabs>
                <w:tab w:val="decimal" w:pos="885"/>
              </w:tabs>
            </w:pPr>
            <w:r>
              <w:t>3448</w:t>
            </w:r>
          </w:p>
        </w:tc>
        <w:tc>
          <w:tcPr>
            <w:tcW w:w="1843" w:type="dxa"/>
          </w:tcPr>
          <w:p w:rsidR="00000000" w:rsidRDefault="00000000">
            <w:pPr>
              <w:pStyle w:val="table"/>
              <w:tabs>
                <w:tab w:val="decimal" w:pos="885"/>
              </w:tabs>
            </w:pPr>
            <w:r>
              <w:t>2428</w:t>
            </w:r>
          </w:p>
        </w:tc>
        <w:tc>
          <w:tcPr>
            <w:tcW w:w="2126" w:type="dxa"/>
          </w:tcPr>
          <w:p w:rsidR="00000000" w:rsidRDefault="00000000">
            <w:pPr>
              <w:pStyle w:val="table"/>
              <w:tabs>
                <w:tab w:val="decimal" w:pos="885"/>
              </w:tabs>
            </w:pPr>
            <w:r>
              <w:t>70,4</w:t>
            </w:r>
          </w:p>
        </w:tc>
      </w:tr>
      <w:tr w:rsidR="00000000">
        <w:tblPrEx>
          <w:tblCellMar>
            <w:top w:w="0" w:type="dxa"/>
            <w:bottom w:w="0" w:type="dxa"/>
          </w:tblCellMar>
        </w:tblPrEx>
        <w:tc>
          <w:tcPr>
            <w:tcW w:w="1679" w:type="dxa"/>
          </w:tcPr>
          <w:p w:rsidR="00000000" w:rsidRDefault="00000000">
            <w:pPr>
              <w:pStyle w:val="table"/>
            </w:pPr>
            <w:r>
              <w:t>2001</w:t>
            </w:r>
          </w:p>
        </w:tc>
        <w:tc>
          <w:tcPr>
            <w:tcW w:w="1843" w:type="dxa"/>
          </w:tcPr>
          <w:p w:rsidR="00000000" w:rsidRDefault="00000000">
            <w:pPr>
              <w:pStyle w:val="table"/>
              <w:tabs>
                <w:tab w:val="decimal" w:pos="885"/>
              </w:tabs>
            </w:pPr>
            <w:r>
              <w:t>3546</w:t>
            </w:r>
          </w:p>
        </w:tc>
        <w:tc>
          <w:tcPr>
            <w:tcW w:w="1843" w:type="dxa"/>
          </w:tcPr>
          <w:p w:rsidR="00000000" w:rsidRDefault="00000000">
            <w:pPr>
              <w:pStyle w:val="table"/>
              <w:tabs>
                <w:tab w:val="decimal" w:pos="885"/>
              </w:tabs>
            </w:pPr>
            <w:r>
              <w:t>2506</w:t>
            </w:r>
          </w:p>
        </w:tc>
        <w:tc>
          <w:tcPr>
            <w:tcW w:w="2126" w:type="dxa"/>
          </w:tcPr>
          <w:p w:rsidR="00000000" w:rsidRDefault="00000000">
            <w:pPr>
              <w:pStyle w:val="table"/>
              <w:tabs>
                <w:tab w:val="decimal" w:pos="885"/>
              </w:tabs>
            </w:pPr>
            <w:r>
              <w:t>70,7</w:t>
            </w:r>
          </w:p>
        </w:tc>
      </w:tr>
      <w:tr w:rsidR="00000000">
        <w:tblPrEx>
          <w:tblCellMar>
            <w:top w:w="0" w:type="dxa"/>
            <w:bottom w:w="0" w:type="dxa"/>
          </w:tblCellMar>
        </w:tblPrEx>
        <w:tc>
          <w:tcPr>
            <w:tcW w:w="1679" w:type="dxa"/>
          </w:tcPr>
          <w:p w:rsidR="00000000" w:rsidRDefault="00000000">
            <w:pPr>
              <w:pStyle w:val="table"/>
            </w:pPr>
          </w:p>
        </w:tc>
        <w:tc>
          <w:tcPr>
            <w:tcW w:w="5812" w:type="dxa"/>
            <w:gridSpan w:val="3"/>
          </w:tcPr>
          <w:p w:rsidR="00000000" w:rsidRDefault="00000000">
            <w:pPr>
              <w:pStyle w:val="table"/>
            </w:pPr>
            <w:r>
              <w:t>Новая федеральная территория</w:t>
            </w:r>
          </w:p>
        </w:tc>
      </w:tr>
      <w:tr w:rsidR="00000000">
        <w:tblPrEx>
          <w:tblCellMar>
            <w:top w:w="0" w:type="dxa"/>
            <w:bottom w:w="0" w:type="dxa"/>
          </w:tblCellMar>
        </w:tblPrEx>
        <w:tc>
          <w:tcPr>
            <w:tcW w:w="1679" w:type="dxa"/>
          </w:tcPr>
          <w:p w:rsidR="00000000" w:rsidRDefault="00000000">
            <w:pPr>
              <w:pStyle w:val="table"/>
            </w:pPr>
            <w:r>
              <w:t>1991</w:t>
            </w:r>
          </w:p>
        </w:tc>
        <w:tc>
          <w:tcPr>
            <w:tcW w:w="1843" w:type="dxa"/>
          </w:tcPr>
          <w:p w:rsidR="00000000" w:rsidRDefault="00000000">
            <w:pPr>
              <w:pStyle w:val="table"/>
              <w:tabs>
                <w:tab w:val="decimal" w:pos="885"/>
              </w:tabs>
            </w:pPr>
            <w:r>
              <w:t>1150</w:t>
            </w:r>
          </w:p>
        </w:tc>
        <w:tc>
          <w:tcPr>
            <w:tcW w:w="1843" w:type="dxa"/>
          </w:tcPr>
          <w:p w:rsidR="00000000" w:rsidRDefault="00000000">
            <w:pPr>
              <w:pStyle w:val="table"/>
              <w:tabs>
                <w:tab w:val="decimal" w:pos="885"/>
              </w:tabs>
            </w:pPr>
            <w:r>
              <w:t>867</w:t>
            </w:r>
          </w:p>
        </w:tc>
        <w:tc>
          <w:tcPr>
            <w:tcW w:w="2126" w:type="dxa"/>
          </w:tcPr>
          <w:p w:rsidR="00000000" w:rsidRDefault="00000000">
            <w:pPr>
              <w:pStyle w:val="table"/>
              <w:tabs>
                <w:tab w:val="decimal" w:pos="885"/>
              </w:tabs>
            </w:pPr>
            <w:r>
              <w:t>75,4</w:t>
            </w:r>
          </w:p>
        </w:tc>
      </w:tr>
      <w:tr w:rsidR="00000000">
        <w:tblPrEx>
          <w:tblCellMar>
            <w:top w:w="0" w:type="dxa"/>
            <w:bottom w:w="0" w:type="dxa"/>
          </w:tblCellMar>
        </w:tblPrEx>
        <w:tc>
          <w:tcPr>
            <w:tcW w:w="1679" w:type="dxa"/>
          </w:tcPr>
          <w:p w:rsidR="00000000" w:rsidRDefault="00000000">
            <w:pPr>
              <w:pStyle w:val="table"/>
            </w:pPr>
            <w:r>
              <w:t>1992</w:t>
            </w:r>
          </w:p>
        </w:tc>
        <w:tc>
          <w:tcPr>
            <w:tcW w:w="1843" w:type="dxa"/>
          </w:tcPr>
          <w:p w:rsidR="00000000" w:rsidRDefault="00000000">
            <w:pPr>
              <w:pStyle w:val="table"/>
              <w:tabs>
                <w:tab w:val="decimal" w:pos="885"/>
              </w:tabs>
            </w:pPr>
            <w:r>
              <w:t>1553</w:t>
            </w:r>
          </w:p>
        </w:tc>
        <w:tc>
          <w:tcPr>
            <w:tcW w:w="1843" w:type="dxa"/>
          </w:tcPr>
          <w:p w:rsidR="00000000" w:rsidRDefault="00000000">
            <w:pPr>
              <w:pStyle w:val="table"/>
              <w:tabs>
                <w:tab w:val="decimal" w:pos="885"/>
              </w:tabs>
            </w:pPr>
            <w:r>
              <w:t>1158</w:t>
            </w:r>
          </w:p>
        </w:tc>
        <w:tc>
          <w:tcPr>
            <w:tcW w:w="2126" w:type="dxa"/>
          </w:tcPr>
          <w:p w:rsidR="00000000" w:rsidRDefault="00000000">
            <w:pPr>
              <w:pStyle w:val="table"/>
              <w:tabs>
                <w:tab w:val="decimal" w:pos="885"/>
              </w:tabs>
            </w:pPr>
            <w:r>
              <w:t>74,5</w:t>
            </w:r>
          </w:p>
        </w:tc>
      </w:tr>
      <w:tr w:rsidR="00000000">
        <w:tblPrEx>
          <w:tblCellMar>
            <w:top w:w="0" w:type="dxa"/>
            <w:bottom w:w="0" w:type="dxa"/>
          </w:tblCellMar>
        </w:tblPrEx>
        <w:tc>
          <w:tcPr>
            <w:tcW w:w="1679" w:type="dxa"/>
          </w:tcPr>
          <w:p w:rsidR="00000000" w:rsidRDefault="00000000">
            <w:pPr>
              <w:pStyle w:val="table"/>
            </w:pPr>
            <w:r>
              <w:t>1993</w:t>
            </w:r>
          </w:p>
        </w:tc>
        <w:tc>
          <w:tcPr>
            <w:tcW w:w="1843" w:type="dxa"/>
          </w:tcPr>
          <w:p w:rsidR="00000000" w:rsidRDefault="00000000">
            <w:pPr>
              <w:pStyle w:val="table"/>
              <w:tabs>
                <w:tab w:val="decimal" w:pos="885"/>
              </w:tabs>
            </w:pPr>
            <w:r>
              <w:t>1845</w:t>
            </w:r>
          </w:p>
        </w:tc>
        <w:tc>
          <w:tcPr>
            <w:tcW w:w="1843" w:type="dxa"/>
          </w:tcPr>
          <w:p w:rsidR="00000000" w:rsidRDefault="00000000">
            <w:pPr>
              <w:pStyle w:val="table"/>
              <w:tabs>
                <w:tab w:val="decimal" w:pos="885"/>
              </w:tabs>
            </w:pPr>
            <w:r>
              <w:t>1367</w:t>
            </w:r>
          </w:p>
        </w:tc>
        <w:tc>
          <w:tcPr>
            <w:tcW w:w="2126" w:type="dxa"/>
          </w:tcPr>
          <w:p w:rsidR="00000000" w:rsidRDefault="00000000">
            <w:pPr>
              <w:pStyle w:val="table"/>
              <w:tabs>
                <w:tab w:val="decimal" w:pos="885"/>
              </w:tabs>
            </w:pPr>
            <w:r>
              <w:t>74,1</w:t>
            </w:r>
          </w:p>
        </w:tc>
      </w:tr>
      <w:tr w:rsidR="00000000">
        <w:tblPrEx>
          <w:tblCellMar>
            <w:top w:w="0" w:type="dxa"/>
            <w:bottom w:w="0" w:type="dxa"/>
          </w:tblCellMar>
        </w:tblPrEx>
        <w:tc>
          <w:tcPr>
            <w:tcW w:w="1679" w:type="dxa"/>
          </w:tcPr>
          <w:p w:rsidR="00000000" w:rsidRDefault="00000000">
            <w:pPr>
              <w:pStyle w:val="table"/>
            </w:pPr>
            <w:r>
              <w:t>1994</w:t>
            </w:r>
          </w:p>
        </w:tc>
        <w:tc>
          <w:tcPr>
            <w:tcW w:w="1843" w:type="dxa"/>
          </w:tcPr>
          <w:p w:rsidR="00000000" w:rsidRDefault="00000000">
            <w:pPr>
              <w:pStyle w:val="table"/>
              <w:tabs>
                <w:tab w:val="decimal" w:pos="885"/>
              </w:tabs>
            </w:pPr>
            <w:r>
              <w:t>2055</w:t>
            </w:r>
          </w:p>
        </w:tc>
        <w:tc>
          <w:tcPr>
            <w:tcW w:w="1843" w:type="dxa"/>
          </w:tcPr>
          <w:p w:rsidR="00000000" w:rsidRDefault="00000000">
            <w:pPr>
              <w:pStyle w:val="table"/>
              <w:tabs>
                <w:tab w:val="decimal" w:pos="885"/>
              </w:tabs>
            </w:pPr>
            <w:r>
              <w:t>1512</w:t>
            </w:r>
          </w:p>
        </w:tc>
        <w:tc>
          <w:tcPr>
            <w:tcW w:w="2126" w:type="dxa"/>
          </w:tcPr>
          <w:p w:rsidR="00000000" w:rsidRDefault="00000000">
            <w:pPr>
              <w:pStyle w:val="table"/>
              <w:tabs>
                <w:tab w:val="decimal" w:pos="885"/>
              </w:tabs>
            </w:pPr>
            <w:r>
              <w:t>73,6</w:t>
            </w:r>
          </w:p>
        </w:tc>
      </w:tr>
      <w:tr w:rsidR="00000000">
        <w:tblPrEx>
          <w:tblCellMar>
            <w:top w:w="0" w:type="dxa"/>
            <w:bottom w:w="0" w:type="dxa"/>
          </w:tblCellMar>
        </w:tblPrEx>
        <w:tc>
          <w:tcPr>
            <w:tcW w:w="1679" w:type="dxa"/>
          </w:tcPr>
          <w:p w:rsidR="00000000" w:rsidRDefault="00000000">
            <w:pPr>
              <w:pStyle w:val="table"/>
            </w:pPr>
            <w:r>
              <w:t>1995</w:t>
            </w:r>
          </w:p>
        </w:tc>
        <w:tc>
          <w:tcPr>
            <w:tcW w:w="1843" w:type="dxa"/>
          </w:tcPr>
          <w:p w:rsidR="00000000" w:rsidRDefault="00000000">
            <w:pPr>
              <w:pStyle w:val="table"/>
              <w:tabs>
                <w:tab w:val="decimal" w:pos="885"/>
              </w:tabs>
            </w:pPr>
            <w:r>
              <w:t>2247</w:t>
            </w:r>
          </w:p>
        </w:tc>
        <w:tc>
          <w:tcPr>
            <w:tcW w:w="1843" w:type="dxa"/>
          </w:tcPr>
          <w:p w:rsidR="00000000" w:rsidRDefault="00000000">
            <w:pPr>
              <w:pStyle w:val="table"/>
              <w:tabs>
                <w:tab w:val="decimal" w:pos="885"/>
              </w:tabs>
            </w:pPr>
            <w:r>
              <w:t>1652</w:t>
            </w:r>
          </w:p>
        </w:tc>
        <w:tc>
          <w:tcPr>
            <w:tcW w:w="2126" w:type="dxa"/>
          </w:tcPr>
          <w:p w:rsidR="00000000" w:rsidRDefault="00000000">
            <w:pPr>
              <w:pStyle w:val="table"/>
              <w:tabs>
                <w:tab w:val="decimal" w:pos="885"/>
              </w:tabs>
            </w:pPr>
            <w:r>
              <w:t>73,6</w:t>
            </w:r>
          </w:p>
        </w:tc>
      </w:tr>
      <w:tr w:rsidR="00000000">
        <w:tblPrEx>
          <w:tblCellMar>
            <w:top w:w="0" w:type="dxa"/>
            <w:bottom w:w="0" w:type="dxa"/>
          </w:tblCellMar>
        </w:tblPrEx>
        <w:tc>
          <w:tcPr>
            <w:tcW w:w="1679" w:type="dxa"/>
          </w:tcPr>
          <w:p w:rsidR="00000000" w:rsidRDefault="00000000">
            <w:pPr>
              <w:pStyle w:val="table"/>
            </w:pPr>
            <w:r>
              <w:t>1996</w:t>
            </w:r>
          </w:p>
        </w:tc>
        <w:tc>
          <w:tcPr>
            <w:tcW w:w="1843" w:type="dxa"/>
          </w:tcPr>
          <w:p w:rsidR="00000000" w:rsidRDefault="00000000">
            <w:pPr>
              <w:pStyle w:val="table"/>
              <w:tabs>
                <w:tab w:val="decimal" w:pos="885"/>
              </w:tabs>
            </w:pPr>
            <w:r>
              <w:t>2415</w:t>
            </w:r>
          </w:p>
        </w:tc>
        <w:tc>
          <w:tcPr>
            <w:tcW w:w="1843" w:type="dxa"/>
          </w:tcPr>
          <w:p w:rsidR="00000000" w:rsidRDefault="00000000">
            <w:pPr>
              <w:pStyle w:val="table"/>
              <w:tabs>
                <w:tab w:val="decimal" w:pos="885"/>
              </w:tabs>
            </w:pPr>
            <w:r>
              <w:t>1767</w:t>
            </w:r>
          </w:p>
        </w:tc>
        <w:tc>
          <w:tcPr>
            <w:tcW w:w="2126" w:type="dxa"/>
          </w:tcPr>
          <w:p w:rsidR="00000000" w:rsidRDefault="00000000">
            <w:pPr>
              <w:pStyle w:val="table"/>
              <w:tabs>
                <w:tab w:val="decimal" w:pos="885"/>
              </w:tabs>
            </w:pPr>
            <w:r>
              <w:t>73,2</w:t>
            </w:r>
          </w:p>
        </w:tc>
      </w:tr>
      <w:tr w:rsidR="00000000">
        <w:tblPrEx>
          <w:tblCellMar>
            <w:top w:w="0" w:type="dxa"/>
            <w:bottom w:w="0" w:type="dxa"/>
          </w:tblCellMar>
        </w:tblPrEx>
        <w:tc>
          <w:tcPr>
            <w:tcW w:w="1679" w:type="dxa"/>
          </w:tcPr>
          <w:p w:rsidR="00000000" w:rsidRDefault="00000000">
            <w:pPr>
              <w:pStyle w:val="table"/>
            </w:pPr>
            <w:r>
              <w:t>1997</w:t>
            </w:r>
          </w:p>
        </w:tc>
        <w:tc>
          <w:tcPr>
            <w:tcW w:w="1843" w:type="dxa"/>
          </w:tcPr>
          <w:p w:rsidR="00000000" w:rsidRDefault="00000000">
            <w:pPr>
              <w:pStyle w:val="table"/>
              <w:tabs>
                <w:tab w:val="decimal" w:pos="885"/>
              </w:tabs>
            </w:pPr>
            <w:r>
              <w:t>2483</w:t>
            </w:r>
          </w:p>
        </w:tc>
        <w:tc>
          <w:tcPr>
            <w:tcW w:w="1843" w:type="dxa"/>
          </w:tcPr>
          <w:p w:rsidR="00000000" w:rsidRDefault="00000000">
            <w:pPr>
              <w:pStyle w:val="table"/>
              <w:tabs>
                <w:tab w:val="decimal" w:pos="885"/>
              </w:tabs>
            </w:pPr>
            <w:r>
              <w:t>1832</w:t>
            </w:r>
          </w:p>
        </w:tc>
        <w:tc>
          <w:tcPr>
            <w:tcW w:w="2126" w:type="dxa"/>
          </w:tcPr>
          <w:p w:rsidR="00000000" w:rsidRDefault="00000000">
            <w:pPr>
              <w:pStyle w:val="table"/>
              <w:tabs>
                <w:tab w:val="decimal" w:pos="885"/>
              </w:tabs>
            </w:pPr>
            <w:r>
              <w:t>73,8</w:t>
            </w:r>
          </w:p>
        </w:tc>
      </w:tr>
      <w:tr w:rsidR="00000000">
        <w:tblPrEx>
          <w:tblCellMar>
            <w:top w:w="0" w:type="dxa"/>
            <w:bottom w:w="0" w:type="dxa"/>
          </w:tblCellMar>
        </w:tblPrEx>
        <w:tc>
          <w:tcPr>
            <w:tcW w:w="1679" w:type="dxa"/>
          </w:tcPr>
          <w:p w:rsidR="00000000" w:rsidRDefault="00000000">
            <w:pPr>
              <w:pStyle w:val="table"/>
            </w:pPr>
            <w:r>
              <w:t>1998</w:t>
            </w:r>
          </w:p>
        </w:tc>
        <w:tc>
          <w:tcPr>
            <w:tcW w:w="1843" w:type="dxa"/>
          </w:tcPr>
          <w:p w:rsidR="00000000" w:rsidRDefault="00000000">
            <w:pPr>
              <w:pStyle w:val="table"/>
              <w:tabs>
                <w:tab w:val="decimal" w:pos="885"/>
              </w:tabs>
            </w:pPr>
            <w:r>
              <w:t>2539</w:t>
            </w:r>
          </w:p>
        </w:tc>
        <w:tc>
          <w:tcPr>
            <w:tcW w:w="1843" w:type="dxa"/>
          </w:tcPr>
          <w:p w:rsidR="00000000" w:rsidRDefault="00000000">
            <w:pPr>
              <w:pStyle w:val="table"/>
              <w:tabs>
                <w:tab w:val="decimal" w:pos="885"/>
              </w:tabs>
            </w:pPr>
            <w:r>
              <w:t>1894</w:t>
            </w:r>
          </w:p>
        </w:tc>
        <w:tc>
          <w:tcPr>
            <w:tcW w:w="2126" w:type="dxa"/>
          </w:tcPr>
          <w:p w:rsidR="00000000" w:rsidRDefault="00000000">
            <w:pPr>
              <w:pStyle w:val="table"/>
              <w:tabs>
                <w:tab w:val="decimal" w:pos="885"/>
              </w:tabs>
            </w:pPr>
            <w:r>
              <w:t>74,6</w:t>
            </w:r>
          </w:p>
        </w:tc>
      </w:tr>
      <w:tr w:rsidR="00000000">
        <w:tblPrEx>
          <w:tblCellMar>
            <w:top w:w="0" w:type="dxa"/>
            <w:bottom w:w="0" w:type="dxa"/>
          </w:tblCellMar>
        </w:tblPrEx>
        <w:tc>
          <w:tcPr>
            <w:tcW w:w="1679" w:type="dxa"/>
          </w:tcPr>
          <w:p w:rsidR="00000000" w:rsidRDefault="00000000">
            <w:pPr>
              <w:pStyle w:val="table"/>
            </w:pPr>
            <w:r>
              <w:t>1999</w:t>
            </w:r>
          </w:p>
        </w:tc>
        <w:tc>
          <w:tcPr>
            <w:tcW w:w="1843" w:type="dxa"/>
          </w:tcPr>
          <w:p w:rsidR="00000000" w:rsidRDefault="00000000">
            <w:pPr>
              <w:pStyle w:val="table"/>
              <w:tabs>
                <w:tab w:val="decimal" w:pos="885"/>
              </w:tabs>
            </w:pPr>
            <w:r>
              <w:t>2607</w:t>
            </w:r>
          </w:p>
        </w:tc>
        <w:tc>
          <w:tcPr>
            <w:tcW w:w="1843" w:type="dxa"/>
          </w:tcPr>
          <w:p w:rsidR="00000000" w:rsidRDefault="00000000">
            <w:pPr>
              <w:pStyle w:val="table"/>
              <w:tabs>
                <w:tab w:val="decimal" w:pos="885"/>
              </w:tabs>
            </w:pPr>
            <w:r>
              <w:t>1952</w:t>
            </w:r>
          </w:p>
        </w:tc>
        <w:tc>
          <w:tcPr>
            <w:tcW w:w="2126" w:type="dxa"/>
          </w:tcPr>
          <w:p w:rsidR="00000000" w:rsidRDefault="00000000">
            <w:pPr>
              <w:pStyle w:val="table"/>
              <w:tabs>
                <w:tab w:val="decimal" w:pos="885"/>
              </w:tabs>
            </w:pPr>
            <w:r>
              <w:t>74,9</w:t>
            </w:r>
          </w:p>
        </w:tc>
      </w:tr>
      <w:tr w:rsidR="00000000">
        <w:tblPrEx>
          <w:tblCellMar>
            <w:top w:w="0" w:type="dxa"/>
            <w:bottom w:w="0" w:type="dxa"/>
          </w:tblCellMar>
        </w:tblPrEx>
        <w:tc>
          <w:tcPr>
            <w:tcW w:w="1679" w:type="dxa"/>
          </w:tcPr>
          <w:p w:rsidR="00000000" w:rsidRDefault="00000000">
            <w:pPr>
              <w:pStyle w:val="table"/>
            </w:pPr>
            <w:r>
              <w:t>2000</w:t>
            </w:r>
          </w:p>
        </w:tc>
        <w:tc>
          <w:tcPr>
            <w:tcW w:w="1843" w:type="dxa"/>
          </w:tcPr>
          <w:p w:rsidR="00000000" w:rsidRDefault="00000000">
            <w:pPr>
              <w:pStyle w:val="table"/>
              <w:tabs>
                <w:tab w:val="decimal" w:pos="885"/>
              </w:tabs>
            </w:pPr>
            <w:r>
              <w:t>2668</w:t>
            </w:r>
          </w:p>
        </w:tc>
        <w:tc>
          <w:tcPr>
            <w:tcW w:w="1843" w:type="dxa"/>
          </w:tcPr>
          <w:p w:rsidR="00000000" w:rsidRDefault="00000000">
            <w:pPr>
              <w:pStyle w:val="table"/>
              <w:tabs>
                <w:tab w:val="decimal" w:pos="885"/>
              </w:tabs>
            </w:pPr>
            <w:r>
              <w:t>2006</w:t>
            </w:r>
          </w:p>
        </w:tc>
        <w:tc>
          <w:tcPr>
            <w:tcW w:w="2126" w:type="dxa"/>
          </w:tcPr>
          <w:p w:rsidR="00000000" w:rsidRDefault="00000000">
            <w:pPr>
              <w:pStyle w:val="table"/>
              <w:tabs>
                <w:tab w:val="decimal" w:pos="885"/>
              </w:tabs>
            </w:pPr>
            <w:r>
              <w:t>75,2</w:t>
            </w:r>
          </w:p>
        </w:tc>
      </w:tr>
      <w:tr w:rsidR="00000000">
        <w:tblPrEx>
          <w:tblCellMar>
            <w:top w:w="0" w:type="dxa"/>
            <w:bottom w:w="0" w:type="dxa"/>
          </w:tblCellMar>
        </w:tblPrEx>
        <w:tc>
          <w:tcPr>
            <w:tcW w:w="1679" w:type="dxa"/>
            <w:tcBorders>
              <w:bottom w:val="single" w:sz="12" w:space="0" w:color="auto"/>
            </w:tcBorders>
          </w:tcPr>
          <w:p w:rsidR="00000000" w:rsidRDefault="00000000">
            <w:pPr>
              <w:pStyle w:val="table"/>
            </w:pPr>
            <w:r>
              <w:t>2001</w:t>
            </w:r>
          </w:p>
        </w:tc>
        <w:tc>
          <w:tcPr>
            <w:tcW w:w="1843" w:type="dxa"/>
            <w:tcBorders>
              <w:bottom w:val="single" w:sz="12" w:space="0" w:color="auto"/>
            </w:tcBorders>
          </w:tcPr>
          <w:p w:rsidR="00000000" w:rsidRDefault="00000000">
            <w:pPr>
              <w:pStyle w:val="table"/>
              <w:tabs>
                <w:tab w:val="decimal" w:pos="885"/>
              </w:tabs>
            </w:pPr>
            <w:r>
              <w:t>2721</w:t>
            </w:r>
          </w:p>
        </w:tc>
        <w:tc>
          <w:tcPr>
            <w:tcW w:w="1843" w:type="dxa"/>
            <w:tcBorders>
              <w:bottom w:val="single" w:sz="12" w:space="0" w:color="auto"/>
            </w:tcBorders>
          </w:tcPr>
          <w:p w:rsidR="00000000" w:rsidRDefault="00000000">
            <w:pPr>
              <w:pStyle w:val="table"/>
              <w:tabs>
                <w:tab w:val="decimal" w:pos="885"/>
              </w:tabs>
            </w:pPr>
            <w:r>
              <w:t>2036</w:t>
            </w:r>
          </w:p>
        </w:tc>
        <w:tc>
          <w:tcPr>
            <w:tcW w:w="2126" w:type="dxa"/>
            <w:tcBorders>
              <w:bottom w:val="single" w:sz="12" w:space="0" w:color="auto"/>
            </w:tcBorders>
          </w:tcPr>
          <w:p w:rsidR="00000000" w:rsidRDefault="00000000">
            <w:pPr>
              <w:pStyle w:val="table"/>
              <w:tabs>
                <w:tab w:val="decimal" w:pos="885"/>
              </w:tabs>
            </w:pPr>
            <w:r>
              <w:t>74,8</w:t>
            </w:r>
          </w:p>
        </w:tc>
      </w:tr>
    </w:tbl>
    <w:p w:rsidR="00000000" w:rsidRDefault="00000000">
      <w:pPr>
        <w:pStyle w:val="istochnik"/>
      </w:pPr>
      <w:r>
        <w:t>*) Классификация экономических секторов 1993 года (</w:t>
      </w:r>
      <w:r>
        <w:rPr>
          <w:lang w:val="en-US"/>
        </w:rPr>
        <w:t>ES</w:t>
      </w:r>
      <w:r>
        <w:t>93)</w:t>
      </w:r>
    </w:p>
    <w:p w:rsidR="00000000" w:rsidRDefault="00000000">
      <w:pPr>
        <w:pStyle w:val="istochnik"/>
      </w:pPr>
      <w:r>
        <w:t>1) Средний показатель по четырем месяцам обследования.</w:t>
      </w:r>
    </w:p>
    <w:p w:rsidR="00000000" w:rsidRDefault="00000000">
      <w:pPr>
        <w:pStyle w:val="istochnik"/>
      </w:pPr>
      <w:r>
        <w:rPr>
          <w:i/>
        </w:rPr>
        <w:t>Источник</w:t>
      </w:r>
      <w:r>
        <w:t>: Федеральное статистическое управление</w:t>
      </w:r>
    </w:p>
    <w:p w:rsidR="00000000" w:rsidRDefault="00000000">
      <w:pPr>
        <w:pStyle w:val="istochnik"/>
        <w:sectPr w:rsidR="00000000">
          <w:headerReference w:type="even" r:id="rId21"/>
          <w:headerReference w:type="default" r:id="rId22"/>
          <w:footerReference w:type="even" r:id="rId23"/>
          <w:footerReference w:type="default" r:id="rId24"/>
          <w:endnotePr>
            <w:numFmt w:val="decimal"/>
          </w:endnotePr>
          <w:pgSz w:w="12240" w:h="15840" w:code="1"/>
          <w:pgMar w:top="1741" w:right="1196" w:bottom="1899" w:left="1196" w:header="578" w:footer="1038" w:gutter="0"/>
          <w:cols w:space="720"/>
          <w:noEndnote/>
        </w:sectPr>
      </w:pPr>
    </w:p>
    <w:p w:rsidR="00000000" w:rsidRDefault="00000000">
      <w:pPr>
        <w:pStyle w:val="H23"/>
        <w:ind w:left="0" w:firstLine="0"/>
      </w:pPr>
      <w:bookmarkStart w:id="698" w:name="_Toc44113559"/>
      <w:bookmarkStart w:id="699" w:name="_Toc44113860"/>
      <w:bookmarkStart w:id="700" w:name="_Toc44114368"/>
      <w:bookmarkStart w:id="701" w:name="_Toc44115614"/>
      <w:bookmarkStart w:id="702" w:name="_Toc44116046"/>
      <w:r>
        <w:t xml:space="preserve">Таблица 3.5 Динамика среднегодовых показателей безработицы среди женщин </w:t>
      </w:r>
      <w:r>
        <w:br/>
        <w:t>(прежняя федерал</w:t>
      </w:r>
      <w:r>
        <w:t>ь</w:t>
      </w:r>
      <w:r>
        <w:t>ная территория)</w:t>
      </w:r>
      <w:bookmarkEnd w:id="698"/>
      <w:bookmarkEnd w:id="699"/>
      <w:bookmarkEnd w:id="700"/>
      <w:bookmarkEnd w:id="701"/>
      <w:bookmarkEnd w:id="702"/>
    </w:p>
    <w:tbl>
      <w:tblPr>
        <w:tblW w:w="0" w:type="auto"/>
        <w:tblInd w:w="2" w:type="dxa"/>
        <w:tblLayout w:type="fixed"/>
        <w:tblLook w:val="0000" w:firstRow="0" w:lastRow="0" w:firstColumn="0" w:lastColumn="0" w:noHBand="0" w:noVBand="0"/>
      </w:tblPr>
      <w:tblGrid>
        <w:gridCol w:w="1751"/>
        <w:gridCol w:w="1906"/>
        <w:gridCol w:w="1900"/>
        <w:gridCol w:w="1898"/>
        <w:gridCol w:w="1897"/>
      </w:tblGrid>
      <w:tr w:rsidR="00000000">
        <w:tblPrEx>
          <w:tblCellMar>
            <w:top w:w="0" w:type="dxa"/>
            <w:bottom w:w="0" w:type="dxa"/>
          </w:tblCellMar>
        </w:tblPrEx>
        <w:tc>
          <w:tcPr>
            <w:tcW w:w="1751" w:type="dxa"/>
            <w:tcBorders>
              <w:top w:val="single" w:sz="6" w:space="0" w:color="auto"/>
              <w:bottom w:val="single" w:sz="6" w:space="0" w:color="auto"/>
            </w:tcBorders>
            <w:vAlign w:val="center"/>
          </w:tcPr>
          <w:p w:rsidR="00000000" w:rsidRDefault="00000000">
            <w:pPr>
              <w:pStyle w:val="table"/>
              <w:jc w:val="center"/>
              <w:rPr>
                <w:i/>
              </w:rPr>
            </w:pPr>
            <w:r>
              <w:rPr>
                <w:i/>
              </w:rPr>
              <w:t>Средние данные по годам</w:t>
            </w:r>
          </w:p>
        </w:tc>
        <w:tc>
          <w:tcPr>
            <w:tcW w:w="1906" w:type="dxa"/>
            <w:tcBorders>
              <w:top w:val="single" w:sz="6" w:space="0" w:color="auto"/>
              <w:bottom w:val="single" w:sz="6" w:space="0" w:color="auto"/>
              <w:right w:val="single" w:sz="6" w:space="0" w:color="auto"/>
            </w:tcBorders>
            <w:vAlign w:val="center"/>
          </w:tcPr>
          <w:p w:rsidR="00000000" w:rsidRDefault="00000000">
            <w:pPr>
              <w:pStyle w:val="table"/>
              <w:jc w:val="center"/>
              <w:rPr>
                <w:i/>
              </w:rPr>
            </w:pPr>
            <w:r>
              <w:rPr>
                <w:i/>
              </w:rPr>
              <w:t>Безработные же</w:t>
            </w:r>
            <w:r>
              <w:rPr>
                <w:i/>
              </w:rPr>
              <w:t>н</w:t>
            </w:r>
            <w:r>
              <w:rPr>
                <w:i/>
              </w:rPr>
              <w:t>щины</w:t>
            </w:r>
          </w:p>
        </w:tc>
        <w:tc>
          <w:tcPr>
            <w:tcW w:w="1900" w:type="dxa"/>
            <w:tcBorders>
              <w:top w:val="single" w:sz="6" w:space="0" w:color="auto"/>
              <w:left w:val="single" w:sz="6" w:space="0" w:color="auto"/>
              <w:bottom w:val="single" w:sz="6" w:space="0" w:color="auto"/>
            </w:tcBorders>
            <w:vAlign w:val="center"/>
          </w:tcPr>
          <w:p w:rsidR="00000000" w:rsidRDefault="00000000">
            <w:pPr>
              <w:pStyle w:val="table"/>
              <w:jc w:val="center"/>
              <w:rPr>
                <w:i/>
              </w:rPr>
            </w:pPr>
            <w:r>
              <w:rPr>
                <w:i/>
              </w:rPr>
              <w:t>Доля женщин</w:t>
            </w:r>
          </w:p>
        </w:tc>
        <w:tc>
          <w:tcPr>
            <w:tcW w:w="1898" w:type="dxa"/>
            <w:tcBorders>
              <w:top w:val="single" w:sz="6" w:space="0" w:color="auto"/>
              <w:bottom w:val="single" w:sz="6" w:space="0" w:color="auto"/>
            </w:tcBorders>
            <w:vAlign w:val="center"/>
          </w:tcPr>
          <w:p w:rsidR="00000000" w:rsidRDefault="00000000">
            <w:pPr>
              <w:pStyle w:val="table"/>
              <w:jc w:val="center"/>
              <w:rPr>
                <w:i/>
              </w:rPr>
            </w:pPr>
            <w:r>
              <w:rPr>
                <w:i/>
              </w:rPr>
              <w:t>Уровень безработ</w:t>
            </w:r>
            <w:r>
              <w:rPr>
                <w:i/>
              </w:rPr>
              <w:t>и</w:t>
            </w:r>
            <w:r>
              <w:rPr>
                <w:i/>
              </w:rPr>
              <w:t>цы среди же</w:t>
            </w:r>
            <w:r>
              <w:rPr>
                <w:i/>
              </w:rPr>
              <w:t>н</w:t>
            </w:r>
            <w:r>
              <w:rPr>
                <w:i/>
              </w:rPr>
              <w:t xml:space="preserve">щин </w:t>
            </w:r>
            <w:r>
              <w:rPr>
                <w:i/>
                <w:vertAlign w:val="superscript"/>
              </w:rPr>
              <w:t>1)</w:t>
            </w:r>
          </w:p>
        </w:tc>
        <w:tc>
          <w:tcPr>
            <w:tcW w:w="1897" w:type="dxa"/>
            <w:tcBorders>
              <w:top w:val="single" w:sz="6" w:space="0" w:color="auto"/>
              <w:bottom w:val="single" w:sz="6" w:space="0" w:color="auto"/>
            </w:tcBorders>
            <w:vAlign w:val="center"/>
          </w:tcPr>
          <w:p w:rsidR="00000000" w:rsidRDefault="00000000">
            <w:pPr>
              <w:pStyle w:val="table"/>
              <w:jc w:val="center"/>
              <w:rPr>
                <w:i/>
              </w:rPr>
            </w:pPr>
            <w:r>
              <w:rPr>
                <w:i/>
              </w:rPr>
              <w:t>Общий уровень бе</w:t>
            </w:r>
            <w:r>
              <w:rPr>
                <w:i/>
              </w:rPr>
              <w:t>з</w:t>
            </w:r>
            <w:r>
              <w:rPr>
                <w:i/>
              </w:rPr>
              <w:t>раб</w:t>
            </w:r>
            <w:r>
              <w:rPr>
                <w:i/>
              </w:rPr>
              <w:t>о</w:t>
            </w:r>
            <w:r>
              <w:rPr>
                <w:i/>
              </w:rPr>
              <w:t xml:space="preserve">тицы </w:t>
            </w:r>
            <w:r>
              <w:rPr>
                <w:i/>
                <w:vertAlign w:val="superscript"/>
              </w:rPr>
              <w:t>1)</w:t>
            </w:r>
          </w:p>
        </w:tc>
      </w:tr>
      <w:tr w:rsidR="00000000">
        <w:tblPrEx>
          <w:tblCellMar>
            <w:top w:w="0" w:type="dxa"/>
            <w:bottom w:w="0" w:type="dxa"/>
          </w:tblCellMar>
        </w:tblPrEx>
        <w:tc>
          <w:tcPr>
            <w:tcW w:w="1751" w:type="dxa"/>
            <w:tcBorders>
              <w:top w:val="single" w:sz="6" w:space="0" w:color="auto"/>
              <w:bottom w:val="single" w:sz="12" w:space="0" w:color="auto"/>
            </w:tcBorders>
          </w:tcPr>
          <w:p w:rsidR="00000000" w:rsidRDefault="00000000">
            <w:pPr>
              <w:pStyle w:val="table"/>
            </w:pPr>
          </w:p>
        </w:tc>
        <w:tc>
          <w:tcPr>
            <w:tcW w:w="1906" w:type="dxa"/>
            <w:tcBorders>
              <w:top w:val="single" w:sz="6" w:space="0" w:color="auto"/>
              <w:bottom w:val="single" w:sz="12" w:space="0" w:color="auto"/>
              <w:right w:val="single" w:sz="6" w:space="0" w:color="auto"/>
            </w:tcBorders>
            <w:vAlign w:val="center"/>
          </w:tcPr>
          <w:p w:rsidR="00000000" w:rsidRDefault="00000000">
            <w:pPr>
              <w:pStyle w:val="table"/>
              <w:jc w:val="center"/>
              <w:rPr>
                <w:i/>
              </w:rPr>
            </w:pPr>
            <w:r>
              <w:rPr>
                <w:i/>
              </w:rPr>
              <w:t>Количество</w:t>
            </w:r>
          </w:p>
        </w:tc>
        <w:tc>
          <w:tcPr>
            <w:tcW w:w="5695" w:type="dxa"/>
            <w:gridSpan w:val="3"/>
            <w:tcBorders>
              <w:top w:val="single" w:sz="6" w:space="0" w:color="auto"/>
              <w:left w:val="single" w:sz="6" w:space="0" w:color="auto"/>
              <w:bottom w:val="single" w:sz="12" w:space="0" w:color="auto"/>
            </w:tcBorders>
            <w:vAlign w:val="center"/>
          </w:tcPr>
          <w:p w:rsidR="00000000" w:rsidRDefault="00000000">
            <w:pPr>
              <w:pStyle w:val="table"/>
              <w:jc w:val="center"/>
              <w:rPr>
                <w:i/>
              </w:rPr>
            </w:pPr>
            <w:r>
              <w:rPr>
                <w:i/>
              </w:rPr>
              <w:t>%</w:t>
            </w:r>
          </w:p>
        </w:tc>
      </w:tr>
      <w:tr w:rsidR="00000000">
        <w:tblPrEx>
          <w:tblCellMar>
            <w:top w:w="0" w:type="dxa"/>
            <w:bottom w:w="0" w:type="dxa"/>
          </w:tblCellMar>
        </w:tblPrEx>
        <w:tc>
          <w:tcPr>
            <w:tcW w:w="1751" w:type="dxa"/>
            <w:tcBorders>
              <w:top w:val="single" w:sz="12" w:space="0" w:color="auto"/>
            </w:tcBorders>
          </w:tcPr>
          <w:p w:rsidR="00000000" w:rsidRDefault="00000000">
            <w:pPr>
              <w:pStyle w:val="table"/>
            </w:pPr>
            <w:r>
              <w:t>1970</w:t>
            </w:r>
          </w:p>
        </w:tc>
        <w:tc>
          <w:tcPr>
            <w:tcW w:w="1906" w:type="dxa"/>
            <w:tcBorders>
              <w:top w:val="single" w:sz="12" w:space="0" w:color="auto"/>
              <w:right w:val="single" w:sz="6" w:space="0" w:color="auto"/>
            </w:tcBorders>
          </w:tcPr>
          <w:p w:rsidR="00000000" w:rsidRDefault="00000000">
            <w:pPr>
              <w:pStyle w:val="table"/>
              <w:tabs>
                <w:tab w:val="decimal" w:pos="951"/>
              </w:tabs>
            </w:pPr>
            <w:r>
              <w:t>55 947</w:t>
            </w:r>
          </w:p>
        </w:tc>
        <w:tc>
          <w:tcPr>
            <w:tcW w:w="1900" w:type="dxa"/>
            <w:tcBorders>
              <w:top w:val="single" w:sz="12" w:space="0" w:color="auto"/>
              <w:left w:val="single" w:sz="6" w:space="0" w:color="auto"/>
            </w:tcBorders>
          </w:tcPr>
          <w:p w:rsidR="00000000" w:rsidRDefault="00000000">
            <w:pPr>
              <w:pStyle w:val="table"/>
              <w:tabs>
                <w:tab w:val="decimal" w:pos="567"/>
              </w:tabs>
            </w:pPr>
            <w:r>
              <w:t>37,6</w:t>
            </w:r>
          </w:p>
        </w:tc>
        <w:tc>
          <w:tcPr>
            <w:tcW w:w="1898" w:type="dxa"/>
            <w:tcBorders>
              <w:top w:val="single" w:sz="12" w:space="0" w:color="auto"/>
            </w:tcBorders>
          </w:tcPr>
          <w:p w:rsidR="00000000" w:rsidRDefault="00000000">
            <w:pPr>
              <w:pStyle w:val="table"/>
              <w:tabs>
                <w:tab w:val="decimal" w:pos="567"/>
              </w:tabs>
            </w:pPr>
            <w:r>
              <w:t>0,8</w:t>
            </w:r>
          </w:p>
        </w:tc>
        <w:tc>
          <w:tcPr>
            <w:tcW w:w="1897" w:type="dxa"/>
            <w:tcBorders>
              <w:top w:val="single" w:sz="12" w:space="0" w:color="auto"/>
            </w:tcBorders>
          </w:tcPr>
          <w:p w:rsidR="00000000" w:rsidRDefault="00000000">
            <w:pPr>
              <w:pStyle w:val="table"/>
              <w:tabs>
                <w:tab w:val="decimal" w:pos="567"/>
              </w:tabs>
            </w:pPr>
            <w:r>
              <w:t>0,7</w:t>
            </w:r>
          </w:p>
        </w:tc>
      </w:tr>
      <w:tr w:rsidR="00000000">
        <w:tblPrEx>
          <w:tblCellMar>
            <w:top w:w="0" w:type="dxa"/>
            <w:bottom w:w="0" w:type="dxa"/>
          </w:tblCellMar>
        </w:tblPrEx>
        <w:tc>
          <w:tcPr>
            <w:tcW w:w="1751" w:type="dxa"/>
          </w:tcPr>
          <w:p w:rsidR="00000000" w:rsidRDefault="00000000">
            <w:pPr>
              <w:pStyle w:val="table"/>
            </w:pPr>
            <w:r>
              <w:t>1980</w:t>
            </w:r>
          </w:p>
        </w:tc>
        <w:tc>
          <w:tcPr>
            <w:tcW w:w="1906" w:type="dxa"/>
            <w:tcBorders>
              <w:right w:val="single" w:sz="6" w:space="0" w:color="auto"/>
            </w:tcBorders>
          </w:tcPr>
          <w:p w:rsidR="00000000" w:rsidRDefault="00000000">
            <w:pPr>
              <w:pStyle w:val="table"/>
              <w:tabs>
                <w:tab w:val="decimal" w:pos="951"/>
              </w:tabs>
            </w:pPr>
            <w:r>
              <w:t>462 483</w:t>
            </w:r>
          </w:p>
        </w:tc>
        <w:tc>
          <w:tcPr>
            <w:tcW w:w="1900" w:type="dxa"/>
            <w:tcBorders>
              <w:left w:val="single" w:sz="6" w:space="0" w:color="auto"/>
            </w:tcBorders>
          </w:tcPr>
          <w:p w:rsidR="00000000" w:rsidRDefault="00000000">
            <w:pPr>
              <w:pStyle w:val="table"/>
              <w:tabs>
                <w:tab w:val="decimal" w:pos="567"/>
              </w:tabs>
            </w:pPr>
            <w:r>
              <w:t>52,0</w:t>
            </w:r>
          </w:p>
        </w:tc>
        <w:tc>
          <w:tcPr>
            <w:tcW w:w="1898" w:type="dxa"/>
          </w:tcPr>
          <w:p w:rsidR="00000000" w:rsidRDefault="00000000">
            <w:pPr>
              <w:pStyle w:val="table"/>
              <w:tabs>
                <w:tab w:val="decimal" w:pos="567"/>
              </w:tabs>
            </w:pPr>
            <w:r>
              <w:t>5,2</w:t>
            </w:r>
          </w:p>
        </w:tc>
        <w:tc>
          <w:tcPr>
            <w:tcW w:w="1897" w:type="dxa"/>
          </w:tcPr>
          <w:p w:rsidR="00000000" w:rsidRDefault="00000000">
            <w:pPr>
              <w:pStyle w:val="table"/>
              <w:tabs>
                <w:tab w:val="decimal" w:pos="567"/>
              </w:tabs>
            </w:pPr>
            <w:r>
              <w:t>3,8</w:t>
            </w:r>
          </w:p>
        </w:tc>
      </w:tr>
      <w:tr w:rsidR="00000000">
        <w:tblPrEx>
          <w:tblCellMar>
            <w:top w:w="0" w:type="dxa"/>
            <w:bottom w:w="0" w:type="dxa"/>
          </w:tblCellMar>
        </w:tblPrEx>
        <w:tc>
          <w:tcPr>
            <w:tcW w:w="1751" w:type="dxa"/>
          </w:tcPr>
          <w:p w:rsidR="00000000" w:rsidRDefault="00000000">
            <w:pPr>
              <w:pStyle w:val="table"/>
            </w:pPr>
            <w:r>
              <w:t>1985</w:t>
            </w:r>
          </w:p>
        </w:tc>
        <w:tc>
          <w:tcPr>
            <w:tcW w:w="1906" w:type="dxa"/>
            <w:tcBorders>
              <w:right w:val="single" w:sz="6" w:space="0" w:color="auto"/>
            </w:tcBorders>
          </w:tcPr>
          <w:p w:rsidR="00000000" w:rsidRDefault="00000000">
            <w:pPr>
              <w:pStyle w:val="table"/>
              <w:tabs>
                <w:tab w:val="decimal" w:pos="951"/>
              </w:tabs>
            </w:pPr>
            <w:r>
              <w:t>1 014 959</w:t>
            </w:r>
          </w:p>
        </w:tc>
        <w:tc>
          <w:tcPr>
            <w:tcW w:w="1900" w:type="dxa"/>
            <w:tcBorders>
              <w:left w:val="single" w:sz="6" w:space="0" w:color="auto"/>
            </w:tcBorders>
          </w:tcPr>
          <w:p w:rsidR="00000000" w:rsidRDefault="00000000">
            <w:pPr>
              <w:pStyle w:val="table"/>
              <w:tabs>
                <w:tab w:val="decimal" w:pos="567"/>
              </w:tabs>
            </w:pPr>
            <w:r>
              <w:t>44,1</w:t>
            </w:r>
          </w:p>
        </w:tc>
        <w:tc>
          <w:tcPr>
            <w:tcW w:w="1898" w:type="dxa"/>
          </w:tcPr>
          <w:p w:rsidR="00000000" w:rsidRDefault="00000000">
            <w:pPr>
              <w:pStyle w:val="table"/>
              <w:tabs>
                <w:tab w:val="decimal" w:pos="567"/>
              </w:tabs>
            </w:pPr>
            <w:r>
              <w:t>10,4</w:t>
            </w:r>
          </w:p>
        </w:tc>
        <w:tc>
          <w:tcPr>
            <w:tcW w:w="1897" w:type="dxa"/>
          </w:tcPr>
          <w:p w:rsidR="00000000" w:rsidRDefault="00000000">
            <w:pPr>
              <w:pStyle w:val="table"/>
              <w:tabs>
                <w:tab w:val="decimal" w:pos="567"/>
              </w:tabs>
            </w:pPr>
            <w:r>
              <w:t>9,3</w:t>
            </w:r>
          </w:p>
        </w:tc>
      </w:tr>
      <w:tr w:rsidR="00000000">
        <w:tblPrEx>
          <w:tblCellMar>
            <w:top w:w="0" w:type="dxa"/>
            <w:bottom w:w="0" w:type="dxa"/>
          </w:tblCellMar>
        </w:tblPrEx>
        <w:tc>
          <w:tcPr>
            <w:tcW w:w="1751" w:type="dxa"/>
          </w:tcPr>
          <w:p w:rsidR="00000000" w:rsidRDefault="00000000">
            <w:pPr>
              <w:pStyle w:val="table"/>
            </w:pPr>
            <w:r>
              <w:t>1990</w:t>
            </w:r>
          </w:p>
        </w:tc>
        <w:tc>
          <w:tcPr>
            <w:tcW w:w="1906" w:type="dxa"/>
            <w:tcBorders>
              <w:right w:val="single" w:sz="6" w:space="0" w:color="auto"/>
            </w:tcBorders>
          </w:tcPr>
          <w:p w:rsidR="00000000" w:rsidRDefault="00000000">
            <w:pPr>
              <w:pStyle w:val="table"/>
              <w:tabs>
                <w:tab w:val="decimal" w:pos="951"/>
              </w:tabs>
            </w:pPr>
            <w:r>
              <w:t>915 404</w:t>
            </w:r>
          </w:p>
        </w:tc>
        <w:tc>
          <w:tcPr>
            <w:tcW w:w="1900" w:type="dxa"/>
            <w:tcBorders>
              <w:left w:val="single" w:sz="6" w:space="0" w:color="auto"/>
            </w:tcBorders>
          </w:tcPr>
          <w:p w:rsidR="00000000" w:rsidRDefault="00000000">
            <w:pPr>
              <w:pStyle w:val="table"/>
              <w:tabs>
                <w:tab w:val="decimal" w:pos="567"/>
              </w:tabs>
            </w:pPr>
            <w:r>
              <w:t>48,6</w:t>
            </w:r>
          </w:p>
        </w:tc>
        <w:tc>
          <w:tcPr>
            <w:tcW w:w="1898" w:type="dxa"/>
          </w:tcPr>
          <w:p w:rsidR="00000000" w:rsidRDefault="00000000">
            <w:pPr>
              <w:pStyle w:val="table"/>
              <w:tabs>
                <w:tab w:val="decimal" w:pos="567"/>
              </w:tabs>
            </w:pPr>
            <w:r>
              <w:t>8,4</w:t>
            </w:r>
          </w:p>
        </w:tc>
        <w:tc>
          <w:tcPr>
            <w:tcW w:w="1897" w:type="dxa"/>
          </w:tcPr>
          <w:p w:rsidR="00000000" w:rsidRDefault="00000000">
            <w:pPr>
              <w:pStyle w:val="table"/>
              <w:tabs>
                <w:tab w:val="decimal" w:pos="567"/>
              </w:tabs>
            </w:pPr>
            <w:r>
              <w:t>7,2</w:t>
            </w:r>
          </w:p>
        </w:tc>
      </w:tr>
      <w:tr w:rsidR="00000000">
        <w:tblPrEx>
          <w:tblCellMar>
            <w:top w:w="0" w:type="dxa"/>
            <w:bottom w:w="0" w:type="dxa"/>
          </w:tblCellMar>
        </w:tblPrEx>
        <w:tc>
          <w:tcPr>
            <w:tcW w:w="1751" w:type="dxa"/>
          </w:tcPr>
          <w:p w:rsidR="00000000" w:rsidRDefault="00000000">
            <w:pPr>
              <w:pStyle w:val="table"/>
            </w:pPr>
            <w:r>
              <w:t>1991</w:t>
            </w:r>
          </w:p>
        </w:tc>
        <w:tc>
          <w:tcPr>
            <w:tcW w:w="1906" w:type="dxa"/>
            <w:tcBorders>
              <w:right w:val="single" w:sz="6" w:space="0" w:color="auto"/>
            </w:tcBorders>
          </w:tcPr>
          <w:p w:rsidR="00000000" w:rsidRDefault="00000000">
            <w:pPr>
              <w:pStyle w:val="table"/>
              <w:tabs>
                <w:tab w:val="decimal" w:pos="951"/>
              </w:tabs>
            </w:pPr>
            <w:r>
              <w:t>791 688</w:t>
            </w:r>
          </w:p>
        </w:tc>
        <w:tc>
          <w:tcPr>
            <w:tcW w:w="1900" w:type="dxa"/>
            <w:tcBorders>
              <w:left w:val="single" w:sz="6" w:space="0" w:color="auto"/>
            </w:tcBorders>
          </w:tcPr>
          <w:p w:rsidR="00000000" w:rsidRDefault="00000000">
            <w:pPr>
              <w:pStyle w:val="table"/>
              <w:tabs>
                <w:tab w:val="decimal" w:pos="567"/>
              </w:tabs>
            </w:pPr>
            <w:r>
              <w:t>46,9</w:t>
            </w:r>
          </w:p>
        </w:tc>
        <w:tc>
          <w:tcPr>
            <w:tcW w:w="1898" w:type="dxa"/>
          </w:tcPr>
          <w:p w:rsidR="00000000" w:rsidRDefault="00000000">
            <w:pPr>
              <w:pStyle w:val="table"/>
              <w:tabs>
                <w:tab w:val="decimal" w:pos="567"/>
              </w:tabs>
            </w:pPr>
            <w:r>
              <w:t>7,0</w:t>
            </w:r>
          </w:p>
        </w:tc>
        <w:tc>
          <w:tcPr>
            <w:tcW w:w="1897" w:type="dxa"/>
          </w:tcPr>
          <w:p w:rsidR="00000000" w:rsidRDefault="00000000">
            <w:pPr>
              <w:pStyle w:val="table"/>
              <w:tabs>
                <w:tab w:val="decimal" w:pos="567"/>
              </w:tabs>
            </w:pPr>
            <w:r>
              <w:t>6,3</w:t>
            </w:r>
          </w:p>
        </w:tc>
      </w:tr>
      <w:tr w:rsidR="00000000">
        <w:tblPrEx>
          <w:tblCellMar>
            <w:top w:w="0" w:type="dxa"/>
            <w:bottom w:w="0" w:type="dxa"/>
          </w:tblCellMar>
        </w:tblPrEx>
        <w:tc>
          <w:tcPr>
            <w:tcW w:w="1751" w:type="dxa"/>
          </w:tcPr>
          <w:p w:rsidR="00000000" w:rsidRDefault="00000000">
            <w:pPr>
              <w:pStyle w:val="table"/>
            </w:pPr>
            <w:r>
              <w:t>1992</w:t>
            </w:r>
          </w:p>
        </w:tc>
        <w:tc>
          <w:tcPr>
            <w:tcW w:w="1906" w:type="dxa"/>
            <w:tcBorders>
              <w:right w:val="single" w:sz="6" w:space="0" w:color="auto"/>
            </w:tcBorders>
          </w:tcPr>
          <w:p w:rsidR="00000000" w:rsidRDefault="00000000">
            <w:pPr>
              <w:pStyle w:val="table"/>
              <w:tabs>
                <w:tab w:val="decimal" w:pos="951"/>
              </w:tabs>
            </w:pPr>
            <w:r>
              <w:t>825 531</w:t>
            </w:r>
          </w:p>
        </w:tc>
        <w:tc>
          <w:tcPr>
            <w:tcW w:w="1900" w:type="dxa"/>
            <w:tcBorders>
              <w:left w:val="single" w:sz="6" w:space="0" w:color="auto"/>
            </w:tcBorders>
          </w:tcPr>
          <w:p w:rsidR="00000000" w:rsidRDefault="00000000">
            <w:pPr>
              <w:pStyle w:val="table"/>
              <w:tabs>
                <w:tab w:val="decimal" w:pos="567"/>
              </w:tabs>
            </w:pPr>
            <w:r>
              <w:t>45,7</w:t>
            </w:r>
          </w:p>
        </w:tc>
        <w:tc>
          <w:tcPr>
            <w:tcW w:w="1898" w:type="dxa"/>
          </w:tcPr>
          <w:p w:rsidR="00000000" w:rsidRDefault="00000000">
            <w:pPr>
              <w:pStyle w:val="table"/>
              <w:tabs>
                <w:tab w:val="decimal" w:pos="567"/>
              </w:tabs>
            </w:pPr>
            <w:r>
              <w:t>7,2</w:t>
            </w:r>
          </w:p>
        </w:tc>
        <w:tc>
          <w:tcPr>
            <w:tcW w:w="1897" w:type="dxa"/>
          </w:tcPr>
          <w:p w:rsidR="00000000" w:rsidRDefault="00000000">
            <w:pPr>
              <w:pStyle w:val="table"/>
              <w:tabs>
                <w:tab w:val="decimal" w:pos="567"/>
              </w:tabs>
            </w:pPr>
            <w:r>
              <w:t>6,6</w:t>
            </w:r>
          </w:p>
        </w:tc>
      </w:tr>
      <w:tr w:rsidR="00000000">
        <w:tblPrEx>
          <w:tblCellMar>
            <w:top w:w="0" w:type="dxa"/>
            <w:bottom w:w="0" w:type="dxa"/>
          </w:tblCellMar>
        </w:tblPrEx>
        <w:tc>
          <w:tcPr>
            <w:tcW w:w="1751" w:type="dxa"/>
          </w:tcPr>
          <w:p w:rsidR="00000000" w:rsidRDefault="00000000">
            <w:pPr>
              <w:pStyle w:val="table"/>
            </w:pPr>
            <w:r>
              <w:t>1993</w:t>
            </w:r>
          </w:p>
        </w:tc>
        <w:tc>
          <w:tcPr>
            <w:tcW w:w="1906" w:type="dxa"/>
            <w:tcBorders>
              <w:right w:val="single" w:sz="6" w:space="0" w:color="auto"/>
            </w:tcBorders>
          </w:tcPr>
          <w:p w:rsidR="00000000" w:rsidRDefault="00000000">
            <w:pPr>
              <w:pStyle w:val="table"/>
              <w:tabs>
                <w:tab w:val="decimal" w:pos="951"/>
              </w:tabs>
            </w:pPr>
            <w:r>
              <w:t>993 261</w:t>
            </w:r>
          </w:p>
        </w:tc>
        <w:tc>
          <w:tcPr>
            <w:tcW w:w="1900" w:type="dxa"/>
            <w:tcBorders>
              <w:left w:val="single" w:sz="6" w:space="0" w:color="auto"/>
            </w:tcBorders>
          </w:tcPr>
          <w:p w:rsidR="00000000" w:rsidRDefault="00000000">
            <w:pPr>
              <w:pStyle w:val="table"/>
              <w:tabs>
                <w:tab w:val="decimal" w:pos="567"/>
              </w:tabs>
            </w:pPr>
            <w:r>
              <w:t>43,7</w:t>
            </w:r>
          </w:p>
        </w:tc>
        <w:tc>
          <w:tcPr>
            <w:tcW w:w="1898" w:type="dxa"/>
          </w:tcPr>
          <w:p w:rsidR="00000000" w:rsidRDefault="00000000">
            <w:pPr>
              <w:pStyle w:val="table"/>
              <w:tabs>
                <w:tab w:val="decimal" w:pos="567"/>
              </w:tabs>
            </w:pPr>
            <w:r>
              <w:t>8,4</w:t>
            </w:r>
          </w:p>
        </w:tc>
        <w:tc>
          <w:tcPr>
            <w:tcW w:w="1897" w:type="dxa"/>
          </w:tcPr>
          <w:p w:rsidR="00000000" w:rsidRDefault="00000000">
            <w:pPr>
              <w:pStyle w:val="table"/>
              <w:tabs>
                <w:tab w:val="decimal" w:pos="567"/>
              </w:tabs>
            </w:pPr>
            <w:r>
              <w:t>8,2</w:t>
            </w:r>
          </w:p>
        </w:tc>
      </w:tr>
      <w:tr w:rsidR="00000000">
        <w:tblPrEx>
          <w:tblCellMar>
            <w:top w:w="0" w:type="dxa"/>
            <w:bottom w:w="0" w:type="dxa"/>
          </w:tblCellMar>
        </w:tblPrEx>
        <w:tc>
          <w:tcPr>
            <w:tcW w:w="1751" w:type="dxa"/>
          </w:tcPr>
          <w:p w:rsidR="00000000" w:rsidRDefault="00000000">
            <w:pPr>
              <w:pStyle w:val="table"/>
            </w:pPr>
            <w:r>
              <w:t>1994</w:t>
            </w:r>
          </w:p>
        </w:tc>
        <w:tc>
          <w:tcPr>
            <w:tcW w:w="1906" w:type="dxa"/>
            <w:tcBorders>
              <w:right w:val="single" w:sz="6" w:space="0" w:color="auto"/>
            </w:tcBorders>
          </w:tcPr>
          <w:p w:rsidR="00000000" w:rsidRDefault="00000000">
            <w:pPr>
              <w:pStyle w:val="table"/>
              <w:tabs>
                <w:tab w:val="decimal" w:pos="951"/>
              </w:tabs>
            </w:pPr>
            <w:r>
              <w:t>1 094 328</w:t>
            </w:r>
          </w:p>
        </w:tc>
        <w:tc>
          <w:tcPr>
            <w:tcW w:w="1900" w:type="dxa"/>
            <w:tcBorders>
              <w:left w:val="single" w:sz="6" w:space="0" w:color="auto"/>
            </w:tcBorders>
          </w:tcPr>
          <w:p w:rsidR="00000000" w:rsidRDefault="00000000">
            <w:pPr>
              <w:pStyle w:val="table"/>
              <w:tabs>
                <w:tab w:val="decimal" w:pos="567"/>
              </w:tabs>
            </w:pPr>
            <w:r>
              <w:t>42,8</w:t>
            </w:r>
          </w:p>
        </w:tc>
        <w:tc>
          <w:tcPr>
            <w:tcW w:w="1898" w:type="dxa"/>
          </w:tcPr>
          <w:p w:rsidR="00000000" w:rsidRDefault="00000000">
            <w:pPr>
              <w:pStyle w:val="table"/>
              <w:tabs>
                <w:tab w:val="decimal" w:pos="567"/>
              </w:tabs>
            </w:pPr>
            <w:r>
              <w:t>9,2</w:t>
            </w:r>
          </w:p>
        </w:tc>
        <w:tc>
          <w:tcPr>
            <w:tcW w:w="1897" w:type="dxa"/>
          </w:tcPr>
          <w:p w:rsidR="00000000" w:rsidRDefault="00000000">
            <w:pPr>
              <w:pStyle w:val="table"/>
              <w:tabs>
                <w:tab w:val="decimal" w:pos="567"/>
              </w:tabs>
            </w:pPr>
            <w:r>
              <w:t>9,2</w:t>
            </w:r>
          </w:p>
        </w:tc>
      </w:tr>
      <w:tr w:rsidR="00000000">
        <w:tblPrEx>
          <w:tblCellMar>
            <w:top w:w="0" w:type="dxa"/>
            <w:bottom w:w="0" w:type="dxa"/>
          </w:tblCellMar>
        </w:tblPrEx>
        <w:tc>
          <w:tcPr>
            <w:tcW w:w="1751" w:type="dxa"/>
          </w:tcPr>
          <w:p w:rsidR="00000000" w:rsidRDefault="00000000">
            <w:pPr>
              <w:pStyle w:val="table"/>
            </w:pPr>
            <w:r>
              <w:t>1995</w:t>
            </w:r>
          </w:p>
        </w:tc>
        <w:tc>
          <w:tcPr>
            <w:tcW w:w="1906" w:type="dxa"/>
            <w:tcBorders>
              <w:right w:val="single" w:sz="6" w:space="0" w:color="auto"/>
            </w:tcBorders>
          </w:tcPr>
          <w:p w:rsidR="00000000" w:rsidRDefault="00000000">
            <w:pPr>
              <w:pStyle w:val="table"/>
              <w:tabs>
                <w:tab w:val="decimal" w:pos="951"/>
              </w:tabs>
            </w:pPr>
            <w:r>
              <w:t>1 101 233</w:t>
            </w:r>
          </w:p>
        </w:tc>
        <w:tc>
          <w:tcPr>
            <w:tcW w:w="1900" w:type="dxa"/>
            <w:tcBorders>
              <w:left w:val="single" w:sz="6" w:space="0" w:color="auto"/>
            </w:tcBorders>
          </w:tcPr>
          <w:p w:rsidR="00000000" w:rsidRDefault="00000000">
            <w:pPr>
              <w:pStyle w:val="table"/>
              <w:tabs>
                <w:tab w:val="decimal" w:pos="567"/>
              </w:tabs>
            </w:pPr>
            <w:r>
              <w:t>42,9</w:t>
            </w:r>
          </w:p>
        </w:tc>
        <w:tc>
          <w:tcPr>
            <w:tcW w:w="1898" w:type="dxa"/>
          </w:tcPr>
          <w:p w:rsidR="00000000" w:rsidRDefault="00000000">
            <w:pPr>
              <w:pStyle w:val="table"/>
              <w:tabs>
                <w:tab w:val="decimal" w:pos="567"/>
              </w:tabs>
            </w:pPr>
            <w:r>
              <w:t>9,2</w:t>
            </w:r>
          </w:p>
        </w:tc>
        <w:tc>
          <w:tcPr>
            <w:tcW w:w="1897" w:type="dxa"/>
          </w:tcPr>
          <w:p w:rsidR="00000000" w:rsidRDefault="00000000">
            <w:pPr>
              <w:pStyle w:val="table"/>
              <w:tabs>
                <w:tab w:val="decimal" w:pos="567"/>
              </w:tabs>
            </w:pPr>
            <w:r>
              <w:t>9,3</w:t>
            </w:r>
          </w:p>
        </w:tc>
      </w:tr>
      <w:tr w:rsidR="00000000">
        <w:tblPrEx>
          <w:tblCellMar>
            <w:top w:w="0" w:type="dxa"/>
            <w:bottom w:w="0" w:type="dxa"/>
          </w:tblCellMar>
        </w:tblPrEx>
        <w:tc>
          <w:tcPr>
            <w:tcW w:w="1751" w:type="dxa"/>
          </w:tcPr>
          <w:p w:rsidR="00000000" w:rsidRDefault="00000000">
            <w:pPr>
              <w:pStyle w:val="table"/>
            </w:pPr>
            <w:r>
              <w:t>1996</w:t>
            </w:r>
          </w:p>
        </w:tc>
        <w:tc>
          <w:tcPr>
            <w:tcW w:w="1906" w:type="dxa"/>
            <w:tcBorders>
              <w:right w:val="single" w:sz="6" w:space="0" w:color="auto"/>
            </w:tcBorders>
          </w:tcPr>
          <w:p w:rsidR="00000000" w:rsidRDefault="00000000">
            <w:pPr>
              <w:pStyle w:val="table"/>
              <w:tabs>
                <w:tab w:val="decimal" w:pos="951"/>
              </w:tabs>
            </w:pPr>
            <w:r>
              <w:t>1 179 742</w:t>
            </w:r>
          </w:p>
        </w:tc>
        <w:tc>
          <w:tcPr>
            <w:tcW w:w="1900" w:type="dxa"/>
            <w:tcBorders>
              <w:left w:val="single" w:sz="6" w:space="0" w:color="auto"/>
            </w:tcBorders>
          </w:tcPr>
          <w:p w:rsidR="00000000" w:rsidRDefault="00000000">
            <w:pPr>
              <w:pStyle w:val="table"/>
              <w:tabs>
                <w:tab w:val="decimal" w:pos="567"/>
              </w:tabs>
            </w:pPr>
            <w:r>
              <w:t>42,2</w:t>
            </w:r>
          </w:p>
        </w:tc>
        <w:tc>
          <w:tcPr>
            <w:tcW w:w="1898" w:type="dxa"/>
          </w:tcPr>
          <w:p w:rsidR="00000000" w:rsidRDefault="00000000">
            <w:pPr>
              <w:pStyle w:val="table"/>
              <w:tabs>
                <w:tab w:val="decimal" w:pos="567"/>
              </w:tabs>
            </w:pPr>
            <w:r>
              <w:t>9,9</w:t>
            </w:r>
          </w:p>
        </w:tc>
        <w:tc>
          <w:tcPr>
            <w:tcW w:w="1897" w:type="dxa"/>
          </w:tcPr>
          <w:p w:rsidR="00000000" w:rsidRDefault="00000000">
            <w:pPr>
              <w:pStyle w:val="table"/>
              <w:tabs>
                <w:tab w:val="decimal" w:pos="567"/>
              </w:tabs>
            </w:pPr>
            <w:r>
              <w:t>10,1</w:t>
            </w:r>
          </w:p>
        </w:tc>
      </w:tr>
      <w:tr w:rsidR="00000000">
        <w:tblPrEx>
          <w:tblCellMar>
            <w:top w:w="0" w:type="dxa"/>
            <w:bottom w:w="0" w:type="dxa"/>
          </w:tblCellMar>
        </w:tblPrEx>
        <w:tc>
          <w:tcPr>
            <w:tcW w:w="1751" w:type="dxa"/>
          </w:tcPr>
          <w:p w:rsidR="00000000" w:rsidRDefault="00000000">
            <w:pPr>
              <w:pStyle w:val="table"/>
            </w:pPr>
            <w:r>
              <w:t>1997</w:t>
            </w:r>
          </w:p>
        </w:tc>
        <w:tc>
          <w:tcPr>
            <w:tcW w:w="1906" w:type="dxa"/>
            <w:tcBorders>
              <w:right w:val="single" w:sz="6" w:space="0" w:color="auto"/>
            </w:tcBorders>
          </w:tcPr>
          <w:p w:rsidR="00000000" w:rsidRDefault="00000000">
            <w:pPr>
              <w:pStyle w:val="table"/>
              <w:tabs>
                <w:tab w:val="decimal" w:pos="951"/>
              </w:tabs>
            </w:pPr>
            <w:r>
              <w:t>1 280 183</w:t>
            </w:r>
          </w:p>
        </w:tc>
        <w:tc>
          <w:tcPr>
            <w:tcW w:w="1900" w:type="dxa"/>
            <w:tcBorders>
              <w:left w:val="single" w:sz="6" w:space="0" w:color="auto"/>
            </w:tcBorders>
          </w:tcPr>
          <w:p w:rsidR="00000000" w:rsidRDefault="00000000">
            <w:pPr>
              <w:pStyle w:val="table"/>
              <w:tabs>
                <w:tab w:val="decimal" w:pos="567"/>
              </w:tabs>
            </w:pPr>
            <w:r>
              <w:t>42,4</w:t>
            </w:r>
          </w:p>
        </w:tc>
        <w:tc>
          <w:tcPr>
            <w:tcW w:w="1898" w:type="dxa"/>
          </w:tcPr>
          <w:p w:rsidR="00000000" w:rsidRDefault="00000000">
            <w:pPr>
              <w:pStyle w:val="table"/>
              <w:tabs>
                <w:tab w:val="decimal" w:pos="567"/>
              </w:tabs>
            </w:pPr>
            <w:r>
              <w:t>10,7</w:t>
            </w:r>
          </w:p>
        </w:tc>
        <w:tc>
          <w:tcPr>
            <w:tcW w:w="1897" w:type="dxa"/>
          </w:tcPr>
          <w:p w:rsidR="00000000" w:rsidRDefault="00000000">
            <w:pPr>
              <w:pStyle w:val="table"/>
              <w:tabs>
                <w:tab w:val="decimal" w:pos="567"/>
              </w:tabs>
            </w:pPr>
            <w:r>
              <w:t>11,0</w:t>
            </w:r>
          </w:p>
        </w:tc>
      </w:tr>
      <w:tr w:rsidR="00000000">
        <w:tblPrEx>
          <w:tblCellMar>
            <w:top w:w="0" w:type="dxa"/>
            <w:bottom w:w="0" w:type="dxa"/>
          </w:tblCellMar>
        </w:tblPrEx>
        <w:tc>
          <w:tcPr>
            <w:tcW w:w="1751" w:type="dxa"/>
          </w:tcPr>
          <w:p w:rsidR="00000000" w:rsidRDefault="00000000">
            <w:pPr>
              <w:pStyle w:val="table"/>
            </w:pPr>
            <w:r>
              <w:t>1998</w:t>
            </w:r>
          </w:p>
        </w:tc>
        <w:tc>
          <w:tcPr>
            <w:tcW w:w="1906" w:type="dxa"/>
            <w:tcBorders>
              <w:right w:val="single" w:sz="6" w:space="0" w:color="auto"/>
            </w:tcBorders>
          </w:tcPr>
          <w:p w:rsidR="00000000" w:rsidRDefault="00000000">
            <w:pPr>
              <w:pStyle w:val="table"/>
              <w:tabs>
                <w:tab w:val="decimal" w:pos="951"/>
              </w:tabs>
            </w:pPr>
            <w:r>
              <w:t>1 263 543</w:t>
            </w:r>
          </w:p>
        </w:tc>
        <w:tc>
          <w:tcPr>
            <w:tcW w:w="1900" w:type="dxa"/>
            <w:tcBorders>
              <w:left w:val="single" w:sz="6" w:space="0" w:color="auto"/>
            </w:tcBorders>
          </w:tcPr>
          <w:p w:rsidR="00000000" w:rsidRDefault="00000000">
            <w:pPr>
              <w:pStyle w:val="table"/>
              <w:tabs>
                <w:tab w:val="decimal" w:pos="567"/>
              </w:tabs>
            </w:pPr>
            <w:r>
              <w:t>43,5</w:t>
            </w:r>
          </w:p>
        </w:tc>
        <w:tc>
          <w:tcPr>
            <w:tcW w:w="1898" w:type="dxa"/>
          </w:tcPr>
          <w:p w:rsidR="00000000" w:rsidRDefault="00000000">
            <w:pPr>
              <w:pStyle w:val="table"/>
              <w:tabs>
                <w:tab w:val="decimal" w:pos="567"/>
              </w:tabs>
            </w:pPr>
            <w:r>
              <w:t>10,3</w:t>
            </w:r>
          </w:p>
        </w:tc>
        <w:tc>
          <w:tcPr>
            <w:tcW w:w="1897" w:type="dxa"/>
          </w:tcPr>
          <w:p w:rsidR="00000000" w:rsidRDefault="00000000">
            <w:pPr>
              <w:pStyle w:val="table"/>
              <w:tabs>
                <w:tab w:val="decimal" w:pos="567"/>
              </w:tabs>
            </w:pPr>
            <w:r>
              <w:t>10,5</w:t>
            </w:r>
          </w:p>
        </w:tc>
      </w:tr>
      <w:tr w:rsidR="00000000">
        <w:tblPrEx>
          <w:tblCellMar>
            <w:top w:w="0" w:type="dxa"/>
            <w:bottom w:w="0" w:type="dxa"/>
          </w:tblCellMar>
        </w:tblPrEx>
        <w:tc>
          <w:tcPr>
            <w:tcW w:w="1751" w:type="dxa"/>
          </w:tcPr>
          <w:p w:rsidR="00000000" w:rsidRDefault="00000000">
            <w:pPr>
              <w:pStyle w:val="table"/>
            </w:pPr>
            <w:r>
              <w:t>1999</w:t>
            </w:r>
          </w:p>
        </w:tc>
        <w:tc>
          <w:tcPr>
            <w:tcW w:w="1906" w:type="dxa"/>
            <w:tcBorders>
              <w:right w:val="single" w:sz="6" w:space="0" w:color="auto"/>
            </w:tcBorders>
          </w:tcPr>
          <w:p w:rsidR="00000000" w:rsidRDefault="00000000">
            <w:pPr>
              <w:pStyle w:val="table"/>
              <w:tabs>
                <w:tab w:val="decimal" w:pos="951"/>
              </w:tabs>
            </w:pPr>
            <w:r>
              <w:t>1 220 002</w:t>
            </w:r>
          </w:p>
        </w:tc>
        <w:tc>
          <w:tcPr>
            <w:tcW w:w="1900" w:type="dxa"/>
            <w:tcBorders>
              <w:left w:val="single" w:sz="6" w:space="0" w:color="auto"/>
            </w:tcBorders>
          </w:tcPr>
          <w:p w:rsidR="00000000" w:rsidRDefault="00000000">
            <w:pPr>
              <w:pStyle w:val="table"/>
              <w:tabs>
                <w:tab w:val="decimal" w:pos="567"/>
              </w:tabs>
            </w:pPr>
            <w:r>
              <w:t>44,3</w:t>
            </w:r>
          </w:p>
        </w:tc>
        <w:tc>
          <w:tcPr>
            <w:tcW w:w="1898" w:type="dxa"/>
          </w:tcPr>
          <w:p w:rsidR="00000000" w:rsidRDefault="00000000">
            <w:pPr>
              <w:pStyle w:val="table"/>
              <w:tabs>
                <w:tab w:val="decimal" w:pos="567"/>
              </w:tabs>
            </w:pPr>
            <w:r>
              <w:t>9,8</w:t>
            </w:r>
          </w:p>
        </w:tc>
        <w:tc>
          <w:tcPr>
            <w:tcW w:w="1897" w:type="dxa"/>
          </w:tcPr>
          <w:p w:rsidR="00000000" w:rsidRDefault="00000000">
            <w:pPr>
              <w:pStyle w:val="table"/>
              <w:tabs>
                <w:tab w:val="decimal" w:pos="567"/>
              </w:tabs>
            </w:pPr>
            <w:r>
              <w:t>9,9</w:t>
            </w:r>
          </w:p>
        </w:tc>
      </w:tr>
      <w:tr w:rsidR="00000000">
        <w:tblPrEx>
          <w:tblCellMar>
            <w:top w:w="0" w:type="dxa"/>
            <w:bottom w:w="0" w:type="dxa"/>
          </w:tblCellMar>
        </w:tblPrEx>
        <w:tc>
          <w:tcPr>
            <w:tcW w:w="1751" w:type="dxa"/>
          </w:tcPr>
          <w:p w:rsidR="00000000" w:rsidRDefault="00000000">
            <w:pPr>
              <w:pStyle w:val="table"/>
            </w:pPr>
            <w:r>
              <w:t>2000</w:t>
            </w:r>
          </w:p>
        </w:tc>
        <w:tc>
          <w:tcPr>
            <w:tcW w:w="1906" w:type="dxa"/>
            <w:tcBorders>
              <w:right w:val="single" w:sz="6" w:space="0" w:color="auto"/>
            </w:tcBorders>
          </w:tcPr>
          <w:p w:rsidR="00000000" w:rsidRDefault="00000000">
            <w:pPr>
              <w:pStyle w:val="table"/>
              <w:tabs>
                <w:tab w:val="decimal" w:pos="951"/>
              </w:tabs>
            </w:pPr>
            <w:r>
              <w:t>1 131 256</w:t>
            </w:r>
          </w:p>
        </w:tc>
        <w:tc>
          <w:tcPr>
            <w:tcW w:w="1900" w:type="dxa"/>
            <w:tcBorders>
              <w:left w:val="single" w:sz="6" w:space="0" w:color="auto"/>
            </w:tcBorders>
          </w:tcPr>
          <w:p w:rsidR="00000000" w:rsidRDefault="00000000">
            <w:pPr>
              <w:pStyle w:val="table"/>
              <w:tabs>
                <w:tab w:val="decimal" w:pos="567"/>
              </w:tabs>
            </w:pPr>
            <w:r>
              <w:t>44,7</w:t>
            </w:r>
          </w:p>
        </w:tc>
        <w:tc>
          <w:tcPr>
            <w:tcW w:w="1898" w:type="dxa"/>
          </w:tcPr>
          <w:p w:rsidR="00000000" w:rsidRDefault="00000000">
            <w:pPr>
              <w:pStyle w:val="table"/>
              <w:tabs>
                <w:tab w:val="decimal" w:pos="567"/>
              </w:tabs>
            </w:pPr>
            <w:r>
              <w:t>8,5</w:t>
            </w:r>
          </w:p>
        </w:tc>
        <w:tc>
          <w:tcPr>
            <w:tcW w:w="1897" w:type="dxa"/>
          </w:tcPr>
          <w:p w:rsidR="00000000" w:rsidRDefault="00000000">
            <w:pPr>
              <w:pStyle w:val="table"/>
              <w:tabs>
                <w:tab w:val="decimal" w:pos="567"/>
              </w:tabs>
            </w:pPr>
            <w:r>
              <w:t>8,7</w:t>
            </w:r>
          </w:p>
        </w:tc>
      </w:tr>
      <w:tr w:rsidR="00000000">
        <w:tblPrEx>
          <w:tblCellMar>
            <w:top w:w="0" w:type="dxa"/>
            <w:bottom w:w="0" w:type="dxa"/>
          </w:tblCellMar>
        </w:tblPrEx>
        <w:tc>
          <w:tcPr>
            <w:tcW w:w="1751" w:type="dxa"/>
            <w:tcBorders>
              <w:bottom w:val="single" w:sz="12" w:space="0" w:color="auto"/>
            </w:tcBorders>
          </w:tcPr>
          <w:p w:rsidR="00000000" w:rsidRDefault="00000000">
            <w:pPr>
              <w:pStyle w:val="table"/>
            </w:pPr>
            <w:r>
              <w:t>2001</w:t>
            </w:r>
          </w:p>
        </w:tc>
        <w:tc>
          <w:tcPr>
            <w:tcW w:w="1906" w:type="dxa"/>
            <w:tcBorders>
              <w:bottom w:val="single" w:sz="12" w:space="0" w:color="auto"/>
              <w:right w:val="single" w:sz="6" w:space="0" w:color="auto"/>
            </w:tcBorders>
          </w:tcPr>
          <w:p w:rsidR="00000000" w:rsidRDefault="00000000">
            <w:pPr>
              <w:pStyle w:val="table"/>
              <w:tabs>
                <w:tab w:val="decimal" w:pos="951"/>
              </w:tabs>
            </w:pPr>
            <w:r>
              <w:t>1 099 151</w:t>
            </w:r>
          </w:p>
        </w:tc>
        <w:tc>
          <w:tcPr>
            <w:tcW w:w="1900" w:type="dxa"/>
            <w:tcBorders>
              <w:left w:val="single" w:sz="6" w:space="0" w:color="auto"/>
              <w:bottom w:val="single" w:sz="12" w:space="0" w:color="auto"/>
            </w:tcBorders>
          </w:tcPr>
          <w:p w:rsidR="00000000" w:rsidRDefault="00000000">
            <w:pPr>
              <w:pStyle w:val="table"/>
              <w:tabs>
                <w:tab w:val="decimal" w:pos="567"/>
              </w:tabs>
            </w:pPr>
            <w:r>
              <w:t>44,4</w:t>
            </w:r>
          </w:p>
        </w:tc>
        <w:tc>
          <w:tcPr>
            <w:tcW w:w="1898" w:type="dxa"/>
            <w:tcBorders>
              <w:bottom w:val="single" w:sz="12" w:space="0" w:color="auto"/>
            </w:tcBorders>
          </w:tcPr>
          <w:p w:rsidR="00000000" w:rsidRDefault="00000000">
            <w:pPr>
              <w:pStyle w:val="table"/>
              <w:tabs>
                <w:tab w:val="decimal" w:pos="567"/>
              </w:tabs>
            </w:pPr>
            <w:r>
              <w:t>7,9</w:t>
            </w:r>
          </w:p>
        </w:tc>
        <w:tc>
          <w:tcPr>
            <w:tcW w:w="1897" w:type="dxa"/>
            <w:tcBorders>
              <w:bottom w:val="single" w:sz="12" w:space="0" w:color="auto"/>
            </w:tcBorders>
          </w:tcPr>
          <w:p w:rsidR="00000000" w:rsidRDefault="00000000">
            <w:pPr>
              <w:pStyle w:val="table"/>
              <w:tabs>
                <w:tab w:val="decimal" w:pos="567"/>
              </w:tabs>
            </w:pPr>
            <w:r>
              <w:t>8,3</w:t>
            </w:r>
          </w:p>
        </w:tc>
      </w:tr>
    </w:tbl>
    <w:p w:rsidR="00000000" w:rsidRDefault="00000000">
      <w:pPr>
        <w:pStyle w:val="istochnik"/>
        <w:tabs>
          <w:tab w:val="clear" w:pos="1267"/>
        </w:tabs>
        <w:ind w:left="0"/>
      </w:pPr>
      <w:r>
        <w:t>1) Безработные как процентная доля от числа гражданских лиц, занятых на оплачиваемой работе</w:t>
      </w:r>
    </w:p>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03" w:name="_Toc44113560"/>
      <w:bookmarkStart w:id="704" w:name="_Toc44113861"/>
      <w:bookmarkStart w:id="705" w:name="_Toc44114369"/>
      <w:bookmarkStart w:id="706" w:name="_Toc44115615"/>
      <w:bookmarkStart w:id="707" w:name="_Toc44116047"/>
      <w:r>
        <w:t xml:space="preserve">Таблица 3.6 Динамика среднегодовых показателей безработицы среди женщин </w:t>
      </w:r>
      <w:r>
        <w:br/>
        <w:t>(новая федеральная терр</w:t>
      </w:r>
      <w:r>
        <w:t>и</w:t>
      </w:r>
      <w:r>
        <w:t>тория и Восточный Берлин)</w:t>
      </w:r>
      <w:bookmarkEnd w:id="703"/>
      <w:bookmarkEnd w:id="704"/>
      <w:bookmarkEnd w:id="705"/>
      <w:bookmarkEnd w:id="706"/>
      <w:bookmarkEnd w:id="707"/>
    </w:p>
    <w:tbl>
      <w:tblPr>
        <w:tblW w:w="0" w:type="auto"/>
        <w:tblInd w:w="18" w:type="dxa"/>
        <w:tblLayout w:type="fixed"/>
        <w:tblLook w:val="0000" w:firstRow="0" w:lastRow="0" w:firstColumn="0" w:lastColumn="0" w:noHBand="0" w:noVBand="0"/>
      </w:tblPr>
      <w:tblGrid>
        <w:gridCol w:w="1670"/>
        <w:gridCol w:w="1923"/>
        <w:gridCol w:w="1923"/>
        <w:gridCol w:w="1923"/>
        <w:gridCol w:w="1925"/>
      </w:tblGrid>
      <w:tr w:rsidR="00000000">
        <w:tblPrEx>
          <w:tblCellMar>
            <w:top w:w="0" w:type="dxa"/>
            <w:bottom w:w="0" w:type="dxa"/>
          </w:tblCellMar>
        </w:tblPrEx>
        <w:trPr>
          <w:tblHeader/>
        </w:trPr>
        <w:tc>
          <w:tcPr>
            <w:tcW w:w="1670" w:type="dxa"/>
            <w:tcBorders>
              <w:top w:val="single" w:sz="6" w:space="0" w:color="auto"/>
              <w:bottom w:val="single" w:sz="6" w:space="0" w:color="auto"/>
            </w:tcBorders>
            <w:vAlign w:val="center"/>
          </w:tcPr>
          <w:p w:rsidR="00000000" w:rsidRDefault="00000000">
            <w:pPr>
              <w:pStyle w:val="table"/>
              <w:keepNext/>
              <w:jc w:val="center"/>
              <w:rPr>
                <w:i/>
              </w:rPr>
            </w:pPr>
            <w:r>
              <w:rPr>
                <w:i/>
              </w:rPr>
              <w:t>Средние данные по г</w:t>
            </w:r>
            <w:r>
              <w:rPr>
                <w:i/>
              </w:rPr>
              <w:t>о</w:t>
            </w:r>
            <w:r>
              <w:rPr>
                <w:i/>
              </w:rPr>
              <w:t>дам</w:t>
            </w:r>
          </w:p>
        </w:tc>
        <w:tc>
          <w:tcPr>
            <w:tcW w:w="1923" w:type="dxa"/>
            <w:tcBorders>
              <w:top w:val="single" w:sz="6" w:space="0" w:color="auto"/>
              <w:bottom w:val="single" w:sz="6" w:space="0" w:color="auto"/>
              <w:right w:val="single" w:sz="6" w:space="0" w:color="auto"/>
            </w:tcBorders>
            <w:vAlign w:val="center"/>
          </w:tcPr>
          <w:p w:rsidR="00000000" w:rsidRDefault="00000000">
            <w:pPr>
              <w:pStyle w:val="table"/>
              <w:keepNext/>
              <w:jc w:val="center"/>
              <w:rPr>
                <w:i/>
              </w:rPr>
            </w:pPr>
            <w:r>
              <w:rPr>
                <w:i/>
              </w:rPr>
              <w:t>Безработные же</w:t>
            </w:r>
            <w:r>
              <w:rPr>
                <w:i/>
              </w:rPr>
              <w:t>н</w:t>
            </w:r>
            <w:r>
              <w:rPr>
                <w:i/>
              </w:rPr>
              <w:t>щины</w:t>
            </w:r>
          </w:p>
        </w:tc>
        <w:tc>
          <w:tcPr>
            <w:tcW w:w="1923" w:type="dxa"/>
            <w:tcBorders>
              <w:top w:val="single" w:sz="6" w:space="0" w:color="auto"/>
              <w:left w:val="single" w:sz="6" w:space="0" w:color="auto"/>
              <w:bottom w:val="single" w:sz="6" w:space="0" w:color="auto"/>
            </w:tcBorders>
            <w:vAlign w:val="center"/>
          </w:tcPr>
          <w:p w:rsidR="00000000" w:rsidRDefault="00000000">
            <w:pPr>
              <w:pStyle w:val="table"/>
              <w:keepNext/>
              <w:jc w:val="center"/>
              <w:rPr>
                <w:i/>
              </w:rPr>
            </w:pPr>
            <w:r>
              <w:rPr>
                <w:i/>
              </w:rPr>
              <w:t>Доля женщин</w:t>
            </w:r>
          </w:p>
        </w:tc>
        <w:tc>
          <w:tcPr>
            <w:tcW w:w="1923" w:type="dxa"/>
            <w:tcBorders>
              <w:top w:val="single" w:sz="6" w:space="0" w:color="auto"/>
              <w:bottom w:val="single" w:sz="6" w:space="0" w:color="auto"/>
            </w:tcBorders>
            <w:vAlign w:val="center"/>
          </w:tcPr>
          <w:p w:rsidR="00000000" w:rsidRDefault="00000000">
            <w:pPr>
              <w:pStyle w:val="table"/>
              <w:keepNext/>
              <w:jc w:val="center"/>
              <w:rPr>
                <w:i/>
              </w:rPr>
            </w:pPr>
            <w:r>
              <w:rPr>
                <w:i/>
              </w:rPr>
              <w:t>Уровень безработ</w:t>
            </w:r>
            <w:r>
              <w:rPr>
                <w:i/>
              </w:rPr>
              <w:t>и</w:t>
            </w:r>
            <w:r>
              <w:rPr>
                <w:i/>
              </w:rPr>
              <w:t>цы среди же</w:t>
            </w:r>
            <w:r>
              <w:rPr>
                <w:i/>
              </w:rPr>
              <w:t>н</w:t>
            </w:r>
            <w:r>
              <w:rPr>
                <w:i/>
              </w:rPr>
              <w:t xml:space="preserve">щин </w:t>
            </w:r>
            <w:r>
              <w:rPr>
                <w:i/>
                <w:vertAlign w:val="superscript"/>
              </w:rPr>
              <w:t>1)</w:t>
            </w:r>
          </w:p>
        </w:tc>
        <w:tc>
          <w:tcPr>
            <w:tcW w:w="1925" w:type="dxa"/>
            <w:tcBorders>
              <w:top w:val="single" w:sz="6" w:space="0" w:color="auto"/>
              <w:bottom w:val="single" w:sz="6" w:space="0" w:color="auto"/>
            </w:tcBorders>
            <w:vAlign w:val="center"/>
          </w:tcPr>
          <w:p w:rsidR="00000000" w:rsidRDefault="00000000">
            <w:pPr>
              <w:pStyle w:val="table"/>
              <w:keepNext/>
              <w:jc w:val="center"/>
              <w:rPr>
                <w:i/>
              </w:rPr>
            </w:pPr>
            <w:r>
              <w:rPr>
                <w:i/>
              </w:rPr>
              <w:t>Общий уровень бе</w:t>
            </w:r>
            <w:r>
              <w:rPr>
                <w:i/>
              </w:rPr>
              <w:t>з</w:t>
            </w:r>
            <w:r>
              <w:rPr>
                <w:i/>
              </w:rPr>
              <w:t>работ</w:t>
            </w:r>
            <w:r>
              <w:rPr>
                <w:i/>
              </w:rPr>
              <w:t>и</w:t>
            </w:r>
            <w:r>
              <w:rPr>
                <w:i/>
              </w:rPr>
              <w:t xml:space="preserve">цы </w:t>
            </w:r>
            <w:r>
              <w:rPr>
                <w:i/>
                <w:vertAlign w:val="superscript"/>
              </w:rPr>
              <w:t>1)</w:t>
            </w:r>
          </w:p>
        </w:tc>
      </w:tr>
      <w:tr w:rsidR="00000000">
        <w:tblPrEx>
          <w:tblCellMar>
            <w:top w:w="0" w:type="dxa"/>
            <w:bottom w:w="0" w:type="dxa"/>
          </w:tblCellMar>
        </w:tblPrEx>
        <w:trPr>
          <w:tblHeader/>
        </w:trPr>
        <w:tc>
          <w:tcPr>
            <w:tcW w:w="1670" w:type="dxa"/>
            <w:tcBorders>
              <w:top w:val="single" w:sz="6" w:space="0" w:color="auto"/>
              <w:bottom w:val="single" w:sz="12" w:space="0" w:color="auto"/>
            </w:tcBorders>
            <w:vAlign w:val="center"/>
          </w:tcPr>
          <w:p w:rsidR="00000000" w:rsidRDefault="00000000">
            <w:pPr>
              <w:pStyle w:val="table"/>
              <w:keepNext/>
              <w:jc w:val="center"/>
              <w:rPr>
                <w:i/>
              </w:rPr>
            </w:pPr>
          </w:p>
        </w:tc>
        <w:tc>
          <w:tcPr>
            <w:tcW w:w="1923" w:type="dxa"/>
            <w:tcBorders>
              <w:top w:val="single" w:sz="6" w:space="0" w:color="auto"/>
              <w:bottom w:val="single" w:sz="12" w:space="0" w:color="auto"/>
              <w:right w:val="single" w:sz="6" w:space="0" w:color="auto"/>
            </w:tcBorders>
            <w:vAlign w:val="center"/>
          </w:tcPr>
          <w:p w:rsidR="00000000" w:rsidRDefault="00000000">
            <w:pPr>
              <w:pStyle w:val="table"/>
              <w:keepNext/>
              <w:jc w:val="center"/>
              <w:rPr>
                <w:i/>
              </w:rPr>
            </w:pPr>
            <w:r>
              <w:rPr>
                <w:i/>
              </w:rPr>
              <w:t>Количество</w:t>
            </w:r>
          </w:p>
        </w:tc>
        <w:tc>
          <w:tcPr>
            <w:tcW w:w="5771" w:type="dxa"/>
            <w:gridSpan w:val="3"/>
            <w:tcBorders>
              <w:top w:val="single" w:sz="6" w:space="0" w:color="auto"/>
              <w:left w:val="single" w:sz="6" w:space="0" w:color="auto"/>
              <w:bottom w:val="single" w:sz="12" w:space="0" w:color="auto"/>
            </w:tcBorders>
            <w:vAlign w:val="center"/>
          </w:tcPr>
          <w:p w:rsidR="00000000" w:rsidRDefault="00000000">
            <w:pPr>
              <w:pStyle w:val="table"/>
              <w:keepNext/>
              <w:jc w:val="center"/>
              <w:rPr>
                <w:i/>
              </w:rPr>
            </w:pPr>
            <w:r>
              <w:rPr>
                <w:i/>
              </w:rPr>
              <w:t>%</w:t>
            </w:r>
          </w:p>
        </w:tc>
      </w:tr>
      <w:tr w:rsidR="00000000">
        <w:tblPrEx>
          <w:tblCellMar>
            <w:top w:w="0" w:type="dxa"/>
            <w:bottom w:w="0" w:type="dxa"/>
          </w:tblCellMar>
        </w:tblPrEx>
        <w:tc>
          <w:tcPr>
            <w:tcW w:w="1670" w:type="dxa"/>
            <w:tcBorders>
              <w:top w:val="single" w:sz="12" w:space="0" w:color="auto"/>
            </w:tcBorders>
          </w:tcPr>
          <w:p w:rsidR="00000000" w:rsidRDefault="00000000">
            <w:pPr>
              <w:pStyle w:val="table"/>
            </w:pPr>
            <w:r>
              <w:t>1991</w:t>
            </w:r>
          </w:p>
        </w:tc>
        <w:tc>
          <w:tcPr>
            <w:tcW w:w="1923" w:type="dxa"/>
            <w:tcBorders>
              <w:top w:val="single" w:sz="12" w:space="0" w:color="auto"/>
              <w:right w:val="single" w:sz="6" w:space="0" w:color="auto"/>
            </w:tcBorders>
          </w:tcPr>
          <w:p w:rsidR="00000000" w:rsidRDefault="00000000">
            <w:pPr>
              <w:pStyle w:val="table"/>
              <w:tabs>
                <w:tab w:val="decimal" w:pos="999"/>
              </w:tabs>
            </w:pPr>
            <w:r>
              <w:t>529 961</w:t>
            </w:r>
          </w:p>
        </w:tc>
        <w:tc>
          <w:tcPr>
            <w:tcW w:w="1923" w:type="dxa"/>
            <w:tcBorders>
              <w:top w:val="single" w:sz="12" w:space="0" w:color="auto"/>
              <w:left w:val="single" w:sz="6" w:space="0" w:color="auto"/>
            </w:tcBorders>
          </w:tcPr>
          <w:p w:rsidR="00000000" w:rsidRDefault="00000000">
            <w:pPr>
              <w:pStyle w:val="table"/>
              <w:tabs>
                <w:tab w:val="decimal" w:pos="567"/>
              </w:tabs>
            </w:pPr>
            <w:r>
              <w:t>58,1</w:t>
            </w:r>
          </w:p>
        </w:tc>
        <w:tc>
          <w:tcPr>
            <w:tcW w:w="1923" w:type="dxa"/>
            <w:tcBorders>
              <w:top w:val="single" w:sz="12" w:space="0" w:color="auto"/>
            </w:tcBorders>
          </w:tcPr>
          <w:p w:rsidR="00000000" w:rsidRDefault="00000000">
            <w:pPr>
              <w:pStyle w:val="table"/>
              <w:tabs>
                <w:tab w:val="decimal" w:pos="567"/>
              </w:tabs>
            </w:pPr>
            <w:r>
              <w:t>12,3</w:t>
            </w:r>
          </w:p>
        </w:tc>
        <w:tc>
          <w:tcPr>
            <w:tcW w:w="1925" w:type="dxa"/>
            <w:tcBorders>
              <w:top w:val="single" w:sz="12" w:space="0" w:color="auto"/>
            </w:tcBorders>
          </w:tcPr>
          <w:p w:rsidR="00000000" w:rsidRDefault="00000000">
            <w:pPr>
              <w:pStyle w:val="table"/>
              <w:tabs>
                <w:tab w:val="decimal" w:pos="567"/>
              </w:tabs>
            </w:pPr>
            <w:r>
              <w:t>10,3</w:t>
            </w:r>
          </w:p>
        </w:tc>
      </w:tr>
      <w:tr w:rsidR="00000000">
        <w:tblPrEx>
          <w:tblCellMar>
            <w:top w:w="0" w:type="dxa"/>
            <w:bottom w:w="0" w:type="dxa"/>
          </w:tblCellMar>
        </w:tblPrEx>
        <w:tc>
          <w:tcPr>
            <w:tcW w:w="1670" w:type="dxa"/>
          </w:tcPr>
          <w:p w:rsidR="00000000" w:rsidRDefault="00000000">
            <w:pPr>
              <w:pStyle w:val="table"/>
            </w:pPr>
            <w:r>
              <w:t>1992</w:t>
            </w:r>
          </w:p>
        </w:tc>
        <w:tc>
          <w:tcPr>
            <w:tcW w:w="1923" w:type="dxa"/>
            <w:tcBorders>
              <w:right w:val="single" w:sz="6" w:space="0" w:color="auto"/>
            </w:tcBorders>
          </w:tcPr>
          <w:p w:rsidR="00000000" w:rsidRDefault="00000000">
            <w:pPr>
              <w:pStyle w:val="table"/>
              <w:tabs>
                <w:tab w:val="decimal" w:pos="999"/>
              </w:tabs>
            </w:pPr>
            <w:r>
              <w:t>741 145</w:t>
            </w:r>
          </w:p>
        </w:tc>
        <w:tc>
          <w:tcPr>
            <w:tcW w:w="1923" w:type="dxa"/>
            <w:tcBorders>
              <w:left w:val="single" w:sz="6" w:space="0" w:color="auto"/>
            </w:tcBorders>
          </w:tcPr>
          <w:p w:rsidR="00000000" w:rsidRDefault="00000000">
            <w:pPr>
              <w:pStyle w:val="table"/>
              <w:tabs>
                <w:tab w:val="decimal" w:pos="567"/>
              </w:tabs>
            </w:pPr>
            <w:r>
              <w:t>63,3</w:t>
            </w:r>
          </w:p>
        </w:tc>
        <w:tc>
          <w:tcPr>
            <w:tcW w:w="1923" w:type="dxa"/>
          </w:tcPr>
          <w:p w:rsidR="00000000" w:rsidRDefault="00000000">
            <w:pPr>
              <w:pStyle w:val="table"/>
              <w:tabs>
                <w:tab w:val="decimal" w:pos="567"/>
              </w:tabs>
            </w:pPr>
            <w:r>
              <w:t>19,6</w:t>
            </w:r>
          </w:p>
        </w:tc>
        <w:tc>
          <w:tcPr>
            <w:tcW w:w="1925" w:type="dxa"/>
          </w:tcPr>
          <w:p w:rsidR="00000000" w:rsidRDefault="00000000">
            <w:pPr>
              <w:pStyle w:val="table"/>
              <w:tabs>
                <w:tab w:val="decimal" w:pos="567"/>
              </w:tabs>
            </w:pPr>
            <w:r>
              <w:t>14,8</w:t>
            </w:r>
          </w:p>
        </w:tc>
      </w:tr>
      <w:tr w:rsidR="00000000">
        <w:tblPrEx>
          <w:tblCellMar>
            <w:top w:w="0" w:type="dxa"/>
            <w:bottom w:w="0" w:type="dxa"/>
          </w:tblCellMar>
        </w:tblPrEx>
        <w:tc>
          <w:tcPr>
            <w:tcW w:w="1670" w:type="dxa"/>
          </w:tcPr>
          <w:p w:rsidR="00000000" w:rsidRDefault="00000000">
            <w:pPr>
              <w:pStyle w:val="table"/>
            </w:pPr>
            <w:r>
              <w:t>1993</w:t>
            </w:r>
          </w:p>
        </w:tc>
        <w:tc>
          <w:tcPr>
            <w:tcW w:w="1923" w:type="dxa"/>
            <w:tcBorders>
              <w:right w:val="single" w:sz="6" w:space="0" w:color="auto"/>
            </w:tcBorders>
          </w:tcPr>
          <w:p w:rsidR="00000000" w:rsidRDefault="00000000">
            <w:pPr>
              <w:pStyle w:val="table"/>
              <w:tabs>
                <w:tab w:val="decimal" w:pos="999"/>
              </w:tabs>
            </w:pPr>
            <w:r>
              <w:t>743 320</w:t>
            </w:r>
          </w:p>
        </w:tc>
        <w:tc>
          <w:tcPr>
            <w:tcW w:w="1923" w:type="dxa"/>
            <w:tcBorders>
              <w:left w:val="single" w:sz="6" w:space="0" w:color="auto"/>
            </w:tcBorders>
          </w:tcPr>
          <w:p w:rsidR="00000000" w:rsidRDefault="00000000">
            <w:pPr>
              <w:pStyle w:val="table"/>
              <w:tabs>
                <w:tab w:val="decimal" w:pos="567"/>
              </w:tabs>
            </w:pPr>
            <w:r>
              <w:t>63,9</w:t>
            </w:r>
          </w:p>
        </w:tc>
        <w:tc>
          <w:tcPr>
            <w:tcW w:w="1923" w:type="dxa"/>
          </w:tcPr>
          <w:p w:rsidR="00000000" w:rsidRDefault="00000000">
            <w:pPr>
              <w:pStyle w:val="table"/>
              <w:tabs>
                <w:tab w:val="decimal" w:pos="567"/>
              </w:tabs>
            </w:pPr>
            <w:r>
              <w:t>21,0</w:t>
            </w:r>
          </w:p>
        </w:tc>
        <w:tc>
          <w:tcPr>
            <w:tcW w:w="1925" w:type="dxa"/>
          </w:tcPr>
          <w:p w:rsidR="00000000" w:rsidRDefault="00000000">
            <w:pPr>
              <w:pStyle w:val="table"/>
              <w:tabs>
                <w:tab w:val="decimal" w:pos="567"/>
              </w:tabs>
            </w:pPr>
            <w:r>
              <w:t>15,8</w:t>
            </w:r>
          </w:p>
        </w:tc>
      </w:tr>
      <w:tr w:rsidR="00000000">
        <w:tblPrEx>
          <w:tblCellMar>
            <w:top w:w="0" w:type="dxa"/>
            <w:bottom w:w="0" w:type="dxa"/>
          </w:tblCellMar>
        </w:tblPrEx>
        <w:tc>
          <w:tcPr>
            <w:tcW w:w="1670" w:type="dxa"/>
          </w:tcPr>
          <w:p w:rsidR="00000000" w:rsidRDefault="00000000">
            <w:pPr>
              <w:pStyle w:val="table"/>
            </w:pPr>
            <w:r>
              <w:t>1994</w:t>
            </w:r>
          </w:p>
        </w:tc>
        <w:tc>
          <w:tcPr>
            <w:tcW w:w="1923" w:type="dxa"/>
            <w:tcBorders>
              <w:right w:val="single" w:sz="6" w:space="0" w:color="auto"/>
            </w:tcBorders>
          </w:tcPr>
          <w:p w:rsidR="00000000" w:rsidRDefault="00000000">
            <w:pPr>
              <w:pStyle w:val="table"/>
              <w:tabs>
                <w:tab w:val="decimal" w:pos="999"/>
              </w:tabs>
            </w:pPr>
            <w:r>
              <w:t>740 644</w:t>
            </w:r>
          </w:p>
        </w:tc>
        <w:tc>
          <w:tcPr>
            <w:tcW w:w="1923" w:type="dxa"/>
            <w:tcBorders>
              <w:left w:val="single" w:sz="6" w:space="0" w:color="auto"/>
            </w:tcBorders>
          </w:tcPr>
          <w:p w:rsidR="00000000" w:rsidRDefault="00000000">
            <w:pPr>
              <w:pStyle w:val="table"/>
              <w:tabs>
                <w:tab w:val="decimal" w:pos="567"/>
              </w:tabs>
            </w:pPr>
            <w:r>
              <w:t>64,8</w:t>
            </w:r>
          </w:p>
        </w:tc>
        <w:tc>
          <w:tcPr>
            <w:tcW w:w="1923" w:type="dxa"/>
          </w:tcPr>
          <w:p w:rsidR="00000000" w:rsidRDefault="00000000">
            <w:pPr>
              <w:pStyle w:val="table"/>
              <w:tabs>
                <w:tab w:val="decimal" w:pos="567"/>
              </w:tabs>
            </w:pPr>
            <w:r>
              <w:t>21,5</w:t>
            </w:r>
          </w:p>
        </w:tc>
        <w:tc>
          <w:tcPr>
            <w:tcW w:w="1925" w:type="dxa"/>
          </w:tcPr>
          <w:p w:rsidR="00000000" w:rsidRDefault="00000000">
            <w:pPr>
              <w:pStyle w:val="table"/>
              <w:tabs>
                <w:tab w:val="decimal" w:pos="567"/>
              </w:tabs>
            </w:pPr>
            <w:r>
              <w:t>16,0</w:t>
            </w:r>
          </w:p>
        </w:tc>
      </w:tr>
      <w:tr w:rsidR="00000000">
        <w:tblPrEx>
          <w:tblCellMar>
            <w:top w:w="0" w:type="dxa"/>
            <w:bottom w:w="0" w:type="dxa"/>
          </w:tblCellMar>
        </w:tblPrEx>
        <w:tc>
          <w:tcPr>
            <w:tcW w:w="1670" w:type="dxa"/>
          </w:tcPr>
          <w:p w:rsidR="00000000" w:rsidRDefault="00000000">
            <w:pPr>
              <w:pStyle w:val="table"/>
            </w:pPr>
            <w:r>
              <w:t>1995</w:t>
            </w:r>
          </w:p>
        </w:tc>
        <w:tc>
          <w:tcPr>
            <w:tcW w:w="1923" w:type="dxa"/>
            <w:tcBorders>
              <w:right w:val="single" w:sz="6" w:space="0" w:color="auto"/>
            </w:tcBorders>
          </w:tcPr>
          <w:p w:rsidR="00000000" w:rsidRDefault="00000000">
            <w:pPr>
              <w:pStyle w:val="table"/>
              <w:tabs>
                <w:tab w:val="decimal" w:pos="999"/>
              </w:tabs>
            </w:pPr>
            <w:r>
              <w:t>660 079</w:t>
            </w:r>
          </w:p>
        </w:tc>
        <w:tc>
          <w:tcPr>
            <w:tcW w:w="1923" w:type="dxa"/>
            <w:tcBorders>
              <w:left w:val="single" w:sz="6" w:space="0" w:color="auto"/>
            </w:tcBorders>
          </w:tcPr>
          <w:p w:rsidR="00000000" w:rsidRDefault="00000000">
            <w:pPr>
              <w:pStyle w:val="table"/>
              <w:tabs>
                <w:tab w:val="decimal" w:pos="567"/>
              </w:tabs>
            </w:pPr>
            <w:r>
              <w:t>63,0</w:t>
            </w:r>
          </w:p>
        </w:tc>
        <w:tc>
          <w:tcPr>
            <w:tcW w:w="1923" w:type="dxa"/>
          </w:tcPr>
          <w:p w:rsidR="00000000" w:rsidRDefault="00000000">
            <w:pPr>
              <w:pStyle w:val="table"/>
              <w:tabs>
                <w:tab w:val="decimal" w:pos="567"/>
              </w:tabs>
            </w:pPr>
            <w:r>
              <w:t>19,3</w:t>
            </w:r>
          </w:p>
        </w:tc>
        <w:tc>
          <w:tcPr>
            <w:tcW w:w="1925" w:type="dxa"/>
          </w:tcPr>
          <w:p w:rsidR="00000000" w:rsidRDefault="00000000">
            <w:pPr>
              <w:pStyle w:val="table"/>
              <w:tabs>
                <w:tab w:val="decimal" w:pos="567"/>
              </w:tabs>
            </w:pPr>
            <w:r>
              <w:t>14,9</w:t>
            </w:r>
          </w:p>
        </w:tc>
      </w:tr>
      <w:tr w:rsidR="00000000">
        <w:tblPrEx>
          <w:tblCellMar>
            <w:top w:w="0" w:type="dxa"/>
            <w:bottom w:w="0" w:type="dxa"/>
          </w:tblCellMar>
        </w:tblPrEx>
        <w:tc>
          <w:tcPr>
            <w:tcW w:w="1670" w:type="dxa"/>
          </w:tcPr>
          <w:p w:rsidR="00000000" w:rsidRDefault="00000000">
            <w:pPr>
              <w:pStyle w:val="table"/>
            </w:pPr>
            <w:r>
              <w:t>1996</w:t>
            </w:r>
          </w:p>
        </w:tc>
        <w:tc>
          <w:tcPr>
            <w:tcW w:w="1923" w:type="dxa"/>
            <w:tcBorders>
              <w:right w:val="single" w:sz="6" w:space="0" w:color="auto"/>
            </w:tcBorders>
          </w:tcPr>
          <w:p w:rsidR="00000000" w:rsidRDefault="00000000">
            <w:pPr>
              <w:pStyle w:val="table"/>
              <w:tabs>
                <w:tab w:val="decimal" w:pos="999"/>
              </w:tabs>
            </w:pPr>
            <w:r>
              <w:t>673 776</w:t>
            </w:r>
          </w:p>
        </w:tc>
        <w:tc>
          <w:tcPr>
            <w:tcW w:w="1923" w:type="dxa"/>
            <w:tcBorders>
              <w:left w:val="single" w:sz="6" w:space="0" w:color="auto"/>
            </w:tcBorders>
          </w:tcPr>
          <w:p w:rsidR="00000000" w:rsidRDefault="00000000">
            <w:pPr>
              <w:pStyle w:val="table"/>
              <w:tabs>
                <w:tab w:val="decimal" w:pos="567"/>
              </w:tabs>
            </w:pPr>
            <w:r>
              <w:t>57,6</w:t>
            </w:r>
          </w:p>
        </w:tc>
        <w:tc>
          <w:tcPr>
            <w:tcW w:w="1923" w:type="dxa"/>
          </w:tcPr>
          <w:p w:rsidR="00000000" w:rsidRDefault="00000000">
            <w:pPr>
              <w:pStyle w:val="table"/>
              <w:tabs>
                <w:tab w:val="decimal" w:pos="567"/>
              </w:tabs>
            </w:pPr>
            <w:r>
              <w:t>19,9</w:t>
            </w:r>
          </w:p>
        </w:tc>
        <w:tc>
          <w:tcPr>
            <w:tcW w:w="1925" w:type="dxa"/>
          </w:tcPr>
          <w:p w:rsidR="00000000" w:rsidRDefault="00000000">
            <w:pPr>
              <w:pStyle w:val="table"/>
              <w:tabs>
                <w:tab w:val="decimal" w:pos="567"/>
              </w:tabs>
            </w:pPr>
            <w:r>
              <w:t>16,7</w:t>
            </w:r>
          </w:p>
        </w:tc>
      </w:tr>
      <w:tr w:rsidR="00000000">
        <w:tblPrEx>
          <w:tblCellMar>
            <w:top w:w="0" w:type="dxa"/>
            <w:bottom w:w="0" w:type="dxa"/>
          </w:tblCellMar>
        </w:tblPrEx>
        <w:tc>
          <w:tcPr>
            <w:tcW w:w="1670" w:type="dxa"/>
          </w:tcPr>
          <w:p w:rsidR="00000000" w:rsidRDefault="00000000">
            <w:pPr>
              <w:pStyle w:val="table"/>
            </w:pPr>
            <w:r>
              <w:t>1997</w:t>
            </w:r>
          </w:p>
        </w:tc>
        <w:tc>
          <w:tcPr>
            <w:tcW w:w="1923" w:type="dxa"/>
            <w:tcBorders>
              <w:right w:val="single" w:sz="6" w:space="0" w:color="auto"/>
            </w:tcBorders>
          </w:tcPr>
          <w:p w:rsidR="00000000" w:rsidRDefault="00000000">
            <w:pPr>
              <w:pStyle w:val="table"/>
              <w:tabs>
                <w:tab w:val="decimal" w:pos="999"/>
              </w:tabs>
            </w:pPr>
            <w:r>
              <w:t>761 890</w:t>
            </w:r>
          </w:p>
        </w:tc>
        <w:tc>
          <w:tcPr>
            <w:tcW w:w="1923" w:type="dxa"/>
            <w:tcBorders>
              <w:left w:val="single" w:sz="6" w:space="0" w:color="auto"/>
            </w:tcBorders>
          </w:tcPr>
          <w:p w:rsidR="00000000" w:rsidRDefault="00000000">
            <w:pPr>
              <w:pStyle w:val="table"/>
              <w:tabs>
                <w:tab w:val="decimal" w:pos="567"/>
              </w:tabs>
            </w:pPr>
            <w:r>
              <w:t>55,9</w:t>
            </w:r>
          </w:p>
        </w:tc>
        <w:tc>
          <w:tcPr>
            <w:tcW w:w="1923" w:type="dxa"/>
          </w:tcPr>
          <w:p w:rsidR="00000000" w:rsidRDefault="00000000">
            <w:pPr>
              <w:pStyle w:val="table"/>
              <w:tabs>
                <w:tab w:val="decimal" w:pos="567"/>
              </w:tabs>
            </w:pPr>
            <w:r>
              <w:t>22,5</w:t>
            </w:r>
          </w:p>
        </w:tc>
        <w:tc>
          <w:tcPr>
            <w:tcW w:w="1925" w:type="dxa"/>
          </w:tcPr>
          <w:p w:rsidR="00000000" w:rsidRDefault="00000000">
            <w:pPr>
              <w:pStyle w:val="table"/>
              <w:tabs>
                <w:tab w:val="decimal" w:pos="567"/>
              </w:tabs>
            </w:pPr>
            <w:r>
              <w:t>19,5</w:t>
            </w:r>
          </w:p>
        </w:tc>
      </w:tr>
      <w:tr w:rsidR="00000000">
        <w:tblPrEx>
          <w:tblCellMar>
            <w:top w:w="0" w:type="dxa"/>
            <w:bottom w:w="0" w:type="dxa"/>
          </w:tblCellMar>
        </w:tblPrEx>
        <w:tc>
          <w:tcPr>
            <w:tcW w:w="1670" w:type="dxa"/>
          </w:tcPr>
          <w:p w:rsidR="00000000" w:rsidRDefault="00000000">
            <w:pPr>
              <w:pStyle w:val="table"/>
            </w:pPr>
            <w:r>
              <w:t>1998</w:t>
            </w:r>
          </w:p>
        </w:tc>
        <w:tc>
          <w:tcPr>
            <w:tcW w:w="1923" w:type="dxa"/>
            <w:tcBorders>
              <w:right w:val="single" w:sz="6" w:space="0" w:color="auto"/>
            </w:tcBorders>
          </w:tcPr>
          <w:p w:rsidR="00000000" w:rsidRDefault="00000000">
            <w:pPr>
              <w:pStyle w:val="table"/>
              <w:tabs>
                <w:tab w:val="decimal" w:pos="999"/>
              </w:tabs>
            </w:pPr>
            <w:r>
              <w:t>743 090</w:t>
            </w:r>
          </w:p>
        </w:tc>
        <w:tc>
          <w:tcPr>
            <w:tcW w:w="1923" w:type="dxa"/>
            <w:tcBorders>
              <w:left w:val="single" w:sz="6" w:space="0" w:color="auto"/>
            </w:tcBorders>
          </w:tcPr>
          <w:p w:rsidR="00000000" w:rsidRDefault="00000000">
            <w:pPr>
              <w:pStyle w:val="table"/>
              <w:tabs>
                <w:tab w:val="decimal" w:pos="567"/>
              </w:tabs>
            </w:pPr>
            <w:r>
              <w:t>54,0</w:t>
            </w:r>
          </w:p>
        </w:tc>
        <w:tc>
          <w:tcPr>
            <w:tcW w:w="1923" w:type="dxa"/>
          </w:tcPr>
          <w:p w:rsidR="00000000" w:rsidRDefault="00000000">
            <w:pPr>
              <w:pStyle w:val="table"/>
              <w:tabs>
                <w:tab w:val="decimal" w:pos="567"/>
              </w:tabs>
            </w:pPr>
            <w:r>
              <w:t>21,8</w:t>
            </w:r>
          </w:p>
        </w:tc>
        <w:tc>
          <w:tcPr>
            <w:tcW w:w="1925" w:type="dxa"/>
          </w:tcPr>
          <w:p w:rsidR="00000000" w:rsidRDefault="00000000">
            <w:pPr>
              <w:pStyle w:val="table"/>
              <w:tabs>
                <w:tab w:val="decimal" w:pos="567"/>
              </w:tabs>
            </w:pPr>
            <w:r>
              <w:t>19,5</w:t>
            </w:r>
          </w:p>
        </w:tc>
      </w:tr>
      <w:tr w:rsidR="00000000">
        <w:tblPrEx>
          <w:tblCellMar>
            <w:top w:w="0" w:type="dxa"/>
            <w:bottom w:w="0" w:type="dxa"/>
          </w:tblCellMar>
        </w:tblPrEx>
        <w:tc>
          <w:tcPr>
            <w:tcW w:w="1670" w:type="dxa"/>
          </w:tcPr>
          <w:p w:rsidR="00000000" w:rsidRDefault="00000000">
            <w:pPr>
              <w:pStyle w:val="table"/>
            </w:pPr>
            <w:r>
              <w:t>1999</w:t>
            </w:r>
          </w:p>
        </w:tc>
        <w:tc>
          <w:tcPr>
            <w:tcW w:w="1923" w:type="dxa"/>
            <w:tcBorders>
              <w:right w:val="single" w:sz="6" w:space="0" w:color="auto"/>
            </w:tcBorders>
          </w:tcPr>
          <w:p w:rsidR="00000000" w:rsidRDefault="00000000">
            <w:pPr>
              <w:pStyle w:val="table"/>
              <w:tabs>
                <w:tab w:val="decimal" w:pos="999"/>
              </w:tabs>
            </w:pPr>
            <w:r>
              <w:t>719 430</w:t>
            </w:r>
          </w:p>
        </w:tc>
        <w:tc>
          <w:tcPr>
            <w:tcW w:w="1923" w:type="dxa"/>
            <w:tcBorders>
              <w:left w:val="single" w:sz="6" w:space="0" w:color="auto"/>
            </w:tcBorders>
          </w:tcPr>
          <w:p w:rsidR="00000000" w:rsidRDefault="00000000">
            <w:pPr>
              <w:pStyle w:val="table"/>
              <w:tabs>
                <w:tab w:val="decimal" w:pos="567"/>
              </w:tabs>
            </w:pPr>
            <w:r>
              <w:t>53,5</w:t>
            </w:r>
          </w:p>
        </w:tc>
        <w:tc>
          <w:tcPr>
            <w:tcW w:w="1923" w:type="dxa"/>
          </w:tcPr>
          <w:p w:rsidR="00000000" w:rsidRDefault="00000000">
            <w:pPr>
              <w:pStyle w:val="table"/>
              <w:tabs>
                <w:tab w:val="decimal" w:pos="567"/>
              </w:tabs>
            </w:pPr>
            <w:r>
              <w:t>20,9</w:t>
            </w:r>
          </w:p>
        </w:tc>
        <w:tc>
          <w:tcPr>
            <w:tcW w:w="1925" w:type="dxa"/>
          </w:tcPr>
          <w:p w:rsidR="00000000" w:rsidRDefault="00000000">
            <w:pPr>
              <w:pStyle w:val="table"/>
              <w:tabs>
                <w:tab w:val="decimal" w:pos="567"/>
              </w:tabs>
            </w:pPr>
            <w:r>
              <w:t>19,0</w:t>
            </w:r>
          </w:p>
        </w:tc>
      </w:tr>
      <w:tr w:rsidR="00000000">
        <w:tblPrEx>
          <w:tblCellMar>
            <w:top w:w="0" w:type="dxa"/>
            <w:bottom w:w="0" w:type="dxa"/>
          </w:tblCellMar>
        </w:tblPrEx>
        <w:tc>
          <w:tcPr>
            <w:tcW w:w="1670" w:type="dxa"/>
          </w:tcPr>
          <w:p w:rsidR="00000000" w:rsidRDefault="00000000">
            <w:pPr>
              <w:pStyle w:val="table"/>
            </w:pPr>
            <w:r>
              <w:t>2000</w:t>
            </w:r>
          </w:p>
        </w:tc>
        <w:tc>
          <w:tcPr>
            <w:tcW w:w="1923" w:type="dxa"/>
            <w:tcBorders>
              <w:right w:val="single" w:sz="6" w:space="0" w:color="auto"/>
            </w:tcBorders>
          </w:tcPr>
          <w:p w:rsidR="00000000" w:rsidRDefault="00000000">
            <w:pPr>
              <w:pStyle w:val="table"/>
              <w:tabs>
                <w:tab w:val="decimal" w:pos="999"/>
              </w:tabs>
            </w:pPr>
            <w:r>
              <w:t>704 550</w:t>
            </w:r>
          </w:p>
        </w:tc>
        <w:tc>
          <w:tcPr>
            <w:tcW w:w="1923" w:type="dxa"/>
            <w:tcBorders>
              <w:left w:val="single" w:sz="6" w:space="0" w:color="auto"/>
            </w:tcBorders>
          </w:tcPr>
          <w:p w:rsidR="00000000" w:rsidRDefault="00000000">
            <w:pPr>
              <w:pStyle w:val="table"/>
              <w:tabs>
                <w:tab w:val="decimal" w:pos="567"/>
              </w:tabs>
            </w:pPr>
            <w:r>
              <w:t>51,8</w:t>
            </w:r>
          </w:p>
        </w:tc>
        <w:tc>
          <w:tcPr>
            <w:tcW w:w="1923" w:type="dxa"/>
          </w:tcPr>
          <w:p w:rsidR="00000000" w:rsidRDefault="00000000">
            <w:pPr>
              <w:pStyle w:val="table"/>
              <w:tabs>
                <w:tab w:val="decimal" w:pos="567"/>
              </w:tabs>
            </w:pPr>
            <w:r>
              <w:t>19,9</w:t>
            </w:r>
          </w:p>
        </w:tc>
        <w:tc>
          <w:tcPr>
            <w:tcW w:w="1925" w:type="dxa"/>
          </w:tcPr>
          <w:p w:rsidR="00000000" w:rsidRDefault="00000000">
            <w:pPr>
              <w:pStyle w:val="table"/>
              <w:tabs>
                <w:tab w:val="decimal" w:pos="567"/>
              </w:tabs>
            </w:pPr>
            <w:r>
              <w:t>18,8</w:t>
            </w:r>
          </w:p>
        </w:tc>
      </w:tr>
      <w:tr w:rsidR="00000000">
        <w:tblPrEx>
          <w:tblCellMar>
            <w:top w:w="0" w:type="dxa"/>
            <w:bottom w:w="0" w:type="dxa"/>
          </w:tblCellMar>
        </w:tblPrEx>
        <w:tc>
          <w:tcPr>
            <w:tcW w:w="1670" w:type="dxa"/>
            <w:tcBorders>
              <w:bottom w:val="single" w:sz="12" w:space="0" w:color="auto"/>
            </w:tcBorders>
          </w:tcPr>
          <w:p w:rsidR="00000000" w:rsidRDefault="00000000">
            <w:pPr>
              <w:pStyle w:val="table"/>
            </w:pPr>
            <w:r>
              <w:t>2001</w:t>
            </w:r>
          </w:p>
        </w:tc>
        <w:tc>
          <w:tcPr>
            <w:tcW w:w="1923" w:type="dxa"/>
            <w:tcBorders>
              <w:bottom w:val="single" w:sz="12" w:space="0" w:color="auto"/>
              <w:right w:val="single" w:sz="6" w:space="0" w:color="auto"/>
            </w:tcBorders>
          </w:tcPr>
          <w:p w:rsidR="00000000" w:rsidRDefault="00000000">
            <w:pPr>
              <w:pStyle w:val="table"/>
              <w:tabs>
                <w:tab w:val="decimal" w:pos="999"/>
              </w:tabs>
            </w:pPr>
            <w:r>
              <w:t>689 118</w:t>
            </w:r>
          </w:p>
        </w:tc>
        <w:tc>
          <w:tcPr>
            <w:tcW w:w="1923" w:type="dxa"/>
            <w:tcBorders>
              <w:left w:val="single" w:sz="6" w:space="0" w:color="auto"/>
              <w:bottom w:val="single" w:sz="12" w:space="0" w:color="auto"/>
            </w:tcBorders>
          </w:tcPr>
          <w:p w:rsidR="00000000" w:rsidRDefault="00000000">
            <w:pPr>
              <w:pStyle w:val="table"/>
              <w:tabs>
                <w:tab w:val="decimal" w:pos="567"/>
              </w:tabs>
            </w:pPr>
            <w:r>
              <w:t>50,2</w:t>
            </w:r>
          </w:p>
        </w:tc>
        <w:tc>
          <w:tcPr>
            <w:tcW w:w="1923" w:type="dxa"/>
            <w:tcBorders>
              <w:bottom w:val="single" w:sz="12" w:space="0" w:color="auto"/>
            </w:tcBorders>
          </w:tcPr>
          <w:p w:rsidR="00000000" w:rsidRDefault="00000000">
            <w:pPr>
              <w:pStyle w:val="table"/>
              <w:tabs>
                <w:tab w:val="decimal" w:pos="567"/>
              </w:tabs>
            </w:pPr>
            <w:r>
              <w:t>19,4</w:t>
            </w:r>
          </w:p>
        </w:tc>
        <w:tc>
          <w:tcPr>
            <w:tcW w:w="1925" w:type="dxa"/>
            <w:tcBorders>
              <w:bottom w:val="single" w:sz="12" w:space="0" w:color="auto"/>
            </w:tcBorders>
          </w:tcPr>
          <w:p w:rsidR="00000000" w:rsidRDefault="00000000">
            <w:pPr>
              <w:pStyle w:val="table"/>
              <w:tabs>
                <w:tab w:val="decimal" w:pos="567"/>
              </w:tabs>
            </w:pPr>
            <w:r>
              <w:t>18,9</w:t>
            </w:r>
          </w:p>
        </w:tc>
      </w:tr>
    </w:tbl>
    <w:p w:rsidR="00000000" w:rsidRDefault="00000000">
      <w:pPr>
        <w:pStyle w:val="istochnik"/>
        <w:tabs>
          <w:tab w:val="clear" w:pos="1267"/>
        </w:tabs>
        <w:ind w:left="0"/>
      </w:pPr>
      <w:r>
        <w:t>1) Безработные как процентная доля от числа гражданских лиц, занятых на оплачиваемой работе</w:t>
      </w:r>
    </w:p>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08" w:name="_Toc44113561"/>
      <w:bookmarkStart w:id="709" w:name="_Toc44113862"/>
      <w:bookmarkStart w:id="710" w:name="_Toc44114370"/>
      <w:bookmarkStart w:id="711" w:name="_Toc44115616"/>
      <w:bookmarkStart w:id="712" w:name="_Toc44116048"/>
      <w:r>
        <w:t>Таблица 3.7 Количество самозанятых лиц в Германии (в тыс.)</w:t>
      </w:r>
      <w:bookmarkEnd w:id="708"/>
      <w:bookmarkEnd w:id="709"/>
      <w:bookmarkEnd w:id="710"/>
      <w:bookmarkEnd w:id="711"/>
      <w:bookmarkEnd w:id="712"/>
    </w:p>
    <w:tbl>
      <w:tblPr>
        <w:tblW w:w="0" w:type="auto"/>
        <w:tblInd w:w="2" w:type="dxa"/>
        <w:tblLayout w:type="fixed"/>
        <w:tblCellMar>
          <w:left w:w="6" w:type="dxa"/>
          <w:right w:w="6" w:type="dxa"/>
        </w:tblCellMar>
        <w:tblLook w:val="0000" w:firstRow="0" w:lastRow="0" w:firstColumn="0" w:lastColumn="0" w:noHBand="0" w:noVBand="0"/>
      </w:tblPr>
      <w:tblGrid>
        <w:gridCol w:w="2127"/>
        <w:gridCol w:w="863"/>
        <w:gridCol w:w="863"/>
        <w:gridCol w:w="864"/>
        <w:gridCol w:w="863"/>
        <w:gridCol w:w="863"/>
        <w:gridCol w:w="864"/>
        <w:gridCol w:w="863"/>
        <w:gridCol w:w="863"/>
        <w:gridCol w:w="864"/>
        <w:gridCol w:w="863"/>
        <w:gridCol w:w="864"/>
      </w:tblGrid>
      <w:tr w:rsidR="00000000">
        <w:tblPrEx>
          <w:tblCellMar>
            <w:top w:w="0" w:type="dxa"/>
            <w:bottom w:w="0" w:type="dxa"/>
          </w:tblCellMar>
        </w:tblPrEx>
        <w:tc>
          <w:tcPr>
            <w:tcW w:w="2127" w:type="dxa"/>
            <w:tcBorders>
              <w:top w:val="single" w:sz="6" w:space="0" w:color="auto"/>
              <w:bottom w:val="single" w:sz="12" w:space="0" w:color="auto"/>
            </w:tcBorders>
          </w:tcPr>
          <w:p w:rsidR="00000000" w:rsidRDefault="00000000">
            <w:pPr>
              <w:pStyle w:val="table"/>
              <w:jc w:val="center"/>
              <w:rPr>
                <w:i/>
              </w:rPr>
            </w:pPr>
            <w:r>
              <w:rPr>
                <w:i/>
              </w:rPr>
              <w:t>Год</w:t>
            </w:r>
          </w:p>
        </w:tc>
        <w:tc>
          <w:tcPr>
            <w:tcW w:w="863" w:type="dxa"/>
            <w:tcBorders>
              <w:top w:val="single" w:sz="6" w:space="0" w:color="auto"/>
              <w:bottom w:val="single" w:sz="12" w:space="0" w:color="auto"/>
            </w:tcBorders>
          </w:tcPr>
          <w:p w:rsidR="00000000" w:rsidRDefault="00000000">
            <w:pPr>
              <w:pStyle w:val="table"/>
              <w:jc w:val="center"/>
              <w:rPr>
                <w:i/>
              </w:rPr>
            </w:pPr>
            <w:r>
              <w:rPr>
                <w:i/>
              </w:rPr>
              <w:t>1991</w:t>
            </w:r>
          </w:p>
        </w:tc>
        <w:tc>
          <w:tcPr>
            <w:tcW w:w="863" w:type="dxa"/>
            <w:tcBorders>
              <w:top w:val="single" w:sz="6" w:space="0" w:color="auto"/>
              <w:bottom w:val="single" w:sz="12" w:space="0" w:color="auto"/>
            </w:tcBorders>
          </w:tcPr>
          <w:p w:rsidR="00000000" w:rsidRDefault="00000000">
            <w:pPr>
              <w:pStyle w:val="table"/>
              <w:jc w:val="center"/>
              <w:rPr>
                <w:i/>
              </w:rPr>
            </w:pPr>
            <w:r>
              <w:rPr>
                <w:i/>
              </w:rPr>
              <w:t>1992</w:t>
            </w:r>
          </w:p>
        </w:tc>
        <w:tc>
          <w:tcPr>
            <w:tcW w:w="864" w:type="dxa"/>
            <w:tcBorders>
              <w:top w:val="single" w:sz="6" w:space="0" w:color="auto"/>
              <w:bottom w:val="single" w:sz="12" w:space="0" w:color="auto"/>
            </w:tcBorders>
          </w:tcPr>
          <w:p w:rsidR="00000000" w:rsidRDefault="00000000">
            <w:pPr>
              <w:pStyle w:val="table"/>
              <w:jc w:val="center"/>
              <w:rPr>
                <w:i/>
              </w:rPr>
            </w:pPr>
            <w:r>
              <w:rPr>
                <w:i/>
              </w:rPr>
              <w:t>1993</w:t>
            </w:r>
          </w:p>
        </w:tc>
        <w:tc>
          <w:tcPr>
            <w:tcW w:w="863" w:type="dxa"/>
            <w:tcBorders>
              <w:top w:val="single" w:sz="6" w:space="0" w:color="auto"/>
              <w:bottom w:val="single" w:sz="12" w:space="0" w:color="auto"/>
            </w:tcBorders>
          </w:tcPr>
          <w:p w:rsidR="00000000" w:rsidRDefault="00000000">
            <w:pPr>
              <w:pStyle w:val="table"/>
              <w:jc w:val="center"/>
              <w:rPr>
                <w:i/>
              </w:rPr>
            </w:pPr>
            <w:r>
              <w:rPr>
                <w:i/>
              </w:rPr>
              <w:t>1994</w:t>
            </w:r>
          </w:p>
        </w:tc>
        <w:tc>
          <w:tcPr>
            <w:tcW w:w="863" w:type="dxa"/>
            <w:tcBorders>
              <w:top w:val="single" w:sz="6" w:space="0" w:color="auto"/>
              <w:bottom w:val="single" w:sz="12" w:space="0" w:color="auto"/>
            </w:tcBorders>
          </w:tcPr>
          <w:p w:rsidR="00000000" w:rsidRDefault="00000000">
            <w:pPr>
              <w:pStyle w:val="table"/>
              <w:jc w:val="center"/>
              <w:rPr>
                <w:i/>
              </w:rPr>
            </w:pPr>
            <w:r>
              <w:rPr>
                <w:i/>
              </w:rPr>
              <w:t>1995</w:t>
            </w:r>
          </w:p>
        </w:tc>
        <w:tc>
          <w:tcPr>
            <w:tcW w:w="864" w:type="dxa"/>
            <w:tcBorders>
              <w:top w:val="single" w:sz="6" w:space="0" w:color="auto"/>
              <w:bottom w:val="single" w:sz="12" w:space="0" w:color="auto"/>
            </w:tcBorders>
          </w:tcPr>
          <w:p w:rsidR="00000000" w:rsidRDefault="00000000">
            <w:pPr>
              <w:pStyle w:val="table"/>
              <w:jc w:val="center"/>
              <w:rPr>
                <w:i/>
              </w:rPr>
            </w:pPr>
            <w:r>
              <w:rPr>
                <w:i/>
              </w:rPr>
              <w:t>1996</w:t>
            </w:r>
          </w:p>
        </w:tc>
        <w:tc>
          <w:tcPr>
            <w:tcW w:w="863" w:type="dxa"/>
            <w:tcBorders>
              <w:top w:val="single" w:sz="6" w:space="0" w:color="auto"/>
              <w:bottom w:val="single" w:sz="12" w:space="0" w:color="auto"/>
            </w:tcBorders>
          </w:tcPr>
          <w:p w:rsidR="00000000" w:rsidRDefault="00000000">
            <w:pPr>
              <w:pStyle w:val="table"/>
              <w:jc w:val="center"/>
              <w:rPr>
                <w:i/>
              </w:rPr>
            </w:pPr>
            <w:r>
              <w:rPr>
                <w:i/>
              </w:rPr>
              <w:t>1997</w:t>
            </w:r>
          </w:p>
        </w:tc>
        <w:tc>
          <w:tcPr>
            <w:tcW w:w="863" w:type="dxa"/>
            <w:tcBorders>
              <w:top w:val="single" w:sz="6" w:space="0" w:color="auto"/>
              <w:bottom w:val="single" w:sz="12" w:space="0" w:color="auto"/>
            </w:tcBorders>
          </w:tcPr>
          <w:p w:rsidR="00000000" w:rsidRDefault="00000000">
            <w:pPr>
              <w:pStyle w:val="table"/>
              <w:jc w:val="center"/>
              <w:rPr>
                <w:i/>
              </w:rPr>
            </w:pPr>
            <w:r>
              <w:rPr>
                <w:i/>
              </w:rPr>
              <w:t>1998</w:t>
            </w:r>
          </w:p>
        </w:tc>
        <w:tc>
          <w:tcPr>
            <w:tcW w:w="864" w:type="dxa"/>
            <w:tcBorders>
              <w:top w:val="single" w:sz="6" w:space="0" w:color="auto"/>
              <w:bottom w:val="single" w:sz="12" w:space="0" w:color="auto"/>
            </w:tcBorders>
          </w:tcPr>
          <w:p w:rsidR="00000000" w:rsidRDefault="00000000">
            <w:pPr>
              <w:pStyle w:val="table"/>
              <w:jc w:val="center"/>
              <w:rPr>
                <w:i/>
              </w:rPr>
            </w:pPr>
            <w:r>
              <w:rPr>
                <w:i/>
              </w:rPr>
              <w:t>1999</w:t>
            </w:r>
          </w:p>
        </w:tc>
        <w:tc>
          <w:tcPr>
            <w:tcW w:w="863" w:type="dxa"/>
            <w:tcBorders>
              <w:top w:val="single" w:sz="6" w:space="0" w:color="auto"/>
              <w:bottom w:val="single" w:sz="12" w:space="0" w:color="auto"/>
            </w:tcBorders>
          </w:tcPr>
          <w:p w:rsidR="00000000" w:rsidRDefault="00000000">
            <w:pPr>
              <w:pStyle w:val="table"/>
              <w:jc w:val="center"/>
              <w:rPr>
                <w:i/>
              </w:rPr>
            </w:pPr>
            <w:r>
              <w:rPr>
                <w:i/>
              </w:rPr>
              <w:t>2000</w:t>
            </w:r>
          </w:p>
        </w:tc>
        <w:tc>
          <w:tcPr>
            <w:tcW w:w="864" w:type="dxa"/>
            <w:tcBorders>
              <w:top w:val="single" w:sz="6" w:space="0" w:color="auto"/>
              <w:bottom w:val="single" w:sz="12" w:space="0" w:color="auto"/>
            </w:tcBorders>
          </w:tcPr>
          <w:p w:rsidR="00000000" w:rsidRDefault="00000000">
            <w:pPr>
              <w:pStyle w:val="table"/>
              <w:jc w:val="center"/>
              <w:rPr>
                <w:i/>
              </w:rPr>
            </w:pPr>
            <w:r>
              <w:rPr>
                <w:i/>
              </w:rPr>
              <w:t>2001</w:t>
            </w:r>
          </w:p>
        </w:tc>
      </w:tr>
      <w:tr w:rsidR="00000000">
        <w:tblPrEx>
          <w:tblCellMar>
            <w:top w:w="0" w:type="dxa"/>
            <w:bottom w:w="0" w:type="dxa"/>
          </w:tblCellMar>
        </w:tblPrEx>
        <w:tc>
          <w:tcPr>
            <w:tcW w:w="2127" w:type="dxa"/>
            <w:tcBorders>
              <w:top w:val="single" w:sz="12" w:space="0" w:color="auto"/>
            </w:tcBorders>
          </w:tcPr>
          <w:p w:rsidR="00000000" w:rsidRDefault="00000000">
            <w:pPr>
              <w:pStyle w:val="table"/>
              <w:rPr>
                <w:b/>
              </w:rPr>
            </w:pPr>
            <w:r>
              <w:rPr>
                <w:b/>
              </w:rPr>
              <w:t>1. Общее число самоз</w:t>
            </w:r>
            <w:r>
              <w:rPr>
                <w:b/>
              </w:rPr>
              <w:t>а</w:t>
            </w:r>
            <w:r>
              <w:rPr>
                <w:b/>
              </w:rPr>
              <w:t>нятых лиц</w:t>
            </w:r>
          </w:p>
        </w:tc>
        <w:tc>
          <w:tcPr>
            <w:tcW w:w="863" w:type="dxa"/>
            <w:tcBorders>
              <w:top w:val="single" w:sz="12" w:space="0" w:color="auto"/>
            </w:tcBorders>
            <w:vAlign w:val="bottom"/>
          </w:tcPr>
          <w:p w:rsidR="00000000" w:rsidRDefault="00000000">
            <w:pPr>
              <w:pStyle w:val="table"/>
              <w:tabs>
                <w:tab w:val="decimal" w:pos="388"/>
              </w:tabs>
            </w:pPr>
            <w:r>
              <w:t>3037</w:t>
            </w:r>
          </w:p>
        </w:tc>
        <w:tc>
          <w:tcPr>
            <w:tcW w:w="863" w:type="dxa"/>
            <w:tcBorders>
              <w:top w:val="single" w:sz="12" w:space="0" w:color="auto"/>
            </w:tcBorders>
            <w:vAlign w:val="bottom"/>
          </w:tcPr>
          <w:p w:rsidR="00000000" w:rsidRDefault="00000000">
            <w:pPr>
              <w:pStyle w:val="table"/>
              <w:tabs>
                <w:tab w:val="decimal" w:pos="388"/>
              </w:tabs>
            </w:pPr>
            <w:r>
              <w:t>3091</w:t>
            </w:r>
          </w:p>
        </w:tc>
        <w:tc>
          <w:tcPr>
            <w:tcW w:w="864" w:type="dxa"/>
            <w:tcBorders>
              <w:top w:val="single" w:sz="12" w:space="0" w:color="auto"/>
            </w:tcBorders>
            <w:vAlign w:val="bottom"/>
          </w:tcPr>
          <w:p w:rsidR="00000000" w:rsidRDefault="00000000">
            <w:pPr>
              <w:pStyle w:val="table"/>
              <w:tabs>
                <w:tab w:val="decimal" w:pos="388"/>
              </w:tabs>
            </w:pPr>
            <w:r>
              <w:t>3175</w:t>
            </w:r>
          </w:p>
        </w:tc>
        <w:tc>
          <w:tcPr>
            <w:tcW w:w="863" w:type="dxa"/>
            <w:tcBorders>
              <w:top w:val="single" w:sz="12" w:space="0" w:color="auto"/>
            </w:tcBorders>
            <w:vAlign w:val="bottom"/>
          </w:tcPr>
          <w:p w:rsidR="00000000" w:rsidRDefault="00000000">
            <w:pPr>
              <w:pStyle w:val="table"/>
              <w:tabs>
                <w:tab w:val="decimal" w:pos="388"/>
              </w:tabs>
            </w:pPr>
            <w:r>
              <w:t>3288</w:t>
            </w:r>
          </w:p>
        </w:tc>
        <w:tc>
          <w:tcPr>
            <w:tcW w:w="863" w:type="dxa"/>
            <w:tcBorders>
              <w:top w:val="single" w:sz="12" w:space="0" w:color="auto"/>
            </w:tcBorders>
            <w:vAlign w:val="bottom"/>
          </w:tcPr>
          <w:p w:rsidR="00000000" w:rsidRDefault="00000000">
            <w:pPr>
              <w:pStyle w:val="table"/>
              <w:tabs>
                <w:tab w:val="decimal" w:pos="388"/>
              </w:tabs>
            </w:pPr>
            <w:r>
              <w:t>3336</w:t>
            </w:r>
          </w:p>
        </w:tc>
        <w:tc>
          <w:tcPr>
            <w:tcW w:w="864" w:type="dxa"/>
            <w:tcBorders>
              <w:top w:val="single" w:sz="12" w:space="0" w:color="auto"/>
            </w:tcBorders>
            <w:vAlign w:val="bottom"/>
          </w:tcPr>
          <w:p w:rsidR="00000000" w:rsidRDefault="00000000">
            <w:pPr>
              <w:pStyle w:val="table"/>
              <w:tabs>
                <w:tab w:val="decimal" w:pos="388"/>
              </w:tabs>
            </w:pPr>
            <w:r>
              <w:t>3409</w:t>
            </w:r>
          </w:p>
        </w:tc>
        <w:tc>
          <w:tcPr>
            <w:tcW w:w="863" w:type="dxa"/>
            <w:tcBorders>
              <w:top w:val="single" w:sz="12" w:space="0" w:color="auto"/>
            </w:tcBorders>
            <w:vAlign w:val="bottom"/>
          </w:tcPr>
          <w:p w:rsidR="00000000" w:rsidRDefault="00000000">
            <w:pPr>
              <w:pStyle w:val="table"/>
              <w:tabs>
                <w:tab w:val="decimal" w:pos="388"/>
              </w:tabs>
            </w:pPr>
            <w:r>
              <w:t>3528</w:t>
            </w:r>
          </w:p>
        </w:tc>
        <w:tc>
          <w:tcPr>
            <w:tcW w:w="863" w:type="dxa"/>
            <w:tcBorders>
              <w:top w:val="single" w:sz="12" w:space="0" w:color="auto"/>
            </w:tcBorders>
            <w:vAlign w:val="bottom"/>
          </w:tcPr>
          <w:p w:rsidR="00000000" w:rsidRDefault="00000000">
            <w:pPr>
              <w:pStyle w:val="table"/>
              <w:tabs>
                <w:tab w:val="decimal" w:pos="388"/>
              </w:tabs>
            </w:pPr>
            <w:r>
              <w:t>3594</w:t>
            </w:r>
          </w:p>
        </w:tc>
        <w:tc>
          <w:tcPr>
            <w:tcW w:w="864" w:type="dxa"/>
            <w:tcBorders>
              <w:top w:val="single" w:sz="12" w:space="0" w:color="auto"/>
            </w:tcBorders>
            <w:vAlign w:val="bottom"/>
          </w:tcPr>
          <w:p w:rsidR="00000000" w:rsidRDefault="00000000">
            <w:pPr>
              <w:pStyle w:val="table"/>
              <w:tabs>
                <w:tab w:val="decimal" w:pos="388"/>
              </w:tabs>
            </w:pPr>
            <w:r>
              <w:t>3594</w:t>
            </w:r>
          </w:p>
        </w:tc>
        <w:tc>
          <w:tcPr>
            <w:tcW w:w="863" w:type="dxa"/>
            <w:tcBorders>
              <w:top w:val="single" w:sz="12" w:space="0" w:color="auto"/>
            </w:tcBorders>
            <w:vAlign w:val="bottom"/>
          </w:tcPr>
          <w:p w:rsidR="00000000" w:rsidRDefault="00000000">
            <w:pPr>
              <w:pStyle w:val="table"/>
              <w:tabs>
                <w:tab w:val="decimal" w:pos="388"/>
              </w:tabs>
            </w:pPr>
            <w:r>
              <w:t>3643</w:t>
            </w:r>
          </w:p>
        </w:tc>
        <w:tc>
          <w:tcPr>
            <w:tcW w:w="864" w:type="dxa"/>
            <w:tcBorders>
              <w:top w:val="single" w:sz="12" w:space="0" w:color="auto"/>
            </w:tcBorders>
            <w:vAlign w:val="bottom"/>
          </w:tcPr>
          <w:p w:rsidR="00000000" w:rsidRDefault="00000000">
            <w:pPr>
              <w:pStyle w:val="table"/>
              <w:tabs>
                <w:tab w:val="decimal" w:pos="388"/>
              </w:tabs>
            </w:pPr>
            <w:r>
              <w:t>3632</w:t>
            </w:r>
          </w:p>
        </w:tc>
      </w:tr>
      <w:tr w:rsidR="00000000">
        <w:tblPrEx>
          <w:tblCellMar>
            <w:top w:w="0" w:type="dxa"/>
            <w:bottom w:w="0" w:type="dxa"/>
          </w:tblCellMar>
        </w:tblPrEx>
        <w:tc>
          <w:tcPr>
            <w:tcW w:w="2127" w:type="dxa"/>
          </w:tcPr>
          <w:p w:rsidR="00000000" w:rsidRDefault="00000000">
            <w:pPr>
              <w:pStyle w:val="table"/>
            </w:pPr>
            <w:r>
              <w:t>в том числе же</w:t>
            </w:r>
            <w:r>
              <w:t>н</w:t>
            </w:r>
            <w:r>
              <w:t>щин</w:t>
            </w:r>
          </w:p>
        </w:tc>
        <w:tc>
          <w:tcPr>
            <w:tcW w:w="863" w:type="dxa"/>
            <w:vAlign w:val="bottom"/>
          </w:tcPr>
          <w:p w:rsidR="00000000" w:rsidRDefault="00000000">
            <w:pPr>
              <w:pStyle w:val="table"/>
              <w:tabs>
                <w:tab w:val="decimal" w:pos="388"/>
              </w:tabs>
            </w:pPr>
            <w:r>
              <w:t>780</w:t>
            </w:r>
          </w:p>
        </w:tc>
        <w:tc>
          <w:tcPr>
            <w:tcW w:w="863" w:type="dxa"/>
            <w:vAlign w:val="bottom"/>
          </w:tcPr>
          <w:p w:rsidR="00000000" w:rsidRDefault="00000000">
            <w:pPr>
              <w:pStyle w:val="table"/>
              <w:tabs>
                <w:tab w:val="decimal" w:pos="388"/>
              </w:tabs>
            </w:pPr>
            <w:r>
              <w:t>790</w:t>
            </w:r>
          </w:p>
        </w:tc>
        <w:tc>
          <w:tcPr>
            <w:tcW w:w="864" w:type="dxa"/>
            <w:vAlign w:val="bottom"/>
          </w:tcPr>
          <w:p w:rsidR="00000000" w:rsidRDefault="00000000">
            <w:pPr>
              <w:pStyle w:val="table"/>
              <w:tabs>
                <w:tab w:val="decimal" w:pos="388"/>
              </w:tabs>
            </w:pPr>
            <w:r>
              <w:t>827</w:t>
            </w:r>
          </w:p>
        </w:tc>
        <w:tc>
          <w:tcPr>
            <w:tcW w:w="863" w:type="dxa"/>
            <w:vAlign w:val="bottom"/>
          </w:tcPr>
          <w:p w:rsidR="00000000" w:rsidRDefault="00000000">
            <w:pPr>
              <w:pStyle w:val="table"/>
              <w:tabs>
                <w:tab w:val="decimal" w:pos="388"/>
              </w:tabs>
            </w:pPr>
            <w:r>
              <w:t>862</w:t>
            </w:r>
          </w:p>
        </w:tc>
        <w:tc>
          <w:tcPr>
            <w:tcW w:w="863" w:type="dxa"/>
            <w:vAlign w:val="bottom"/>
          </w:tcPr>
          <w:p w:rsidR="00000000" w:rsidRDefault="00000000">
            <w:pPr>
              <w:pStyle w:val="table"/>
              <w:tabs>
                <w:tab w:val="decimal" w:pos="388"/>
              </w:tabs>
            </w:pPr>
            <w:r>
              <w:t>880</w:t>
            </w:r>
          </w:p>
        </w:tc>
        <w:tc>
          <w:tcPr>
            <w:tcW w:w="864" w:type="dxa"/>
            <w:vAlign w:val="bottom"/>
          </w:tcPr>
          <w:p w:rsidR="00000000" w:rsidRDefault="00000000">
            <w:pPr>
              <w:pStyle w:val="table"/>
              <w:tabs>
                <w:tab w:val="decimal" w:pos="388"/>
              </w:tabs>
            </w:pPr>
            <w:r>
              <w:t>916</w:t>
            </w:r>
          </w:p>
        </w:tc>
        <w:tc>
          <w:tcPr>
            <w:tcW w:w="863" w:type="dxa"/>
            <w:vAlign w:val="bottom"/>
          </w:tcPr>
          <w:p w:rsidR="00000000" w:rsidRDefault="00000000">
            <w:pPr>
              <w:pStyle w:val="table"/>
              <w:tabs>
                <w:tab w:val="decimal" w:pos="388"/>
              </w:tabs>
            </w:pPr>
            <w:r>
              <w:t>962</w:t>
            </w:r>
          </w:p>
        </w:tc>
        <w:tc>
          <w:tcPr>
            <w:tcW w:w="863" w:type="dxa"/>
            <w:vAlign w:val="bottom"/>
          </w:tcPr>
          <w:p w:rsidR="00000000" w:rsidRDefault="00000000">
            <w:pPr>
              <w:pStyle w:val="table"/>
              <w:tabs>
                <w:tab w:val="decimal" w:pos="388"/>
              </w:tabs>
            </w:pPr>
            <w:r>
              <w:t>986</w:t>
            </w:r>
          </w:p>
        </w:tc>
        <w:tc>
          <w:tcPr>
            <w:tcW w:w="864" w:type="dxa"/>
            <w:vAlign w:val="bottom"/>
          </w:tcPr>
          <w:p w:rsidR="00000000" w:rsidRDefault="00000000">
            <w:pPr>
              <w:pStyle w:val="table"/>
              <w:tabs>
                <w:tab w:val="decimal" w:pos="388"/>
              </w:tabs>
            </w:pPr>
            <w:r>
              <w:t>991</w:t>
            </w:r>
          </w:p>
        </w:tc>
        <w:tc>
          <w:tcPr>
            <w:tcW w:w="863" w:type="dxa"/>
            <w:vAlign w:val="bottom"/>
          </w:tcPr>
          <w:p w:rsidR="00000000" w:rsidRDefault="00000000">
            <w:pPr>
              <w:pStyle w:val="table"/>
              <w:tabs>
                <w:tab w:val="decimal" w:pos="388"/>
              </w:tabs>
            </w:pPr>
            <w:r>
              <w:t>1012</w:t>
            </w:r>
          </w:p>
        </w:tc>
        <w:tc>
          <w:tcPr>
            <w:tcW w:w="864" w:type="dxa"/>
            <w:vAlign w:val="bottom"/>
          </w:tcPr>
          <w:p w:rsidR="00000000" w:rsidRDefault="00000000">
            <w:pPr>
              <w:pStyle w:val="table"/>
              <w:tabs>
                <w:tab w:val="decimal" w:pos="388"/>
              </w:tabs>
            </w:pPr>
            <w:r>
              <w:t>1012</w:t>
            </w:r>
          </w:p>
        </w:tc>
      </w:tr>
      <w:tr w:rsidR="00000000">
        <w:tblPrEx>
          <w:tblCellMar>
            <w:top w:w="0" w:type="dxa"/>
            <w:bottom w:w="0" w:type="dxa"/>
          </w:tblCellMar>
        </w:tblPrEx>
        <w:tc>
          <w:tcPr>
            <w:tcW w:w="2127" w:type="dxa"/>
          </w:tcPr>
          <w:p w:rsidR="00000000" w:rsidRDefault="00000000">
            <w:pPr>
              <w:pStyle w:val="table"/>
            </w:pPr>
            <w:r>
              <w:t>Доля женщин в пр</w:t>
            </w:r>
            <w:r>
              <w:t>о</w:t>
            </w:r>
            <w:r>
              <w:t>центах</w:t>
            </w:r>
          </w:p>
        </w:tc>
        <w:tc>
          <w:tcPr>
            <w:tcW w:w="863" w:type="dxa"/>
            <w:vAlign w:val="bottom"/>
          </w:tcPr>
          <w:p w:rsidR="00000000" w:rsidRDefault="00000000">
            <w:pPr>
              <w:pStyle w:val="table"/>
              <w:tabs>
                <w:tab w:val="decimal" w:pos="388"/>
              </w:tabs>
            </w:pPr>
            <w:r>
              <w:t>25,68</w:t>
            </w:r>
          </w:p>
        </w:tc>
        <w:tc>
          <w:tcPr>
            <w:tcW w:w="863" w:type="dxa"/>
            <w:vAlign w:val="bottom"/>
          </w:tcPr>
          <w:p w:rsidR="00000000" w:rsidRDefault="00000000">
            <w:pPr>
              <w:pStyle w:val="table"/>
              <w:tabs>
                <w:tab w:val="decimal" w:pos="388"/>
              </w:tabs>
            </w:pPr>
            <w:r>
              <w:t>25,56</w:t>
            </w:r>
          </w:p>
        </w:tc>
        <w:tc>
          <w:tcPr>
            <w:tcW w:w="864" w:type="dxa"/>
            <w:vAlign w:val="bottom"/>
          </w:tcPr>
          <w:p w:rsidR="00000000" w:rsidRDefault="00000000">
            <w:pPr>
              <w:pStyle w:val="table"/>
              <w:tabs>
                <w:tab w:val="decimal" w:pos="388"/>
              </w:tabs>
            </w:pPr>
            <w:r>
              <w:t>26,05</w:t>
            </w:r>
          </w:p>
        </w:tc>
        <w:tc>
          <w:tcPr>
            <w:tcW w:w="863" w:type="dxa"/>
            <w:vAlign w:val="bottom"/>
          </w:tcPr>
          <w:p w:rsidR="00000000" w:rsidRDefault="00000000">
            <w:pPr>
              <w:pStyle w:val="table"/>
              <w:tabs>
                <w:tab w:val="decimal" w:pos="388"/>
              </w:tabs>
            </w:pPr>
            <w:r>
              <w:t>26,22</w:t>
            </w:r>
          </w:p>
        </w:tc>
        <w:tc>
          <w:tcPr>
            <w:tcW w:w="863" w:type="dxa"/>
            <w:vAlign w:val="bottom"/>
          </w:tcPr>
          <w:p w:rsidR="00000000" w:rsidRDefault="00000000">
            <w:pPr>
              <w:pStyle w:val="table"/>
              <w:tabs>
                <w:tab w:val="decimal" w:pos="388"/>
              </w:tabs>
            </w:pPr>
            <w:r>
              <w:t>26,38</w:t>
            </w:r>
          </w:p>
        </w:tc>
        <w:tc>
          <w:tcPr>
            <w:tcW w:w="864" w:type="dxa"/>
            <w:vAlign w:val="bottom"/>
          </w:tcPr>
          <w:p w:rsidR="00000000" w:rsidRDefault="00000000">
            <w:pPr>
              <w:pStyle w:val="table"/>
              <w:tabs>
                <w:tab w:val="decimal" w:pos="388"/>
              </w:tabs>
            </w:pPr>
            <w:r>
              <w:t>26,9</w:t>
            </w:r>
          </w:p>
        </w:tc>
        <w:tc>
          <w:tcPr>
            <w:tcW w:w="863" w:type="dxa"/>
            <w:vAlign w:val="bottom"/>
          </w:tcPr>
          <w:p w:rsidR="00000000" w:rsidRDefault="00000000">
            <w:pPr>
              <w:pStyle w:val="table"/>
              <w:tabs>
                <w:tab w:val="decimal" w:pos="388"/>
              </w:tabs>
            </w:pPr>
            <w:r>
              <w:t>27,3</w:t>
            </w:r>
          </w:p>
        </w:tc>
        <w:tc>
          <w:tcPr>
            <w:tcW w:w="863" w:type="dxa"/>
            <w:vAlign w:val="bottom"/>
          </w:tcPr>
          <w:p w:rsidR="00000000" w:rsidRDefault="00000000">
            <w:pPr>
              <w:pStyle w:val="table"/>
              <w:tabs>
                <w:tab w:val="decimal" w:pos="388"/>
              </w:tabs>
            </w:pPr>
            <w:r>
              <w:t>27,48</w:t>
            </w:r>
          </w:p>
        </w:tc>
        <w:tc>
          <w:tcPr>
            <w:tcW w:w="864" w:type="dxa"/>
            <w:vAlign w:val="bottom"/>
          </w:tcPr>
          <w:p w:rsidR="00000000" w:rsidRDefault="00000000">
            <w:pPr>
              <w:pStyle w:val="table"/>
              <w:tabs>
                <w:tab w:val="decimal" w:pos="388"/>
              </w:tabs>
            </w:pPr>
            <w:r>
              <w:t>27,6</w:t>
            </w:r>
          </w:p>
        </w:tc>
        <w:tc>
          <w:tcPr>
            <w:tcW w:w="863" w:type="dxa"/>
            <w:vAlign w:val="bottom"/>
          </w:tcPr>
          <w:p w:rsidR="00000000" w:rsidRDefault="00000000">
            <w:pPr>
              <w:pStyle w:val="table"/>
              <w:tabs>
                <w:tab w:val="decimal" w:pos="388"/>
              </w:tabs>
            </w:pPr>
            <w:r>
              <w:t>27,8</w:t>
            </w:r>
          </w:p>
        </w:tc>
        <w:tc>
          <w:tcPr>
            <w:tcW w:w="864" w:type="dxa"/>
            <w:vAlign w:val="bottom"/>
          </w:tcPr>
          <w:p w:rsidR="00000000" w:rsidRDefault="00000000">
            <w:pPr>
              <w:pStyle w:val="table"/>
              <w:tabs>
                <w:tab w:val="decimal" w:pos="388"/>
              </w:tabs>
            </w:pPr>
            <w:r>
              <w:t>27,9</w:t>
            </w:r>
          </w:p>
        </w:tc>
      </w:tr>
      <w:tr w:rsidR="00000000">
        <w:tblPrEx>
          <w:tblCellMar>
            <w:top w:w="0" w:type="dxa"/>
            <w:bottom w:w="0" w:type="dxa"/>
          </w:tblCellMar>
        </w:tblPrEx>
        <w:tc>
          <w:tcPr>
            <w:tcW w:w="2127" w:type="dxa"/>
          </w:tcPr>
          <w:p w:rsidR="00000000" w:rsidRDefault="00000000">
            <w:pPr>
              <w:pStyle w:val="table"/>
            </w:pPr>
            <w:r>
              <w:rPr>
                <w:b/>
              </w:rPr>
              <w:t>2. Прежняя федеральная террит</w:t>
            </w:r>
            <w:r>
              <w:rPr>
                <w:b/>
              </w:rPr>
              <w:t>о</w:t>
            </w:r>
            <w:r>
              <w:rPr>
                <w:b/>
              </w:rPr>
              <w:t>рия</w:t>
            </w:r>
          </w:p>
        </w:tc>
        <w:tc>
          <w:tcPr>
            <w:tcW w:w="863" w:type="dxa"/>
            <w:vAlign w:val="bottom"/>
          </w:tcPr>
          <w:p w:rsidR="00000000" w:rsidRDefault="00000000">
            <w:pPr>
              <w:pStyle w:val="table"/>
              <w:tabs>
                <w:tab w:val="decimal" w:pos="388"/>
              </w:tabs>
            </w:pPr>
            <w:r>
              <w:t>2689</w:t>
            </w:r>
          </w:p>
        </w:tc>
        <w:tc>
          <w:tcPr>
            <w:tcW w:w="863" w:type="dxa"/>
            <w:vAlign w:val="bottom"/>
          </w:tcPr>
          <w:p w:rsidR="00000000" w:rsidRDefault="00000000">
            <w:pPr>
              <w:pStyle w:val="table"/>
              <w:tabs>
                <w:tab w:val="decimal" w:pos="388"/>
              </w:tabs>
            </w:pPr>
            <w:r>
              <w:t>2699</w:t>
            </w:r>
          </w:p>
        </w:tc>
        <w:tc>
          <w:tcPr>
            <w:tcW w:w="864" w:type="dxa"/>
            <w:vAlign w:val="bottom"/>
          </w:tcPr>
          <w:p w:rsidR="00000000" w:rsidRDefault="00000000">
            <w:pPr>
              <w:pStyle w:val="table"/>
              <w:tabs>
                <w:tab w:val="decimal" w:pos="388"/>
              </w:tabs>
            </w:pPr>
            <w:r>
              <w:t>2746</w:t>
            </w:r>
          </w:p>
        </w:tc>
        <w:tc>
          <w:tcPr>
            <w:tcW w:w="863" w:type="dxa"/>
            <w:vAlign w:val="bottom"/>
          </w:tcPr>
          <w:p w:rsidR="00000000" w:rsidRDefault="00000000">
            <w:pPr>
              <w:pStyle w:val="table"/>
              <w:tabs>
                <w:tab w:val="decimal" w:pos="388"/>
              </w:tabs>
            </w:pPr>
            <w:r>
              <w:t>2823</w:t>
            </w:r>
          </w:p>
        </w:tc>
        <w:tc>
          <w:tcPr>
            <w:tcW w:w="863" w:type="dxa"/>
            <w:vAlign w:val="bottom"/>
          </w:tcPr>
          <w:p w:rsidR="00000000" w:rsidRDefault="00000000">
            <w:pPr>
              <w:pStyle w:val="table"/>
              <w:tabs>
                <w:tab w:val="decimal" w:pos="388"/>
              </w:tabs>
            </w:pPr>
            <w:r>
              <w:t>2850</w:t>
            </w:r>
          </w:p>
        </w:tc>
        <w:tc>
          <w:tcPr>
            <w:tcW w:w="864" w:type="dxa"/>
            <w:vAlign w:val="bottom"/>
          </w:tcPr>
          <w:p w:rsidR="00000000" w:rsidRDefault="00000000">
            <w:pPr>
              <w:pStyle w:val="table"/>
              <w:tabs>
                <w:tab w:val="decimal" w:pos="388"/>
              </w:tabs>
            </w:pPr>
            <w:r>
              <w:t>2921</w:t>
            </w:r>
          </w:p>
        </w:tc>
        <w:tc>
          <w:tcPr>
            <w:tcW w:w="863" w:type="dxa"/>
            <w:vAlign w:val="bottom"/>
          </w:tcPr>
          <w:p w:rsidR="00000000" w:rsidRDefault="00000000">
            <w:pPr>
              <w:pStyle w:val="table"/>
              <w:tabs>
                <w:tab w:val="decimal" w:pos="388"/>
              </w:tabs>
            </w:pPr>
            <w:r>
              <w:t>3013</w:t>
            </w:r>
          </w:p>
        </w:tc>
        <w:tc>
          <w:tcPr>
            <w:tcW w:w="863" w:type="dxa"/>
            <w:vAlign w:val="bottom"/>
          </w:tcPr>
          <w:p w:rsidR="00000000" w:rsidRDefault="00000000">
            <w:pPr>
              <w:pStyle w:val="table"/>
              <w:tabs>
                <w:tab w:val="decimal" w:pos="388"/>
              </w:tabs>
            </w:pPr>
            <w:r>
              <w:t>3051</w:t>
            </w:r>
          </w:p>
        </w:tc>
        <w:tc>
          <w:tcPr>
            <w:tcW w:w="864" w:type="dxa"/>
            <w:vAlign w:val="bottom"/>
          </w:tcPr>
          <w:p w:rsidR="00000000" w:rsidRDefault="00000000">
            <w:pPr>
              <w:pStyle w:val="table"/>
              <w:tabs>
                <w:tab w:val="decimal" w:pos="388"/>
              </w:tabs>
            </w:pPr>
            <w:r>
              <w:t>3049</w:t>
            </w:r>
          </w:p>
        </w:tc>
        <w:tc>
          <w:tcPr>
            <w:tcW w:w="863" w:type="dxa"/>
            <w:vAlign w:val="bottom"/>
          </w:tcPr>
          <w:p w:rsidR="00000000" w:rsidRDefault="00000000">
            <w:pPr>
              <w:pStyle w:val="table"/>
              <w:tabs>
                <w:tab w:val="decimal" w:pos="388"/>
              </w:tabs>
            </w:pPr>
            <w:r>
              <w:t>3089</w:t>
            </w:r>
          </w:p>
        </w:tc>
        <w:tc>
          <w:tcPr>
            <w:tcW w:w="864" w:type="dxa"/>
            <w:vAlign w:val="bottom"/>
          </w:tcPr>
          <w:p w:rsidR="00000000" w:rsidRDefault="00000000">
            <w:pPr>
              <w:pStyle w:val="table"/>
              <w:tabs>
                <w:tab w:val="decimal" w:pos="388"/>
              </w:tabs>
            </w:pPr>
            <w:r>
              <w:t>3070</w:t>
            </w:r>
          </w:p>
        </w:tc>
      </w:tr>
      <w:tr w:rsidR="00000000">
        <w:tblPrEx>
          <w:tblCellMar>
            <w:top w:w="0" w:type="dxa"/>
            <w:bottom w:w="0" w:type="dxa"/>
          </w:tblCellMar>
        </w:tblPrEx>
        <w:tc>
          <w:tcPr>
            <w:tcW w:w="2127" w:type="dxa"/>
          </w:tcPr>
          <w:p w:rsidR="00000000" w:rsidRDefault="00000000">
            <w:pPr>
              <w:pStyle w:val="table"/>
            </w:pPr>
            <w:r>
              <w:t>в том числе же</w:t>
            </w:r>
            <w:r>
              <w:t>н</w:t>
            </w:r>
            <w:r>
              <w:t>щин</w:t>
            </w:r>
          </w:p>
        </w:tc>
        <w:tc>
          <w:tcPr>
            <w:tcW w:w="863" w:type="dxa"/>
            <w:vAlign w:val="bottom"/>
          </w:tcPr>
          <w:p w:rsidR="00000000" w:rsidRDefault="00000000">
            <w:pPr>
              <w:pStyle w:val="table"/>
              <w:tabs>
                <w:tab w:val="decimal" w:pos="388"/>
              </w:tabs>
            </w:pPr>
            <w:r>
              <w:t>682</w:t>
            </w:r>
          </w:p>
        </w:tc>
        <w:tc>
          <w:tcPr>
            <w:tcW w:w="863" w:type="dxa"/>
            <w:vAlign w:val="bottom"/>
          </w:tcPr>
          <w:p w:rsidR="00000000" w:rsidRDefault="00000000">
            <w:pPr>
              <w:pStyle w:val="table"/>
              <w:tabs>
                <w:tab w:val="decimal" w:pos="388"/>
              </w:tabs>
            </w:pPr>
            <w:r>
              <w:t>677</w:t>
            </w:r>
          </w:p>
        </w:tc>
        <w:tc>
          <w:tcPr>
            <w:tcW w:w="864" w:type="dxa"/>
            <w:vAlign w:val="bottom"/>
          </w:tcPr>
          <w:p w:rsidR="00000000" w:rsidRDefault="00000000">
            <w:pPr>
              <w:pStyle w:val="table"/>
              <w:tabs>
                <w:tab w:val="decimal" w:pos="388"/>
              </w:tabs>
            </w:pPr>
            <w:r>
              <w:t>698</w:t>
            </w:r>
          </w:p>
        </w:tc>
        <w:tc>
          <w:tcPr>
            <w:tcW w:w="863" w:type="dxa"/>
            <w:vAlign w:val="bottom"/>
          </w:tcPr>
          <w:p w:rsidR="00000000" w:rsidRDefault="00000000">
            <w:pPr>
              <w:pStyle w:val="table"/>
              <w:tabs>
                <w:tab w:val="decimal" w:pos="388"/>
              </w:tabs>
            </w:pPr>
            <w:r>
              <w:t>726</w:t>
            </w:r>
          </w:p>
        </w:tc>
        <w:tc>
          <w:tcPr>
            <w:tcW w:w="863" w:type="dxa"/>
            <w:vAlign w:val="bottom"/>
          </w:tcPr>
          <w:p w:rsidR="00000000" w:rsidRDefault="00000000">
            <w:pPr>
              <w:pStyle w:val="table"/>
              <w:tabs>
                <w:tab w:val="decimal" w:pos="388"/>
              </w:tabs>
            </w:pPr>
            <w:r>
              <w:t>739</w:t>
            </w:r>
          </w:p>
        </w:tc>
        <w:tc>
          <w:tcPr>
            <w:tcW w:w="864" w:type="dxa"/>
            <w:vAlign w:val="bottom"/>
          </w:tcPr>
          <w:p w:rsidR="00000000" w:rsidRDefault="00000000">
            <w:pPr>
              <w:pStyle w:val="table"/>
              <w:tabs>
                <w:tab w:val="decimal" w:pos="388"/>
              </w:tabs>
            </w:pPr>
            <w:r>
              <w:t>773</w:t>
            </w:r>
          </w:p>
        </w:tc>
        <w:tc>
          <w:tcPr>
            <w:tcW w:w="863" w:type="dxa"/>
            <w:vAlign w:val="bottom"/>
          </w:tcPr>
          <w:p w:rsidR="00000000" w:rsidRDefault="00000000">
            <w:pPr>
              <w:pStyle w:val="table"/>
              <w:tabs>
                <w:tab w:val="decimal" w:pos="388"/>
              </w:tabs>
            </w:pPr>
            <w:r>
              <w:t>806</w:t>
            </w:r>
          </w:p>
        </w:tc>
        <w:tc>
          <w:tcPr>
            <w:tcW w:w="863" w:type="dxa"/>
            <w:vAlign w:val="bottom"/>
          </w:tcPr>
          <w:p w:rsidR="00000000" w:rsidRDefault="00000000">
            <w:pPr>
              <w:pStyle w:val="table"/>
              <w:tabs>
                <w:tab w:val="decimal" w:pos="388"/>
              </w:tabs>
            </w:pPr>
            <w:r>
              <w:t>827</w:t>
            </w:r>
          </w:p>
        </w:tc>
        <w:tc>
          <w:tcPr>
            <w:tcW w:w="864" w:type="dxa"/>
            <w:vAlign w:val="bottom"/>
          </w:tcPr>
          <w:p w:rsidR="00000000" w:rsidRDefault="00000000">
            <w:pPr>
              <w:pStyle w:val="table"/>
              <w:tabs>
                <w:tab w:val="decimal" w:pos="388"/>
              </w:tabs>
            </w:pPr>
            <w:r>
              <w:t>830</w:t>
            </w:r>
          </w:p>
        </w:tc>
        <w:tc>
          <w:tcPr>
            <w:tcW w:w="863" w:type="dxa"/>
            <w:vAlign w:val="bottom"/>
          </w:tcPr>
          <w:p w:rsidR="00000000" w:rsidRDefault="00000000">
            <w:pPr>
              <w:pStyle w:val="table"/>
              <w:tabs>
                <w:tab w:val="decimal" w:pos="388"/>
              </w:tabs>
            </w:pPr>
            <w:r>
              <w:t>845</w:t>
            </w:r>
          </w:p>
        </w:tc>
        <w:tc>
          <w:tcPr>
            <w:tcW w:w="864" w:type="dxa"/>
            <w:vAlign w:val="bottom"/>
          </w:tcPr>
          <w:p w:rsidR="00000000" w:rsidRDefault="00000000">
            <w:pPr>
              <w:pStyle w:val="table"/>
              <w:tabs>
                <w:tab w:val="decimal" w:pos="388"/>
              </w:tabs>
            </w:pPr>
            <w:r>
              <w:t>844</w:t>
            </w:r>
          </w:p>
        </w:tc>
      </w:tr>
      <w:tr w:rsidR="00000000">
        <w:tblPrEx>
          <w:tblCellMar>
            <w:top w:w="0" w:type="dxa"/>
            <w:bottom w:w="0" w:type="dxa"/>
          </w:tblCellMar>
        </w:tblPrEx>
        <w:tc>
          <w:tcPr>
            <w:tcW w:w="2127" w:type="dxa"/>
          </w:tcPr>
          <w:p w:rsidR="00000000" w:rsidRDefault="00000000">
            <w:pPr>
              <w:pStyle w:val="table"/>
            </w:pPr>
            <w:r>
              <w:t>Доля женщин в пр</w:t>
            </w:r>
            <w:r>
              <w:t>о</w:t>
            </w:r>
            <w:r>
              <w:t>центах</w:t>
            </w:r>
          </w:p>
        </w:tc>
        <w:tc>
          <w:tcPr>
            <w:tcW w:w="863" w:type="dxa"/>
            <w:vAlign w:val="bottom"/>
          </w:tcPr>
          <w:p w:rsidR="00000000" w:rsidRDefault="00000000">
            <w:pPr>
              <w:pStyle w:val="table"/>
              <w:tabs>
                <w:tab w:val="decimal" w:pos="388"/>
              </w:tabs>
            </w:pPr>
            <w:r>
              <w:t>25,36</w:t>
            </w:r>
          </w:p>
        </w:tc>
        <w:tc>
          <w:tcPr>
            <w:tcW w:w="863" w:type="dxa"/>
            <w:vAlign w:val="bottom"/>
          </w:tcPr>
          <w:p w:rsidR="00000000" w:rsidRDefault="00000000">
            <w:pPr>
              <w:pStyle w:val="table"/>
              <w:tabs>
                <w:tab w:val="decimal" w:pos="388"/>
              </w:tabs>
            </w:pPr>
            <w:r>
              <w:t>25,08</w:t>
            </w:r>
          </w:p>
        </w:tc>
        <w:tc>
          <w:tcPr>
            <w:tcW w:w="864" w:type="dxa"/>
            <w:vAlign w:val="bottom"/>
          </w:tcPr>
          <w:p w:rsidR="00000000" w:rsidRDefault="00000000">
            <w:pPr>
              <w:pStyle w:val="table"/>
              <w:tabs>
                <w:tab w:val="decimal" w:pos="388"/>
              </w:tabs>
            </w:pPr>
            <w:r>
              <w:t>25,42</w:t>
            </w:r>
          </w:p>
        </w:tc>
        <w:tc>
          <w:tcPr>
            <w:tcW w:w="863" w:type="dxa"/>
            <w:vAlign w:val="bottom"/>
          </w:tcPr>
          <w:p w:rsidR="00000000" w:rsidRDefault="00000000">
            <w:pPr>
              <w:pStyle w:val="table"/>
              <w:tabs>
                <w:tab w:val="decimal" w:pos="388"/>
              </w:tabs>
            </w:pPr>
            <w:r>
              <w:t>25,72</w:t>
            </w:r>
          </w:p>
        </w:tc>
        <w:tc>
          <w:tcPr>
            <w:tcW w:w="863" w:type="dxa"/>
            <w:vAlign w:val="bottom"/>
          </w:tcPr>
          <w:p w:rsidR="00000000" w:rsidRDefault="00000000">
            <w:pPr>
              <w:pStyle w:val="table"/>
              <w:tabs>
                <w:tab w:val="decimal" w:pos="388"/>
              </w:tabs>
            </w:pPr>
            <w:r>
              <w:t>25,94</w:t>
            </w:r>
          </w:p>
        </w:tc>
        <w:tc>
          <w:tcPr>
            <w:tcW w:w="864" w:type="dxa"/>
            <w:vAlign w:val="bottom"/>
          </w:tcPr>
          <w:p w:rsidR="00000000" w:rsidRDefault="00000000">
            <w:pPr>
              <w:pStyle w:val="table"/>
              <w:tabs>
                <w:tab w:val="decimal" w:pos="388"/>
              </w:tabs>
            </w:pPr>
            <w:r>
              <w:t>26,5</w:t>
            </w:r>
          </w:p>
        </w:tc>
        <w:tc>
          <w:tcPr>
            <w:tcW w:w="863" w:type="dxa"/>
            <w:vAlign w:val="bottom"/>
          </w:tcPr>
          <w:p w:rsidR="00000000" w:rsidRDefault="00000000">
            <w:pPr>
              <w:pStyle w:val="table"/>
              <w:tabs>
                <w:tab w:val="decimal" w:pos="388"/>
              </w:tabs>
            </w:pPr>
            <w:r>
              <w:t>26,7</w:t>
            </w:r>
          </w:p>
        </w:tc>
        <w:tc>
          <w:tcPr>
            <w:tcW w:w="863" w:type="dxa"/>
            <w:vAlign w:val="bottom"/>
          </w:tcPr>
          <w:p w:rsidR="00000000" w:rsidRDefault="00000000">
            <w:pPr>
              <w:pStyle w:val="table"/>
              <w:tabs>
                <w:tab w:val="decimal" w:pos="388"/>
              </w:tabs>
            </w:pPr>
            <w:r>
              <w:t>27,1</w:t>
            </w:r>
          </w:p>
        </w:tc>
        <w:tc>
          <w:tcPr>
            <w:tcW w:w="864" w:type="dxa"/>
            <w:vAlign w:val="bottom"/>
          </w:tcPr>
          <w:p w:rsidR="00000000" w:rsidRDefault="00000000">
            <w:pPr>
              <w:pStyle w:val="table"/>
              <w:tabs>
                <w:tab w:val="decimal" w:pos="388"/>
              </w:tabs>
            </w:pPr>
            <w:r>
              <w:t>27,2</w:t>
            </w:r>
          </w:p>
        </w:tc>
        <w:tc>
          <w:tcPr>
            <w:tcW w:w="863" w:type="dxa"/>
            <w:vAlign w:val="bottom"/>
          </w:tcPr>
          <w:p w:rsidR="00000000" w:rsidRDefault="00000000">
            <w:pPr>
              <w:pStyle w:val="table"/>
              <w:tabs>
                <w:tab w:val="decimal" w:pos="388"/>
              </w:tabs>
            </w:pPr>
            <w:r>
              <w:t>27,4</w:t>
            </w:r>
          </w:p>
        </w:tc>
        <w:tc>
          <w:tcPr>
            <w:tcW w:w="864" w:type="dxa"/>
            <w:vAlign w:val="bottom"/>
          </w:tcPr>
          <w:p w:rsidR="00000000" w:rsidRDefault="00000000">
            <w:pPr>
              <w:pStyle w:val="table"/>
              <w:tabs>
                <w:tab w:val="decimal" w:pos="388"/>
              </w:tabs>
            </w:pPr>
            <w:r>
              <w:t>27,5</w:t>
            </w:r>
          </w:p>
        </w:tc>
      </w:tr>
      <w:tr w:rsidR="00000000">
        <w:tblPrEx>
          <w:tblCellMar>
            <w:top w:w="0" w:type="dxa"/>
            <w:bottom w:w="0" w:type="dxa"/>
          </w:tblCellMar>
        </w:tblPrEx>
        <w:tc>
          <w:tcPr>
            <w:tcW w:w="2127" w:type="dxa"/>
          </w:tcPr>
          <w:p w:rsidR="00000000" w:rsidRDefault="00000000">
            <w:pPr>
              <w:pStyle w:val="table"/>
              <w:rPr>
                <w:b/>
              </w:rPr>
            </w:pPr>
            <w:r>
              <w:rPr>
                <w:b/>
              </w:rPr>
              <w:t>3. Новая федеральная террит</w:t>
            </w:r>
            <w:r>
              <w:rPr>
                <w:b/>
              </w:rPr>
              <w:t>о</w:t>
            </w:r>
            <w:r>
              <w:rPr>
                <w:b/>
              </w:rPr>
              <w:t>рия</w:t>
            </w:r>
          </w:p>
        </w:tc>
        <w:tc>
          <w:tcPr>
            <w:tcW w:w="863" w:type="dxa"/>
            <w:vAlign w:val="bottom"/>
          </w:tcPr>
          <w:p w:rsidR="00000000" w:rsidRDefault="00000000">
            <w:pPr>
              <w:pStyle w:val="table"/>
              <w:tabs>
                <w:tab w:val="decimal" w:pos="388"/>
              </w:tabs>
            </w:pPr>
            <w:r>
              <w:t>348</w:t>
            </w:r>
          </w:p>
        </w:tc>
        <w:tc>
          <w:tcPr>
            <w:tcW w:w="863" w:type="dxa"/>
            <w:vAlign w:val="bottom"/>
          </w:tcPr>
          <w:p w:rsidR="00000000" w:rsidRDefault="00000000">
            <w:pPr>
              <w:pStyle w:val="table"/>
              <w:tabs>
                <w:tab w:val="decimal" w:pos="388"/>
              </w:tabs>
            </w:pPr>
            <w:r>
              <w:t>392</w:t>
            </w:r>
          </w:p>
        </w:tc>
        <w:tc>
          <w:tcPr>
            <w:tcW w:w="864" w:type="dxa"/>
            <w:vAlign w:val="bottom"/>
          </w:tcPr>
          <w:p w:rsidR="00000000" w:rsidRDefault="00000000">
            <w:pPr>
              <w:pStyle w:val="table"/>
              <w:tabs>
                <w:tab w:val="decimal" w:pos="388"/>
              </w:tabs>
            </w:pPr>
            <w:r>
              <w:t>429</w:t>
            </w:r>
          </w:p>
        </w:tc>
        <w:tc>
          <w:tcPr>
            <w:tcW w:w="863" w:type="dxa"/>
            <w:vAlign w:val="bottom"/>
          </w:tcPr>
          <w:p w:rsidR="00000000" w:rsidRDefault="00000000">
            <w:pPr>
              <w:pStyle w:val="table"/>
              <w:tabs>
                <w:tab w:val="decimal" w:pos="388"/>
              </w:tabs>
            </w:pPr>
            <w:r>
              <w:t>465</w:t>
            </w:r>
          </w:p>
        </w:tc>
        <w:tc>
          <w:tcPr>
            <w:tcW w:w="863" w:type="dxa"/>
            <w:vAlign w:val="bottom"/>
          </w:tcPr>
          <w:p w:rsidR="00000000" w:rsidRDefault="00000000">
            <w:pPr>
              <w:pStyle w:val="table"/>
              <w:tabs>
                <w:tab w:val="decimal" w:pos="388"/>
              </w:tabs>
            </w:pPr>
            <w:r>
              <w:t>486</w:t>
            </w:r>
          </w:p>
        </w:tc>
        <w:tc>
          <w:tcPr>
            <w:tcW w:w="864" w:type="dxa"/>
            <w:vAlign w:val="bottom"/>
          </w:tcPr>
          <w:p w:rsidR="00000000" w:rsidRDefault="00000000">
            <w:pPr>
              <w:pStyle w:val="table"/>
              <w:tabs>
                <w:tab w:val="decimal" w:pos="388"/>
              </w:tabs>
            </w:pPr>
            <w:r>
              <w:t>488</w:t>
            </w:r>
          </w:p>
        </w:tc>
        <w:tc>
          <w:tcPr>
            <w:tcW w:w="863" w:type="dxa"/>
            <w:vAlign w:val="bottom"/>
          </w:tcPr>
          <w:p w:rsidR="00000000" w:rsidRDefault="00000000">
            <w:pPr>
              <w:pStyle w:val="table"/>
              <w:tabs>
                <w:tab w:val="decimal" w:pos="388"/>
              </w:tabs>
            </w:pPr>
            <w:r>
              <w:t>514</w:t>
            </w:r>
          </w:p>
        </w:tc>
        <w:tc>
          <w:tcPr>
            <w:tcW w:w="863" w:type="dxa"/>
            <w:vAlign w:val="bottom"/>
          </w:tcPr>
          <w:p w:rsidR="00000000" w:rsidRDefault="00000000">
            <w:pPr>
              <w:pStyle w:val="table"/>
              <w:tabs>
                <w:tab w:val="decimal" w:pos="388"/>
              </w:tabs>
            </w:pPr>
            <w:r>
              <w:t>543</w:t>
            </w:r>
          </w:p>
        </w:tc>
        <w:tc>
          <w:tcPr>
            <w:tcW w:w="864" w:type="dxa"/>
            <w:vAlign w:val="bottom"/>
          </w:tcPr>
          <w:p w:rsidR="00000000" w:rsidRDefault="00000000">
            <w:pPr>
              <w:pStyle w:val="table"/>
              <w:tabs>
                <w:tab w:val="decimal" w:pos="388"/>
              </w:tabs>
            </w:pPr>
            <w:r>
              <w:t>546</w:t>
            </w:r>
          </w:p>
        </w:tc>
        <w:tc>
          <w:tcPr>
            <w:tcW w:w="863" w:type="dxa"/>
            <w:vAlign w:val="bottom"/>
          </w:tcPr>
          <w:p w:rsidR="00000000" w:rsidRDefault="00000000">
            <w:pPr>
              <w:pStyle w:val="table"/>
              <w:tabs>
                <w:tab w:val="decimal" w:pos="388"/>
              </w:tabs>
            </w:pPr>
            <w:r>
              <w:t>554</w:t>
            </w:r>
          </w:p>
        </w:tc>
        <w:tc>
          <w:tcPr>
            <w:tcW w:w="864" w:type="dxa"/>
            <w:vAlign w:val="bottom"/>
          </w:tcPr>
          <w:p w:rsidR="00000000" w:rsidRDefault="00000000">
            <w:pPr>
              <w:pStyle w:val="table"/>
              <w:tabs>
                <w:tab w:val="decimal" w:pos="388"/>
              </w:tabs>
            </w:pPr>
            <w:r>
              <w:t>582</w:t>
            </w:r>
          </w:p>
        </w:tc>
      </w:tr>
      <w:tr w:rsidR="00000000">
        <w:tblPrEx>
          <w:tblCellMar>
            <w:top w:w="0" w:type="dxa"/>
            <w:bottom w:w="0" w:type="dxa"/>
          </w:tblCellMar>
        </w:tblPrEx>
        <w:tc>
          <w:tcPr>
            <w:tcW w:w="2127" w:type="dxa"/>
          </w:tcPr>
          <w:p w:rsidR="00000000" w:rsidRDefault="00000000">
            <w:pPr>
              <w:pStyle w:val="table"/>
            </w:pPr>
            <w:r>
              <w:t>в том числе же</w:t>
            </w:r>
            <w:r>
              <w:t>н</w:t>
            </w:r>
            <w:r>
              <w:t>щин</w:t>
            </w:r>
          </w:p>
        </w:tc>
        <w:tc>
          <w:tcPr>
            <w:tcW w:w="863" w:type="dxa"/>
            <w:vAlign w:val="bottom"/>
          </w:tcPr>
          <w:p w:rsidR="00000000" w:rsidRDefault="00000000">
            <w:pPr>
              <w:pStyle w:val="table"/>
              <w:tabs>
                <w:tab w:val="decimal" w:pos="388"/>
              </w:tabs>
            </w:pPr>
            <w:r>
              <w:t>98</w:t>
            </w:r>
          </w:p>
        </w:tc>
        <w:tc>
          <w:tcPr>
            <w:tcW w:w="863" w:type="dxa"/>
            <w:vAlign w:val="bottom"/>
          </w:tcPr>
          <w:p w:rsidR="00000000" w:rsidRDefault="00000000">
            <w:pPr>
              <w:pStyle w:val="table"/>
              <w:tabs>
                <w:tab w:val="decimal" w:pos="388"/>
              </w:tabs>
            </w:pPr>
            <w:r>
              <w:t>113</w:t>
            </w:r>
          </w:p>
        </w:tc>
        <w:tc>
          <w:tcPr>
            <w:tcW w:w="864" w:type="dxa"/>
            <w:vAlign w:val="bottom"/>
          </w:tcPr>
          <w:p w:rsidR="00000000" w:rsidRDefault="00000000">
            <w:pPr>
              <w:pStyle w:val="table"/>
              <w:tabs>
                <w:tab w:val="decimal" w:pos="388"/>
              </w:tabs>
            </w:pPr>
            <w:r>
              <w:t>129</w:t>
            </w:r>
          </w:p>
        </w:tc>
        <w:tc>
          <w:tcPr>
            <w:tcW w:w="863" w:type="dxa"/>
            <w:vAlign w:val="bottom"/>
          </w:tcPr>
          <w:p w:rsidR="00000000" w:rsidRDefault="00000000">
            <w:pPr>
              <w:pStyle w:val="table"/>
              <w:tabs>
                <w:tab w:val="decimal" w:pos="388"/>
              </w:tabs>
            </w:pPr>
            <w:r>
              <w:t>136</w:t>
            </w:r>
          </w:p>
        </w:tc>
        <w:tc>
          <w:tcPr>
            <w:tcW w:w="863" w:type="dxa"/>
            <w:vAlign w:val="bottom"/>
          </w:tcPr>
          <w:p w:rsidR="00000000" w:rsidRDefault="00000000">
            <w:pPr>
              <w:pStyle w:val="table"/>
              <w:tabs>
                <w:tab w:val="decimal" w:pos="388"/>
              </w:tabs>
            </w:pPr>
            <w:r>
              <w:t>141</w:t>
            </w:r>
          </w:p>
        </w:tc>
        <w:tc>
          <w:tcPr>
            <w:tcW w:w="864" w:type="dxa"/>
            <w:vAlign w:val="bottom"/>
          </w:tcPr>
          <w:p w:rsidR="00000000" w:rsidRDefault="00000000">
            <w:pPr>
              <w:pStyle w:val="table"/>
              <w:tabs>
                <w:tab w:val="decimal" w:pos="388"/>
              </w:tabs>
            </w:pPr>
            <w:r>
              <w:t>143</w:t>
            </w:r>
          </w:p>
        </w:tc>
        <w:tc>
          <w:tcPr>
            <w:tcW w:w="863" w:type="dxa"/>
            <w:vAlign w:val="bottom"/>
          </w:tcPr>
          <w:p w:rsidR="00000000" w:rsidRDefault="00000000">
            <w:pPr>
              <w:pStyle w:val="table"/>
              <w:tabs>
                <w:tab w:val="decimal" w:pos="388"/>
              </w:tabs>
            </w:pPr>
            <w:r>
              <w:t>155</w:t>
            </w:r>
          </w:p>
        </w:tc>
        <w:tc>
          <w:tcPr>
            <w:tcW w:w="863" w:type="dxa"/>
            <w:vAlign w:val="bottom"/>
          </w:tcPr>
          <w:p w:rsidR="00000000" w:rsidRDefault="00000000">
            <w:pPr>
              <w:pStyle w:val="table"/>
              <w:tabs>
                <w:tab w:val="decimal" w:pos="388"/>
              </w:tabs>
            </w:pPr>
            <w:r>
              <w:t>159</w:t>
            </w:r>
          </w:p>
        </w:tc>
        <w:tc>
          <w:tcPr>
            <w:tcW w:w="864" w:type="dxa"/>
            <w:vAlign w:val="bottom"/>
          </w:tcPr>
          <w:p w:rsidR="00000000" w:rsidRDefault="00000000">
            <w:pPr>
              <w:pStyle w:val="table"/>
              <w:tabs>
                <w:tab w:val="decimal" w:pos="388"/>
              </w:tabs>
            </w:pPr>
            <w:r>
              <w:t>161</w:t>
            </w:r>
          </w:p>
        </w:tc>
        <w:tc>
          <w:tcPr>
            <w:tcW w:w="863" w:type="dxa"/>
            <w:vAlign w:val="bottom"/>
          </w:tcPr>
          <w:p w:rsidR="00000000" w:rsidRDefault="00000000">
            <w:pPr>
              <w:pStyle w:val="table"/>
              <w:tabs>
                <w:tab w:val="decimal" w:pos="388"/>
              </w:tabs>
            </w:pPr>
            <w:r>
              <w:t>167</w:t>
            </w:r>
          </w:p>
        </w:tc>
        <w:tc>
          <w:tcPr>
            <w:tcW w:w="864" w:type="dxa"/>
            <w:vAlign w:val="bottom"/>
          </w:tcPr>
          <w:p w:rsidR="00000000" w:rsidRDefault="00000000">
            <w:pPr>
              <w:pStyle w:val="table"/>
              <w:tabs>
                <w:tab w:val="decimal" w:pos="388"/>
              </w:tabs>
            </w:pPr>
            <w:r>
              <w:t>168</w:t>
            </w:r>
          </w:p>
        </w:tc>
      </w:tr>
      <w:tr w:rsidR="00000000">
        <w:tblPrEx>
          <w:tblCellMar>
            <w:top w:w="0" w:type="dxa"/>
            <w:bottom w:w="0" w:type="dxa"/>
          </w:tblCellMar>
        </w:tblPrEx>
        <w:tc>
          <w:tcPr>
            <w:tcW w:w="2127" w:type="dxa"/>
            <w:tcBorders>
              <w:bottom w:val="single" w:sz="12" w:space="0" w:color="auto"/>
            </w:tcBorders>
          </w:tcPr>
          <w:p w:rsidR="00000000" w:rsidRDefault="00000000">
            <w:pPr>
              <w:pStyle w:val="table"/>
            </w:pPr>
            <w:r>
              <w:t>Доля женщин в пр</w:t>
            </w:r>
            <w:r>
              <w:t>о</w:t>
            </w:r>
            <w:r>
              <w:t>центах</w:t>
            </w:r>
          </w:p>
        </w:tc>
        <w:tc>
          <w:tcPr>
            <w:tcW w:w="863" w:type="dxa"/>
            <w:tcBorders>
              <w:bottom w:val="single" w:sz="12" w:space="0" w:color="auto"/>
            </w:tcBorders>
            <w:vAlign w:val="bottom"/>
          </w:tcPr>
          <w:p w:rsidR="00000000" w:rsidRDefault="00000000">
            <w:pPr>
              <w:pStyle w:val="table"/>
              <w:tabs>
                <w:tab w:val="decimal" w:pos="388"/>
              </w:tabs>
            </w:pPr>
            <w:r>
              <w:t>28,16</w:t>
            </w:r>
          </w:p>
        </w:tc>
        <w:tc>
          <w:tcPr>
            <w:tcW w:w="863" w:type="dxa"/>
            <w:tcBorders>
              <w:bottom w:val="single" w:sz="12" w:space="0" w:color="auto"/>
            </w:tcBorders>
            <w:vAlign w:val="bottom"/>
          </w:tcPr>
          <w:p w:rsidR="00000000" w:rsidRDefault="00000000">
            <w:pPr>
              <w:pStyle w:val="table"/>
              <w:tabs>
                <w:tab w:val="decimal" w:pos="388"/>
              </w:tabs>
            </w:pPr>
            <w:r>
              <w:t>28,83</w:t>
            </w:r>
          </w:p>
        </w:tc>
        <w:tc>
          <w:tcPr>
            <w:tcW w:w="864" w:type="dxa"/>
            <w:tcBorders>
              <w:bottom w:val="single" w:sz="12" w:space="0" w:color="auto"/>
            </w:tcBorders>
            <w:vAlign w:val="bottom"/>
          </w:tcPr>
          <w:p w:rsidR="00000000" w:rsidRDefault="00000000">
            <w:pPr>
              <w:pStyle w:val="table"/>
              <w:tabs>
                <w:tab w:val="decimal" w:pos="388"/>
              </w:tabs>
            </w:pPr>
            <w:r>
              <w:t>30,07</w:t>
            </w:r>
          </w:p>
        </w:tc>
        <w:tc>
          <w:tcPr>
            <w:tcW w:w="863" w:type="dxa"/>
            <w:tcBorders>
              <w:bottom w:val="single" w:sz="12" w:space="0" w:color="auto"/>
            </w:tcBorders>
            <w:vAlign w:val="bottom"/>
          </w:tcPr>
          <w:p w:rsidR="00000000" w:rsidRDefault="00000000">
            <w:pPr>
              <w:pStyle w:val="table"/>
              <w:tabs>
                <w:tab w:val="decimal" w:pos="388"/>
              </w:tabs>
            </w:pPr>
            <w:r>
              <w:t>29,25</w:t>
            </w:r>
          </w:p>
        </w:tc>
        <w:tc>
          <w:tcPr>
            <w:tcW w:w="863" w:type="dxa"/>
            <w:tcBorders>
              <w:bottom w:val="single" w:sz="12" w:space="0" w:color="auto"/>
            </w:tcBorders>
            <w:vAlign w:val="bottom"/>
          </w:tcPr>
          <w:p w:rsidR="00000000" w:rsidRDefault="00000000">
            <w:pPr>
              <w:pStyle w:val="table"/>
              <w:tabs>
                <w:tab w:val="decimal" w:pos="388"/>
              </w:tabs>
            </w:pPr>
            <w:r>
              <w:t>28,96</w:t>
            </w:r>
          </w:p>
        </w:tc>
        <w:tc>
          <w:tcPr>
            <w:tcW w:w="864" w:type="dxa"/>
            <w:tcBorders>
              <w:bottom w:val="single" w:sz="12" w:space="0" w:color="auto"/>
            </w:tcBorders>
            <w:vAlign w:val="bottom"/>
          </w:tcPr>
          <w:p w:rsidR="00000000" w:rsidRDefault="00000000">
            <w:pPr>
              <w:pStyle w:val="table"/>
              <w:tabs>
                <w:tab w:val="decimal" w:pos="388"/>
              </w:tabs>
            </w:pPr>
            <w:r>
              <w:t>29,3</w:t>
            </w:r>
          </w:p>
        </w:tc>
        <w:tc>
          <w:tcPr>
            <w:tcW w:w="863" w:type="dxa"/>
            <w:tcBorders>
              <w:bottom w:val="single" w:sz="12" w:space="0" w:color="auto"/>
            </w:tcBorders>
            <w:vAlign w:val="bottom"/>
          </w:tcPr>
          <w:p w:rsidR="00000000" w:rsidRDefault="00000000">
            <w:pPr>
              <w:pStyle w:val="table"/>
              <w:tabs>
                <w:tab w:val="decimal" w:pos="388"/>
              </w:tabs>
            </w:pPr>
            <w:r>
              <w:t>30,2</w:t>
            </w:r>
          </w:p>
        </w:tc>
        <w:tc>
          <w:tcPr>
            <w:tcW w:w="863" w:type="dxa"/>
            <w:tcBorders>
              <w:bottom w:val="single" w:sz="12" w:space="0" w:color="auto"/>
            </w:tcBorders>
            <w:vAlign w:val="bottom"/>
          </w:tcPr>
          <w:p w:rsidR="00000000" w:rsidRDefault="00000000">
            <w:pPr>
              <w:pStyle w:val="table"/>
              <w:tabs>
                <w:tab w:val="decimal" w:pos="388"/>
              </w:tabs>
            </w:pPr>
            <w:r>
              <w:t>29,3</w:t>
            </w:r>
          </w:p>
        </w:tc>
        <w:tc>
          <w:tcPr>
            <w:tcW w:w="864" w:type="dxa"/>
            <w:tcBorders>
              <w:bottom w:val="single" w:sz="12" w:space="0" w:color="auto"/>
            </w:tcBorders>
            <w:vAlign w:val="bottom"/>
          </w:tcPr>
          <w:p w:rsidR="00000000" w:rsidRDefault="00000000">
            <w:pPr>
              <w:pStyle w:val="table"/>
              <w:tabs>
                <w:tab w:val="decimal" w:pos="388"/>
              </w:tabs>
            </w:pPr>
            <w:r>
              <w:t>29,5</w:t>
            </w:r>
          </w:p>
        </w:tc>
        <w:tc>
          <w:tcPr>
            <w:tcW w:w="863" w:type="dxa"/>
            <w:tcBorders>
              <w:bottom w:val="single" w:sz="12" w:space="0" w:color="auto"/>
            </w:tcBorders>
            <w:vAlign w:val="bottom"/>
          </w:tcPr>
          <w:p w:rsidR="00000000" w:rsidRDefault="00000000">
            <w:pPr>
              <w:pStyle w:val="table"/>
              <w:tabs>
                <w:tab w:val="decimal" w:pos="388"/>
              </w:tabs>
            </w:pPr>
            <w:r>
              <w:t>30,1</w:t>
            </w:r>
          </w:p>
        </w:tc>
        <w:tc>
          <w:tcPr>
            <w:tcW w:w="864" w:type="dxa"/>
            <w:tcBorders>
              <w:bottom w:val="single" w:sz="12" w:space="0" w:color="auto"/>
            </w:tcBorders>
            <w:vAlign w:val="bottom"/>
          </w:tcPr>
          <w:p w:rsidR="00000000" w:rsidRDefault="00000000">
            <w:pPr>
              <w:pStyle w:val="table"/>
              <w:tabs>
                <w:tab w:val="decimal" w:pos="388"/>
              </w:tabs>
            </w:pPr>
            <w:r>
              <w:t>29,9</w:t>
            </w:r>
          </w:p>
        </w:tc>
      </w:tr>
    </w:tbl>
    <w:p w:rsidR="00000000" w:rsidRDefault="00000000">
      <w:pPr>
        <w:pStyle w:val="istochnik"/>
        <w:tabs>
          <w:tab w:val="clear" w:pos="1267"/>
        </w:tabs>
        <w:ind w:left="0"/>
      </w:pPr>
      <w:r>
        <w:rPr>
          <w:i/>
        </w:rPr>
        <w:t>Источник</w:t>
      </w:r>
      <w:r>
        <w:t>: Федеральное статистическое управление, микроперепись 2001 года</w:t>
      </w:r>
    </w:p>
    <w:p w:rsidR="00000000" w:rsidRDefault="00000000">
      <w:pPr>
        <w:pStyle w:val="H1"/>
        <w:ind w:left="0" w:firstLine="0"/>
      </w:pPr>
      <w:r>
        <w:br w:type="page"/>
      </w:r>
      <w:bookmarkStart w:id="713" w:name="_Toc44113562"/>
      <w:bookmarkStart w:id="714" w:name="_Toc44113863"/>
      <w:bookmarkStart w:id="715" w:name="_Toc44114371"/>
      <w:bookmarkStart w:id="716" w:name="_Toc44115617"/>
      <w:bookmarkStart w:id="717" w:name="_Toc44116049"/>
      <w:r>
        <w:t>Женщины в секторе образования</w:t>
      </w:r>
      <w:bookmarkEnd w:id="713"/>
      <w:bookmarkEnd w:id="714"/>
      <w:bookmarkEnd w:id="715"/>
      <w:bookmarkEnd w:id="716"/>
      <w:bookmarkEnd w:id="717"/>
    </w:p>
    <w:p w:rsidR="00000000" w:rsidRDefault="00000000">
      <w:pPr>
        <w:pStyle w:val="H23"/>
        <w:ind w:left="0" w:firstLine="0"/>
      </w:pPr>
      <w:bookmarkStart w:id="718" w:name="_Toc44113563"/>
      <w:bookmarkStart w:id="719" w:name="_Toc44113864"/>
      <w:bookmarkStart w:id="720" w:name="_Toc44114372"/>
      <w:bookmarkStart w:id="721" w:name="_Toc44115618"/>
      <w:bookmarkStart w:id="722" w:name="_Toc44116050"/>
      <w:r>
        <w:t>Таблица 4.1 Доля учениц в общеобразовательных школах (в процентах)</w:t>
      </w:r>
      <w:bookmarkEnd w:id="718"/>
      <w:bookmarkEnd w:id="719"/>
      <w:bookmarkEnd w:id="720"/>
      <w:bookmarkEnd w:id="721"/>
      <w:bookmarkEnd w:id="722"/>
    </w:p>
    <w:tbl>
      <w:tblPr>
        <w:tblW w:w="0" w:type="auto"/>
        <w:tblInd w:w="18" w:type="dxa"/>
        <w:tblLayout w:type="fixed"/>
        <w:tblLook w:val="0000" w:firstRow="0" w:lastRow="0" w:firstColumn="0" w:lastColumn="0" w:noHBand="0" w:noVBand="0"/>
      </w:tblPr>
      <w:tblGrid>
        <w:gridCol w:w="2591"/>
        <w:gridCol w:w="1079"/>
        <w:gridCol w:w="1077"/>
        <w:gridCol w:w="1078"/>
        <w:gridCol w:w="1078"/>
        <w:gridCol w:w="1078"/>
        <w:gridCol w:w="1078"/>
        <w:gridCol w:w="1078"/>
        <w:gridCol w:w="1078"/>
        <w:gridCol w:w="975"/>
      </w:tblGrid>
      <w:tr w:rsidR="00000000">
        <w:tblPrEx>
          <w:tblCellMar>
            <w:top w:w="0" w:type="dxa"/>
            <w:bottom w:w="0" w:type="dxa"/>
          </w:tblCellMar>
        </w:tblPrEx>
        <w:tc>
          <w:tcPr>
            <w:tcW w:w="2591" w:type="dxa"/>
            <w:tcBorders>
              <w:top w:val="single" w:sz="6" w:space="0" w:color="auto"/>
            </w:tcBorders>
          </w:tcPr>
          <w:p w:rsidR="00000000" w:rsidRDefault="00000000">
            <w:pPr>
              <w:pStyle w:val="table"/>
            </w:pPr>
          </w:p>
        </w:tc>
        <w:tc>
          <w:tcPr>
            <w:tcW w:w="1079" w:type="dxa"/>
            <w:tcBorders>
              <w:top w:val="single" w:sz="6" w:space="0" w:color="auto"/>
            </w:tcBorders>
            <w:vAlign w:val="center"/>
          </w:tcPr>
          <w:p w:rsidR="00000000" w:rsidRDefault="00000000">
            <w:pPr>
              <w:pStyle w:val="table"/>
              <w:jc w:val="center"/>
              <w:rPr>
                <w:i/>
              </w:rPr>
            </w:pPr>
            <w:r>
              <w:rPr>
                <w:i/>
              </w:rPr>
              <w:t>1970</w:t>
            </w:r>
            <w:r>
              <w:rPr>
                <w:i/>
                <w:vertAlign w:val="superscript"/>
              </w:rPr>
              <w:t>1)</w:t>
            </w:r>
          </w:p>
        </w:tc>
        <w:tc>
          <w:tcPr>
            <w:tcW w:w="1077" w:type="dxa"/>
            <w:tcBorders>
              <w:top w:val="single" w:sz="6" w:space="0" w:color="auto"/>
            </w:tcBorders>
            <w:vAlign w:val="center"/>
          </w:tcPr>
          <w:p w:rsidR="00000000" w:rsidRDefault="00000000">
            <w:pPr>
              <w:pStyle w:val="table"/>
              <w:jc w:val="center"/>
              <w:rPr>
                <w:i/>
              </w:rPr>
            </w:pPr>
            <w:r>
              <w:rPr>
                <w:i/>
              </w:rPr>
              <w:t>1980</w:t>
            </w:r>
            <w:r>
              <w:rPr>
                <w:i/>
                <w:vertAlign w:val="superscript"/>
              </w:rPr>
              <w:t>1)</w:t>
            </w:r>
          </w:p>
        </w:tc>
        <w:tc>
          <w:tcPr>
            <w:tcW w:w="1078" w:type="dxa"/>
            <w:tcBorders>
              <w:top w:val="single" w:sz="6" w:space="0" w:color="auto"/>
            </w:tcBorders>
            <w:vAlign w:val="center"/>
          </w:tcPr>
          <w:p w:rsidR="00000000" w:rsidRDefault="00000000">
            <w:pPr>
              <w:pStyle w:val="table"/>
              <w:jc w:val="center"/>
              <w:rPr>
                <w:i/>
              </w:rPr>
            </w:pPr>
            <w:r>
              <w:rPr>
                <w:i/>
              </w:rPr>
              <w:t>1987</w:t>
            </w:r>
            <w:r>
              <w:rPr>
                <w:i/>
                <w:vertAlign w:val="superscript"/>
              </w:rPr>
              <w:t>1)</w:t>
            </w:r>
          </w:p>
        </w:tc>
        <w:tc>
          <w:tcPr>
            <w:tcW w:w="1078" w:type="dxa"/>
            <w:tcBorders>
              <w:top w:val="single" w:sz="6" w:space="0" w:color="auto"/>
            </w:tcBorders>
            <w:vAlign w:val="center"/>
          </w:tcPr>
          <w:p w:rsidR="00000000" w:rsidRDefault="00000000">
            <w:pPr>
              <w:pStyle w:val="table"/>
              <w:jc w:val="center"/>
              <w:rPr>
                <w:i/>
              </w:rPr>
            </w:pPr>
            <w:r>
              <w:rPr>
                <w:i/>
              </w:rPr>
              <w:t>1991</w:t>
            </w:r>
          </w:p>
        </w:tc>
        <w:tc>
          <w:tcPr>
            <w:tcW w:w="1078" w:type="dxa"/>
            <w:tcBorders>
              <w:top w:val="single" w:sz="6" w:space="0" w:color="auto"/>
            </w:tcBorders>
            <w:vAlign w:val="center"/>
          </w:tcPr>
          <w:p w:rsidR="00000000" w:rsidRDefault="00000000">
            <w:pPr>
              <w:pStyle w:val="table"/>
              <w:jc w:val="center"/>
              <w:rPr>
                <w:i/>
              </w:rPr>
            </w:pPr>
            <w:r>
              <w:rPr>
                <w:i/>
              </w:rPr>
              <w:t>1993</w:t>
            </w:r>
          </w:p>
        </w:tc>
        <w:tc>
          <w:tcPr>
            <w:tcW w:w="1078" w:type="dxa"/>
            <w:tcBorders>
              <w:top w:val="single" w:sz="6" w:space="0" w:color="auto"/>
            </w:tcBorders>
            <w:vAlign w:val="center"/>
          </w:tcPr>
          <w:p w:rsidR="00000000" w:rsidRDefault="00000000">
            <w:pPr>
              <w:pStyle w:val="table"/>
              <w:jc w:val="center"/>
              <w:rPr>
                <w:i/>
              </w:rPr>
            </w:pPr>
            <w:r>
              <w:rPr>
                <w:i/>
              </w:rPr>
              <w:t>1995</w:t>
            </w:r>
          </w:p>
        </w:tc>
        <w:tc>
          <w:tcPr>
            <w:tcW w:w="1078" w:type="dxa"/>
            <w:tcBorders>
              <w:top w:val="single" w:sz="6" w:space="0" w:color="auto"/>
            </w:tcBorders>
            <w:vAlign w:val="center"/>
          </w:tcPr>
          <w:p w:rsidR="00000000" w:rsidRDefault="00000000">
            <w:pPr>
              <w:pStyle w:val="table"/>
              <w:jc w:val="center"/>
              <w:rPr>
                <w:i/>
              </w:rPr>
            </w:pPr>
            <w:r>
              <w:rPr>
                <w:i/>
              </w:rPr>
              <w:t>1996</w:t>
            </w:r>
          </w:p>
        </w:tc>
        <w:tc>
          <w:tcPr>
            <w:tcW w:w="1078" w:type="dxa"/>
            <w:tcBorders>
              <w:top w:val="single" w:sz="6" w:space="0" w:color="auto"/>
            </w:tcBorders>
            <w:vAlign w:val="center"/>
          </w:tcPr>
          <w:p w:rsidR="00000000" w:rsidRDefault="00000000">
            <w:pPr>
              <w:pStyle w:val="table"/>
              <w:jc w:val="center"/>
              <w:rPr>
                <w:i/>
              </w:rPr>
            </w:pPr>
            <w:r>
              <w:rPr>
                <w:i/>
              </w:rPr>
              <w:t>1999</w:t>
            </w:r>
          </w:p>
        </w:tc>
        <w:tc>
          <w:tcPr>
            <w:tcW w:w="975" w:type="dxa"/>
            <w:tcBorders>
              <w:top w:val="single" w:sz="6" w:space="0" w:color="auto"/>
            </w:tcBorders>
            <w:vAlign w:val="center"/>
          </w:tcPr>
          <w:p w:rsidR="00000000" w:rsidRDefault="00000000">
            <w:pPr>
              <w:pStyle w:val="table"/>
              <w:jc w:val="center"/>
              <w:rPr>
                <w:i/>
              </w:rPr>
            </w:pPr>
            <w:r>
              <w:rPr>
                <w:i/>
              </w:rPr>
              <w:t>2000</w:t>
            </w:r>
          </w:p>
        </w:tc>
      </w:tr>
      <w:tr w:rsidR="00000000">
        <w:tblPrEx>
          <w:tblCellMar>
            <w:top w:w="0" w:type="dxa"/>
            <w:bottom w:w="0" w:type="dxa"/>
          </w:tblCellMar>
        </w:tblPrEx>
        <w:tc>
          <w:tcPr>
            <w:tcW w:w="2591" w:type="dxa"/>
            <w:tcBorders>
              <w:bottom w:val="single" w:sz="12" w:space="0" w:color="auto"/>
            </w:tcBorders>
          </w:tcPr>
          <w:p w:rsidR="00000000" w:rsidRDefault="00000000">
            <w:pPr>
              <w:pStyle w:val="table"/>
            </w:pPr>
            <w:r>
              <w:t>Начальные шк</w:t>
            </w:r>
            <w:r>
              <w:t>о</w:t>
            </w:r>
            <w:r>
              <w:t>лы</w:t>
            </w:r>
          </w:p>
          <w:p w:rsidR="00000000" w:rsidRDefault="00000000">
            <w:pPr>
              <w:pStyle w:val="table"/>
            </w:pPr>
            <w:r>
              <w:t>(классы с 1 по 4)</w:t>
            </w:r>
          </w:p>
        </w:tc>
        <w:tc>
          <w:tcPr>
            <w:tcW w:w="1079" w:type="dxa"/>
            <w:tcBorders>
              <w:bottom w:val="single" w:sz="12" w:space="0" w:color="auto"/>
            </w:tcBorders>
            <w:vAlign w:val="bottom"/>
          </w:tcPr>
          <w:p w:rsidR="00000000" w:rsidRDefault="00000000">
            <w:pPr>
              <w:pStyle w:val="table"/>
              <w:tabs>
                <w:tab w:val="decimal" w:pos="404"/>
              </w:tabs>
            </w:pPr>
            <w:r>
              <w:t>49,0</w:t>
            </w:r>
          </w:p>
        </w:tc>
        <w:tc>
          <w:tcPr>
            <w:tcW w:w="1077" w:type="dxa"/>
            <w:tcBorders>
              <w:bottom w:val="single" w:sz="12" w:space="0" w:color="auto"/>
            </w:tcBorders>
            <w:vAlign w:val="bottom"/>
          </w:tcPr>
          <w:p w:rsidR="00000000" w:rsidRDefault="00000000">
            <w:pPr>
              <w:pStyle w:val="table"/>
              <w:tabs>
                <w:tab w:val="decimal" w:pos="404"/>
              </w:tabs>
            </w:pPr>
            <w:r>
              <w:t>48,8</w:t>
            </w:r>
          </w:p>
        </w:tc>
        <w:tc>
          <w:tcPr>
            <w:tcW w:w="1078" w:type="dxa"/>
            <w:tcBorders>
              <w:bottom w:val="single" w:sz="12" w:space="0" w:color="auto"/>
            </w:tcBorders>
            <w:vAlign w:val="bottom"/>
          </w:tcPr>
          <w:p w:rsidR="00000000" w:rsidRDefault="00000000">
            <w:pPr>
              <w:pStyle w:val="table"/>
              <w:tabs>
                <w:tab w:val="decimal" w:pos="404"/>
              </w:tabs>
            </w:pPr>
            <w:r>
              <w:t>49,0</w:t>
            </w:r>
          </w:p>
        </w:tc>
        <w:tc>
          <w:tcPr>
            <w:tcW w:w="1078" w:type="dxa"/>
            <w:tcBorders>
              <w:bottom w:val="single" w:sz="12" w:space="0" w:color="auto"/>
            </w:tcBorders>
            <w:vAlign w:val="bottom"/>
          </w:tcPr>
          <w:p w:rsidR="00000000" w:rsidRDefault="00000000">
            <w:pPr>
              <w:pStyle w:val="table"/>
              <w:tabs>
                <w:tab w:val="decimal" w:pos="404"/>
              </w:tabs>
            </w:pPr>
            <w:r>
              <w:t>49,0</w:t>
            </w:r>
          </w:p>
        </w:tc>
        <w:tc>
          <w:tcPr>
            <w:tcW w:w="1078" w:type="dxa"/>
            <w:tcBorders>
              <w:bottom w:val="single" w:sz="12" w:space="0" w:color="auto"/>
            </w:tcBorders>
            <w:vAlign w:val="bottom"/>
          </w:tcPr>
          <w:p w:rsidR="00000000" w:rsidRDefault="00000000">
            <w:pPr>
              <w:pStyle w:val="table"/>
              <w:tabs>
                <w:tab w:val="decimal" w:pos="404"/>
              </w:tabs>
            </w:pPr>
            <w:r>
              <w:t>49,0</w:t>
            </w:r>
          </w:p>
        </w:tc>
        <w:tc>
          <w:tcPr>
            <w:tcW w:w="1078" w:type="dxa"/>
            <w:tcBorders>
              <w:bottom w:val="single" w:sz="12" w:space="0" w:color="auto"/>
            </w:tcBorders>
            <w:vAlign w:val="bottom"/>
          </w:tcPr>
          <w:p w:rsidR="00000000" w:rsidRDefault="00000000">
            <w:pPr>
              <w:pStyle w:val="table"/>
              <w:tabs>
                <w:tab w:val="decimal" w:pos="404"/>
              </w:tabs>
            </w:pPr>
            <w:r>
              <w:t>49,0</w:t>
            </w:r>
          </w:p>
        </w:tc>
        <w:tc>
          <w:tcPr>
            <w:tcW w:w="1078" w:type="dxa"/>
            <w:tcBorders>
              <w:bottom w:val="single" w:sz="12" w:space="0" w:color="auto"/>
            </w:tcBorders>
            <w:vAlign w:val="bottom"/>
          </w:tcPr>
          <w:p w:rsidR="00000000" w:rsidRDefault="00000000">
            <w:pPr>
              <w:pStyle w:val="table"/>
              <w:tabs>
                <w:tab w:val="decimal" w:pos="404"/>
              </w:tabs>
            </w:pPr>
            <w:r>
              <w:t>49,0</w:t>
            </w:r>
          </w:p>
        </w:tc>
        <w:tc>
          <w:tcPr>
            <w:tcW w:w="1078" w:type="dxa"/>
            <w:tcBorders>
              <w:bottom w:val="single" w:sz="12" w:space="0" w:color="auto"/>
            </w:tcBorders>
            <w:vAlign w:val="bottom"/>
          </w:tcPr>
          <w:p w:rsidR="00000000" w:rsidRDefault="00000000">
            <w:pPr>
              <w:pStyle w:val="table"/>
              <w:tabs>
                <w:tab w:val="decimal" w:pos="404"/>
              </w:tabs>
            </w:pPr>
            <w:r>
              <w:t>49,0</w:t>
            </w:r>
          </w:p>
        </w:tc>
        <w:tc>
          <w:tcPr>
            <w:tcW w:w="975" w:type="dxa"/>
            <w:tcBorders>
              <w:bottom w:val="single" w:sz="12" w:space="0" w:color="auto"/>
            </w:tcBorders>
            <w:vAlign w:val="bottom"/>
          </w:tcPr>
          <w:p w:rsidR="00000000" w:rsidRDefault="00000000">
            <w:pPr>
              <w:pStyle w:val="table"/>
              <w:tabs>
                <w:tab w:val="decimal" w:pos="404"/>
              </w:tabs>
            </w:pPr>
            <w:r>
              <w:t>49,0</w:t>
            </w:r>
          </w:p>
        </w:tc>
      </w:tr>
      <w:tr w:rsidR="00000000">
        <w:tblPrEx>
          <w:tblCellMar>
            <w:top w:w="0" w:type="dxa"/>
            <w:bottom w:w="0" w:type="dxa"/>
          </w:tblCellMar>
        </w:tblPrEx>
        <w:tc>
          <w:tcPr>
            <w:tcW w:w="2591" w:type="dxa"/>
            <w:tcBorders>
              <w:top w:val="single" w:sz="12" w:space="0" w:color="auto"/>
            </w:tcBorders>
          </w:tcPr>
          <w:p w:rsidR="00000000" w:rsidRDefault="00000000">
            <w:pPr>
              <w:pStyle w:val="table"/>
            </w:pPr>
            <w:r>
              <w:t>Средние общеобразовател</w:t>
            </w:r>
            <w:r>
              <w:t>ь</w:t>
            </w:r>
            <w:r>
              <w:t>ные шк</w:t>
            </w:r>
            <w:r>
              <w:t>о</w:t>
            </w:r>
            <w:r>
              <w:t>лы</w:t>
            </w:r>
          </w:p>
          <w:p w:rsidR="00000000" w:rsidRDefault="00000000">
            <w:pPr>
              <w:pStyle w:val="table"/>
            </w:pPr>
            <w:r>
              <w:t>(классы с 5 по 9 или 10)</w:t>
            </w:r>
          </w:p>
        </w:tc>
        <w:tc>
          <w:tcPr>
            <w:tcW w:w="1079" w:type="dxa"/>
            <w:tcBorders>
              <w:top w:val="single" w:sz="12" w:space="0" w:color="auto"/>
            </w:tcBorders>
            <w:vAlign w:val="bottom"/>
          </w:tcPr>
          <w:p w:rsidR="00000000" w:rsidRDefault="00000000">
            <w:pPr>
              <w:pStyle w:val="table"/>
              <w:tabs>
                <w:tab w:val="decimal" w:pos="404"/>
              </w:tabs>
            </w:pPr>
            <w:r>
              <w:t>49,1</w:t>
            </w:r>
          </w:p>
        </w:tc>
        <w:tc>
          <w:tcPr>
            <w:tcW w:w="1077" w:type="dxa"/>
            <w:tcBorders>
              <w:top w:val="single" w:sz="12" w:space="0" w:color="auto"/>
            </w:tcBorders>
            <w:vAlign w:val="bottom"/>
          </w:tcPr>
          <w:p w:rsidR="00000000" w:rsidRDefault="00000000">
            <w:pPr>
              <w:pStyle w:val="table"/>
              <w:tabs>
                <w:tab w:val="decimal" w:pos="404"/>
              </w:tabs>
            </w:pPr>
            <w:r>
              <w:t>46,3</w:t>
            </w:r>
          </w:p>
        </w:tc>
        <w:tc>
          <w:tcPr>
            <w:tcW w:w="1078" w:type="dxa"/>
            <w:tcBorders>
              <w:top w:val="single" w:sz="12" w:space="0" w:color="auto"/>
            </w:tcBorders>
            <w:vAlign w:val="bottom"/>
          </w:tcPr>
          <w:p w:rsidR="00000000" w:rsidRDefault="00000000">
            <w:pPr>
              <w:pStyle w:val="table"/>
              <w:tabs>
                <w:tab w:val="decimal" w:pos="404"/>
              </w:tabs>
            </w:pPr>
            <w:r>
              <w:t>45,5</w:t>
            </w:r>
          </w:p>
        </w:tc>
        <w:tc>
          <w:tcPr>
            <w:tcW w:w="1078" w:type="dxa"/>
            <w:tcBorders>
              <w:top w:val="single" w:sz="12" w:space="0" w:color="auto"/>
            </w:tcBorders>
            <w:vAlign w:val="bottom"/>
          </w:tcPr>
          <w:p w:rsidR="00000000" w:rsidRDefault="00000000">
            <w:pPr>
              <w:pStyle w:val="table"/>
              <w:tabs>
                <w:tab w:val="decimal" w:pos="404"/>
              </w:tabs>
            </w:pPr>
            <w:r>
              <w:t>45,0</w:t>
            </w:r>
          </w:p>
        </w:tc>
        <w:tc>
          <w:tcPr>
            <w:tcW w:w="1078" w:type="dxa"/>
            <w:tcBorders>
              <w:top w:val="single" w:sz="12" w:space="0" w:color="auto"/>
            </w:tcBorders>
            <w:vAlign w:val="bottom"/>
          </w:tcPr>
          <w:p w:rsidR="00000000" w:rsidRDefault="00000000">
            <w:pPr>
              <w:pStyle w:val="table"/>
              <w:tabs>
                <w:tab w:val="decimal" w:pos="404"/>
              </w:tabs>
            </w:pPr>
            <w:r>
              <w:t>44,5</w:t>
            </w:r>
          </w:p>
        </w:tc>
        <w:tc>
          <w:tcPr>
            <w:tcW w:w="1078" w:type="dxa"/>
            <w:tcBorders>
              <w:top w:val="single" w:sz="12" w:space="0" w:color="auto"/>
            </w:tcBorders>
            <w:vAlign w:val="bottom"/>
          </w:tcPr>
          <w:p w:rsidR="00000000" w:rsidRDefault="00000000">
            <w:pPr>
              <w:pStyle w:val="table"/>
              <w:tabs>
                <w:tab w:val="decimal" w:pos="404"/>
              </w:tabs>
            </w:pPr>
            <w:r>
              <w:t>44,1</w:t>
            </w:r>
          </w:p>
        </w:tc>
        <w:tc>
          <w:tcPr>
            <w:tcW w:w="1078" w:type="dxa"/>
            <w:tcBorders>
              <w:top w:val="single" w:sz="12" w:space="0" w:color="auto"/>
            </w:tcBorders>
            <w:vAlign w:val="bottom"/>
          </w:tcPr>
          <w:p w:rsidR="00000000" w:rsidRDefault="00000000">
            <w:pPr>
              <w:pStyle w:val="table"/>
              <w:tabs>
                <w:tab w:val="decimal" w:pos="404"/>
              </w:tabs>
            </w:pPr>
            <w:r>
              <w:t>44,0</w:t>
            </w:r>
          </w:p>
        </w:tc>
        <w:tc>
          <w:tcPr>
            <w:tcW w:w="1078" w:type="dxa"/>
            <w:tcBorders>
              <w:top w:val="single" w:sz="12" w:space="0" w:color="auto"/>
            </w:tcBorders>
            <w:vAlign w:val="bottom"/>
          </w:tcPr>
          <w:p w:rsidR="00000000" w:rsidRDefault="00000000">
            <w:pPr>
              <w:pStyle w:val="table"/>
              <w:tabs>
                <w:tab w:val="decimal" w:pos="404"/>
              </w:tabs>
            </w:pPr>
            <w:r>
              <w:t>43,8</w:t>
            </w:r>
          </w:p>
        </w:tc>
        <w:tc>
          <w:tcPr>
            <w:tcW w:w="975" w:type="dxa"/>
            <w:tcBorders>
              <w:top w:val="single" w:sz="12" w:space="0" w:color="auto"/>
            </w:tcBorders>
            <w:vAlign w:val="bottom"/>
          </w:tcPr>
          <w:p w:rsidR="00000000" w:rsidRDefault="00000000">
            <w:pPr>
              <w:pStyle w:val="table"/>
              <w:tabs>
                <w:tab w:val="decimal" w:pos="404"/>
              </w:tabs>
            </w:pPr>
            <w:r>
              <w:t>43,8</w:t>
            </w:r>
          </w:p>
        </w:tc>
      </w:tr>
      <w:tr w:rsidR="00000000">
        <w:tblPrEx>
          <w:tblCellMar>
            <w:top w:w="0" w:type="dxa"/>
            <w:bottom w:w="0" w:type="dxa"/>
          </w:tblCellMar>
        </w:tblPrEx>
        <w:tc>
          <w:tcPr>
            <w:tcW w:w="2591" w:type="dxa"/>
          </w:tcPr>
          <w:p w:rsidR="00000000" w:rsidRDefault="00000000">
            <w:pPr>
              <w:pStyle w:val="table"/>
            </w:pPr>
            <w:r>
              <w:t>Промежуточные шк</w:t>
            </w:r>
            <w:r>
              <w:t>о</w:t>
            </w:r>
            <w:r>
              <w:t>лы</w:t>
            </w:r>
          </w:p>
          <w:p w:rsidR="00000000" w:rsidRDefault="00000000">
            <w:pPr>
              <w:pStyle w:val="table"/>
            </w:pPr>
            <w:r>
              <w:t>(классы с 5 по 10)</w:t>
            </w:r>
          </w:p>
        </w:tc>
        <w:tc>
          <w:tcPr>
            <w:tcW w:w="1079" w:type="dxa"/>
            <w:vAlign w:val="bottom"/>
          </w:tcPr>
          <w:p w:rsidR="00000000" w:rsidRDefault="00000000">
            <w:pPr>
              <w:pStyle w:val="table"/>
              <w:tabs>
                <w:tab w:val="decimal" w:pos="404"/>
              </w:tabs>
            </w:pPr>
            <w:r>
              <w:t>52,9</w:t>
            </w:r>
          </w:p>
        </w:tc>
        <w:tc>
          <w:tcPr>
            <w:tcW w:w="1077" w:type="dxa"/>
            <w:vAlign w:val="bottom"/>
          </w:tcPr>
          <w:p w:rsidR="00000000" w:rsidRDefault="00000000">
            <w:pPr>
              <w:pStyle w:val="table"/>
              <w:tabs>
                <w:tab w:val="decimal" w:pos="404"/>
              </w:tabs>
            </w:pPr>
            <w:r>
              <w:t>53,6</w:t>
            </w:r>
          </w:p>
        </w:tc>
        <w:tc>
          <w:tcPr>
            <w:tcW w:w="1078" w:type="dxa"/>
            <w:vAlign w:val="bottom"/>
          </w:tcPr>
          <w:p w:rsidR="00000000" w:rsidRDefault="00000000">
            <w:pPr>
              <w:pStyle w:val="table"/>
              <w:tabs>
                <w:tab w:val="decimal" w:pos="404"/>
              </w:tabs>
            </w:pPr>
            <w:r>
              <w:t>52,8</w:t>
            </w:r>
          </w:p>
        </w:tc>
        <w:tc>
          <w:tcPr>
            <w:tcW w:w="1078" w:type="dxa"/>
            <w:vAlign w:val="bottom"/>
          </w:tcPr>
          <w:p w:rsidR="00000000" w:rsidRDefault="00000000">
            <w:pPr>
              <w:pStyle w:val="table"/>
              <w:tabs>
                <w:tab w:val="decimal" w:pos="404"/>
              </w:tabs>
            </w:pPr>
            <w:r>
              <w:t>51,5</w:t>
            </w:r>
          </w:p>
        </w:tc>
        <w:tc>
          <w:tcPr>
            <w:tcW w:w="1078" w:type="dxa"/>
            <w:vAlign w:val="bottom"/>
          </w:tcPr>
          <w:p w:rsidR="00000000" w:rsidRDefault="00000000">
            <w:pPr>
              <w:pStyle w:val="table"/>
              <w:tabs>
                <w:tab w:val="decimal" w:pos="404"/>
              </w:tabs>
            </w:pPr>
            <w:r>
              <w:t>51,3</w:t>
            </w:r>
          </w:p>
        </w:tc>
        <w:tc>
          <w:tcPr>
            <w:tcW w:w="1078" w:type="dxa"/>
            <w:vAlign w:val="bottom"/>
          </w:tcPr>
          <w:p w:rsidR="00000000" w:rsidRDefault="00000000">
            <w:pPr>
              <w:pStyle w:val="table"/>
              <w:tabs>
                <w:tab w:val="decimal" w:pos="404"/>
              </w:tabs>
            </w:pPr>
            <w:r>
              <w:t>51,2</w:t>
            </w:r>
          </w:p>
        </w:tc>
        <w:tc>
          <w:tcPr>
            <w:tcW w:w="1078" w:type="dxa"/>
            <w:vAlign w:val="bottom"/>
          </w:tcPr>
          <w:p w:rsidR="00000000" w:rsidRDefault="00000000">
            <w:pPr>
              <w:pStyle w:val="table"/>
              <w:tabs>
                <w:tab w:val="decimal" w:pos="404"/>
              </w:tabs>
            </w:pPr>
            <w:r>
              <w:t>51,1</w:t>
            </w:r>
          </w:p>
        </w:tc>
        <w:tc>
          <w:tcPr>
            <w:tcW w:w="1078" w:type="dxa"/>
            <w:vAlign w:val="bottom"/>
          </w:tcPr>
          <w:p w:rsidR="00000000" w:rsidRDefault="00000000">
            <w:pPr>
              <w:pStyle w:val="table"/>
              <w:tabs>
                <w:tab w:val="decimal" w:pos="404"/>
              </w:tabs>
            </w:pPr>
            <w:r>
              <w:t>50,9</w:t>
            </w:r>
          </w:p>
        </w:tc>
        <w:tc>
          <w:tcPr>
            <w:tcW w:w="975" w:type="dxa"/>
            <w:vAlign w:val="bottom"/>
          </w:tcPr>
          <w:p w:rsidR="00000000" w:rsidRDefault="00000000">
            <w:pPr>
              <w:pStyle w:val="table"/>
              <w:tabs>
                <w:tab w:val="decimal" w:pos="404"/>
              </w:tabs>
            </w:pPr>
            <w:r>
              <w:t>50,9</w:t>
            </w:r>
          </w:p>
        </w:tc>
      </w:tr>
      <w:tr w:rsidR="00000000">
        <w:tblPrEx>
          <w:tblCellMar>
            <w:top w:w="0" w:type="dxa"/>
            <w:bottom w:w="0" w:type="dxa"/>
          </w:tblCellMar>
        </w:tblPrEx>
        <w:tc>
          <w:tcPr>
            <w:tcW w:w="2591" w:type="dxa"/>
          </w:tcPr>
          <w:p w:rsidR="00000000" w:rsidRDefault="00000000">
            <w:pPr>
              <w:pStyle w:val="table"/>
            </w:pPr>
            <w:r>
              <w:t>Гимн</w:t>
            </w:r>
            <w:r>
              <w:t>а</w:t>
            </w:r>
            <w:r>
              <w:t>зии</w:t>
            </w:r>
          </w:p>
          <w:p w:rsidR="00000000" w:rsidRDefault="00000000">
            <w:pPr>
              <w:pStyle w:val="table"/>
            </w:pPr>
            <w:r>
              <w:t>(классы с 5 по 10)</w:t>
            </w:r>
          </w:p>
          <w:p w:rsidR="00000000" w:rsidRDefault="00000000">
            <w:pPr>
              <w:pStyle w:val="table"/>
            </w:pPr>
            <w:r>
              <w:t>(классы с 11 по 13)</w:t>
            </w:r>
          </w:p>
        </w:tc>
        <w:tc>
          <w:tcPr>
            <w:tcW w:w="1079" w:type="dxa"/>
            <w:vAlign w:val="bottom"/>
          </w:tcPr>
          <w:p w:rsidR="00000000" w:rsidRDefault="00000000">
            <w:pPr>
              <w:pStyle w:val="table"/>
              <w:tabs>
                <w:tab w:val="decimal" w:pos="404"/>
              </w:tabs>
            </w:pPr>
            <w:r>
              <w:t>44,7</w:t>
            </w:r>
          </w:p>
          <w:p w:rsidR="00000000" w:rsidRDefault="00000000">
            <w:pPr>
              <w:pStyle w:val="table"/>
              <w:tabs>
                <w:tab w:val="decimal" w:pos="404"/>
              </w:tabs>
            </w:pPr>
            <w:r>
              <w:t>41,4</w:t>
            </w:r>
          </w:p>
        </w:tc>
        <w:tc>
          <w:tcPr>
            <w:tcW w:w="1077" w:type="dxa"/>
            <w:vAlign w:val="bottom"/>
          </w:tcPr>
          <w:p w:rsidR="00000000" w:rsidRDefault="00000000">
            <w:pPr>
              <w:pStyle w:val="table"/>
              <w:tabs>
                <w:tab w:val="decimal" w:pos="404"/>
              </w:tabs>
            </w:pPr>
            <w:r>
              <w:t>50,4</w:t>
            </w:r>
          </w:p>
          <w:p w:rsidR="00000000" w:rsidRDefault="00000000">
            <w:pPr>
              <w:pStyle w:val="table"/>
              <w:tabs>
                <w:tab w:val="decimal" w:pos="404"/>
              </w:tabs>
            </w:pPr>
            <w:r>
              <w:t>49,4</w:t>
            </w:r>
          </w:p>
        </w:tc>
        <w:tc>
          <w:tcPr>
            <w:tcW w:w="1078" w:type="dxa"/>
            <w:vAlign w:val="bottom"/>
          </w:tcPr>
          <w:p w:rsidR="00000000" w:rsidRDefault="00000000">
            <w:pPr>
              <w:pStyle w:val="table"/>
              <w:tabs>
                <w:tab w:val="decimal" w:pos="404"/>
              </w:tabs>
            </w:pPr>
            <w:r>
              <w:t>50,8</w:t>
            </w:r>
          </w:p>
          <w:p w:rsidR="00000000" w:rsidRDefault="00000000">
            <w:pPr>
              <w:pStyle w:val="table"/>
              <w:tabs>
                <w:tab w:val="decimal" w:pos="404"/>
              </w:tabs>
            </w:pPr>
            <w:r>
              <w:t>49,8</w:t>
            </w:r>
          </w:p>
        </w:tc>
        <w:tc>
          <w:tcPr>
            <w:tcW w:w="1078" w:type="dxa"/>
            <w:vAlign w:val="bottom"/>
          </w:tcPr>
          <w:p w:rsidR="00000000" w:rsidRDefault="00000000">
            <w:pPr>
              <w:pStyle w:val="table"/>
              <w:tabs>
                <w:tab w:val="decimal" w:pos="404"/>
              </w:tabs>
            </w:pPr>
            <w:r>
              <w:t>53,0</w:t>
            </w:r>
          </w:p>
          <w:p w:rsidR="00000000" w:rsidRDefault="00000000">
            <w:pPr>
              <w:pStyle w:val="table"/>
              <w:tabs>
                <w:tab w:val="decimal" w:pos="404"/>
              </w:tabs>
            </w:pPr>
            <w:r>
              <w:t>52,4</w:t>
            </w:r>
          </w:p>
        </w:tc>
        <w:tc>
          <w:tcPr>
            <w:tcW w:w="1078" w:type="dxa"/>
            <w:vAlign w:val="bottom"/>
          </w:tcPr>
          <w:p w:rsidR="00000000" w:rsidRDefault="00000000">
            <w:pPr>
              <w:pStyle w:val="table"/>
              <w:tabs>
                <w:tab w:val="decimal" w:pos="404"/>
              </w:tabs>
            </w:pPr>
            <w:r>
              <w:t>54,1</w:t>
            </w:r>
          </w:p>
          <w:p w:rsidR="00000000" w:rsidRDefault="00000000">
            <w:pPr>
              <w:pStyle w:val="table"/>
              <w:tabs>
                <w:tab w:val="decimal" w:pos="404"/>
              </w:tabs>
            </w:pPr>
            <w:r>
              <w:t>53,5</w:t>
            </w:r>
          </w:p>
        </w:tc>
        <w:tc>
          <w:tcPr>
            <w:tcW w:w="1078" w:type="dxa"/>
            <w:vAlign w:val="bottom"/>
          </w:tcPr>
          <w:p w:rsidR="00000000" w:rsidRDefault="00000000">
            <w:pPr>
              <w:pStyle w:val="table"/>
              <w:tabs>
                <w:tab w:val="decimal" w:pos="404"/>
              </w:tabs>
            </w:pPr>
            <w:r>
              <w:t>54,3</w:t>
            </w:r>
          </w:p>
          <w:p w:rsidR="00000000" w:rsidRDefault="00000000">
            <w:pPr>
              <w:pStyle w:val="table"/>
              <w:tabs>
                <w:tab w:val="decimal" w:pos="404"/>
              </w:tabs>
            </w:pPr>
            <w:r>
              <w:t>54,2</w:t>
            </w:r>
          </w:p>
        </w:tc>
        <w:tc>
          <w:tcPr>
            <w:tcW w:w="1078" w:type="dxa"/>
            <w:vAlign w:val="bottom"/>
          </w:tcPr>
          <w:p w:rsidR="00000000" w:rsidRDefault="00000000">
            <w:pPr>
              <w:pStyle w:val="table"/>
              <w:tabs>
                <w:tab w:val="decimal" w:pos="404"/>
              </w:tabs>
            </w:pPr>
            <w:r>
              <w:t>54,3</w:t>
            </w:r>
          </w:p>
          <w:p w:rsidR="00000000" w:rsidRDefault="00000000">
            <w:pPr>
              <w:pStyle w:val="table"/>
              <w:tabs>
                <w:tab w:val="decimal" w:pos="404"/>
              </w:tabs>
            </w:pPr>
            <w:r>
              <w:t>54,7</w:t>
            </w:r>
          </w:p>
        </w:tc>
        <w:tc>
          <w:tcPr>
            <w:tcW w:w="1078" w:type="dxa"/>
            <w:vAlign w:val="bottom"/>
          </w:tcPr>
          <w:p w:rsidR="00000000" w:rsidRDefault="00000000">
            <w:pPr>
              <w:pStyle w:val="table"/>
              <w:tabs>
                <w:tab w:val="decimal" w:pos="404"/>
              </w:tabs>
            </w:pPr>
            <w:r>
              <w:t>53,8</w:t>
            </w:r>
          </w:p>
          <w:p w:rsidR="00000000" w:rsidRDefault="00000000">
            <w:pPr>
              <w:pStyle w:val="table"/>
              <w:tabs>
                <w:tab w:val="decimal" w:pos="404"/>
              </w:tabs>
            </w:pPr>
            <w:r>
              <w:t>55,7</w:t>
            </w:r>
          </w:p>
        </w:tc>
        <w:tc>
          <w:tcPr>
            <w:tcW w:w="975" w:type="dxa"/>
            <w:vAlign w:val="bottom"/>
          </w:tcPr>
          <w:p w:rsidR="00000000" w:rsidRDefault="00000000">
            <w:pPr>
              <w:pStyle w:val="table"/>
              <w:tabs>
                <w:tab w:val="decimal" w:pos="404"/>
              </w:tabs>
            </w:pPr>
            <w:r>
              <w:t>53,8</w:t>
            </w:r>
          </w:p>
          <w:p w:rsidR="00000000" w:rsidRDefault="00000000">
            <w:pPr>
              <w:pStyle w:val="table"/>
              <w:tabs>
                <w:tab w:val="decimal" w:pos="404"/>
              </w:tabs>
            </w:pPr>
            <w:r>
              <w:t>55,9</w:t>
            </w:r>
          </w:p>
        </w:tc>
      </w:tr>
      <w:tr w:rsidR="00000000">
        <w:tblPrEx>
          <w:tblCellMar>
            <w:top w:w="0" w:type="dxa"/>
            <w:bottom w:w="0" w:type="dxa"/>
          </w:tblCellMar>
        </w:tblPrEx>
        <w:tc>
          <w:tcPr>
            <w:tcW w:w="2591" w:type="dxa"/>
            <w:tcBorders>
              <w:bottom w:val="single" w:sz="12" w:space="0" w:color="auto"/>
            </w:tcBorders>
          </w:tcPr>
          <w:p w:rsidR="00000000" w:rsidRDefault="00000000">
            <w:pPr>
              <w:pStyle w:val="table"/>
            </w:pPr>
            <w:r>
              <w:t>Вечерние гимназии и учебные заведения для взрослых, з</w:t>
            </w:r>
            <w:r>
              <w:t>а</w:t>
            </w:r>
            <w:r>
              <w:t>нимающиеся подготовкой к поступлению в высшие уче</w:t>
            </w:r>
            <w:r>
              <w:t>б</w:t>
            </w:r>
            <w:r>
              <w:t>ные завед</w:t>
            </w:r>
            <w:r>
              <w:t>е</w:t>
            </w:r>
            <w:r>
              <w:t>ния</w:t>
            </w:r>
          </w:p>
        </w:tc>
        <w:tc>
          <w:tcPr>
            <w:tcW w:w="1079" w:type="dxa"/>
            <w:tcBorders>
              <w:bottom w:val="single" w:sz="12" w:space="0" w:color="auto"/>
            </w:tcBorders>
            <w:vAlign w:val="bottom"/>
          </w:tcPr>
          <w:p w:rsidR="00000000" w:rsidRDefault="00000000">
            <w:pPr>
              <w:pStyle w:val="table"/>
              <w:tabs>
                <w:tab w:val="decimal" w:pos="404"/>
              </w:tabs>
            </w:pPr>
            <w:r>
              <w:t>23,5</w:t>
            </w:r>
          </w:p>
        </w:tc>
        <w:tc>
          <w:tcPr>
            <w:tcW w:w="1077" w:type="dxa"/>
            <w:tcBorders>
              <w:bottom w:val="single" w:sz="12" w:space="0" w:color="auto"/>
            </w:tcBorders>
            <w:vAlign w:val="bottom"/>
          </w:tcPr>
          <w:p w:rsidR="00000000" w:rsidRDefault="00000000">
            <w:pPr>
              <w:pStyle w:val="table"/>
              <w:tabs>
                <w:tab w:val="decimal" w:pos="404"/>
              </w:tabs>
            </w:pPr>
            <w:r>
              <w:t>48,5</w:t>
            </w:r>
          </w:p>
        </w:tc>
        <w:tc>
          <w:tcPr>
            <w:tcW w:w="1078" w:type="dxa"/>
            <w:tcBorders>
              <w:bottom w:val="single" w:sz="12" w:space="0" w:color="auto"/>
            </w:tcBorders>
            <w:vAlign w:val="bottom"/>
          </w:tcPr>
          <w:p w:rsidR="00000000" w:rsidRDefault="00000000">
            <w:pPr>
              <w:pStyle w:val="table"/>
              <w:tabs>
                <w:tab w:val="decimal" w:pos="404"/>
              </w:tabs>
            </w:pPr>
            <w:r>
              <w:t>52,5</w:t>
            </w:r>
          </w:p>
        </w:tc>
        <w:tc>
          <w:tcPr>
            <w:tcW w:w="1078" w:type="dxa"/>
            <w:tcBorders>
              <w:bottom w:val="single" w:sz="12" w:space="0" w:color="auto"/>
            </w:tcBorders>
            <w:vAlign w:val="bottom"/>
          </w:tcPr>
          <w:p w:rsidR="00000000" w:rsidRDefault="00000000">
            <w:pPr>
              <w:pStyle w:val="table"/>
              <w:tabs>
                <w:tab w:val="decimal" w:pos="404"/>
              </w:tabs>
            </w:pPr>
            <w:r>
              <w:t>53,5</w:t>
            </w:r>
          </w:p>
        </w:tc>
        <w:tc>
          <w:tcPr>
            <w:tcW w:w="1078" w:type="dxa"/>
            <w:tcBorders>
              <w:bottom w:val="single" w:sz="12" w:space="0" w:color="auto"/>
            </w:tcBorders>
            <w:vAlign w:val="bottom"/>
          </w:tcPr>
          <w:p w:rsidR="00000000" w:rsidRDefault="00000000">
            <w:pPr>
              <w:pStyle w:val="table"/>
              <w:tabs>
                <w:tab w:val="decimal" w:pos="404"/>
              </w:tabs>
            </w:pPr>
            <w:r>
              <w:t>54,4</w:t>
            </w:r>
          </w:p>
        </w:tc>
        <w:tc>
          <w:tcPr>
            <w:tcW w:w="1078" w:type="dxa"/>
            <w:tcBorders>
              <w:bottom w:val="single" w:sz="12" w:space="0" w:color="auto"/>
            </w:tcBorders>
            <w:vAlign w:val="bottom"/>
          </w:tcPr>
          <w:p w:rsidR="00000000" w:rsidRDefault="00000000">
            <w:pPr>
              <w:pStyle w:val="table"/>
              <w:tabs>
                <w:tab w:val="decimal" w:pos="404"/>
              </w:tabs>
            </w:pPr>
            <w:r>
              <w:t>53,5</w:t>
            </w:r>
          </w:p>
        </w:tc>
        <w:tc>
          <w:tcPr>
            <w:tcW w:w="1078" w:type="dxa"/>
            <w:tcBorders>
              <w:bottom w:val="single" w:sz="12" w:space="0" w:color="auto"/>
            </w:tcBorders>
            <w:vAlign w:val="bottom"/>
          </w:tcPr>
          <w:p w:rsidR="00000000" w:rsidRDefault="00000000">
            <w:pPr>
              <w:pStyle w:val="table"/>
              <w:tabs>
                <w:tab w:val="decimal" w:pos="404"/>
              </w:tabs>
            </w:pPr>
            <w:r>
              <w:t>52,0</w:t>
            </w:r>
          </w:p>
        </w:tc>
        <w:tc>
          <w:tcPr>
            <w:tcW w:w="1078" w:type="dxa"/>
            <w:tcBorders>
              <w:bottom w:val="single" w:sz="12" w:space="0" w:color="auto"/>
            </w:tcBorders>
            <w:vAlign w:val="bottom"/>
          </w:tcPr>
          <w:p w:rsidR="00000000" w:rsidRDefault="00000000">
            <w:pPr>
              <w:pStyle w:val="table"/>
              <w:tabs>
                <w:tab w:val="decimal" w:pos="404"/>
              </w:tabs>
            </w:pPr>
            <w:r>
              <w:t>52,4</w:t>
            </w:r>
          </w:p>
        </w:tc>
        <w:tc>
          <w:tcPr>
            <w:tcW w:w="975" w:type="dxa"/>
            <w:tcBorders>
              <w:bottom w:val="single" w:sz="12" w:space="0" w:color="auto"/>
            </w:tcBorders>
            <w:vAlign w:val="bottom"/>
          </w:tcPr>
          <w:p w:rsidR="00000000" w:rsidRDefault="00000000">
            <w:pPr>
              <w:pStyle w:val="table"/>
              <w:tabs>
                <w:tab w:val="decimal" w:pos="404"/>
              </w:tabs>
            </w:pPr>
            <w:r>
              <w:t>51,9</w:t>
            </w:r>
          </w:p>
        </w:tc>
      </w:tr>
    </w:tbl>
    <w:p w:rsidR="00000000" w:rsidRDefault="00000000">
      <w:pPr>
        <w:pStyle w:val="istochnik"/>
        <w:tabs>
          <w:tab w:val="clear" w:pos="1267"/>
        </w:tabs>
        <w:ind w:left="0"/>
      </w:pPr>
      <w:r>
        <w:t>1) Прежняя федеральная территория</w:t>
      </w:r>
    </w:p>
    <w:p w:rsidR="00000000" w:rsidRDefault="00000000">
      <w:pPr>
        <w:pStyle w:val="istochnik"/>
        <w:tabs>
          <w:tab w:val="clear" w:pos="1267"/>
        </w:tabs>
        <w:ind w:left="0"/>
      </w:pPr>
      <w:r>
        <w:t>Источник: Федеральное статистическое управление</w:t>
      </w:r>
    </w:p>
    <w:p w:rsidR="00000000" w:rsidRDefault="00000000">
      <w:pPr>
        <w:pStyle w:val="H23"/>
        <w:pageBreakBefore/>
        <w:ind w:left="0" w:firstLine="0"/>
      </w:pPr>
      <w:bookmarkStart w:id="723" w:name="_Toc44113564"/>
      <w:bookmarkStart w:id="724" w:name="_Toc44113865"/>
      <w:bookmarkStart w:id="725" w:name="_Toc44114373"/>
      <w:bookmarkStart w:id="726" w:name="_Toc44115619"/>
      <w:bookmarkStart w:id="727" w:name="_Toc44116051"/>
      <w:r>
        <w:t>Таблица 4.2.1 Слушатели-женщины в отдельных профессиональных группах</w:t>
      </w:r>
      <w:bookmarkEnd w:id="723"/>
      <w:bookmarkEnd w:id="724"/>
      <w:bookmarkEnd w:id="725"/>
      <w:bookmarkEnd w:id="726"/>
      <w:bookmarkEnd w:id="727"/>
    </w:p>
    <w:tbl>
      <w:tblPr>
        <w:tblW w:w="0" w:type="auto"/>
        <w:tblInd w:w="2" w:type="dxa"/>
        <w:tblLayout w:type="fixed"/>
        <w:tblLook w:val="0000" w:firstRow="0" w:lastRow="0" w:firstColumn="0" w:lastColumn="0" w:noHBand="0" w:noVBand="0"/>
      </w:tblPr>
      <w:tblGrid>
        <w:gridCol w:w="4146"/>
        <w:gridCol w:w="1019"/>
        <w:gridCol w:w="1022"/>
        <w:gridCol w:w="1019"/>
        <w:gridCol w:w="1024"/>
        <w:gridCol w:w="1022"/>
        <w:gridCol w:w="1019"/>
        <w:gridCol w:w="1022"/>
        <w:gridCol w:w="897"/>
      </w:tblGrid>
      <w:tr w:rsidR="00000000">
        <w:tblPrEx>
          <w:tblCellMar>
            <w:top w:w="0" w:type="dxa"/>
            <w:bottom w:w="0" w:type="dxa"/>
          </w:tblCellMar>
        </w:tblPrEx>
        <w:trPr>
          <w:cantSplit/>
        </w:trPr>
        <w:tc>
          <w:tcPr>
            <w:tcW w:w="4146" w:type="dxa"/>
            <w:vMerge w:val="restart"/>
            <w:tcBorders>
              <w:top w:val="single" w:sz="4" w:space="0" w:color="auto"/>
              <w:bottom w:val="single" w:sz="4" w:space="0" w:color="auto"/>
            </w:tcBorders>
            <w:vAlign w:val="center"/>
          </w:tcPr>
          <w:p w:rsidR="00000000" w:rsidRDefault="00000000">
            <w:pPr>
              <w:pStyle w:val="table"/>
              <w:jc w:val="center"/>
              <w:rPr>
                <w:i/>
              </w:rPr>
            </w:pPr>
            <w:r>
              <w:rPr>
                <w:i/>
              </w:rPr>
              <w:t>Профессиональные группы слушателей</w:t>
            </w:r>
          </w:p>
        </w:tc>
        <w:tc>
          <w:tcPr>
            <w:tcW w:w="8044" w:type="dxa"/>
            <w:gridSpan w:val="8"/>
            <w:tcBorders>
              <w:top w:val="single" w:sz="4" w:space="0" w:color="auto"/>
              <w:bottom w:val="single" w:sz="4" w:space="0" w:color="auto"/>
            </w:tcBorders>
            <w:vAlign w:val="center"/>
          </w:tcPr>
          <w:p w:rsidR="00000000" w:rsidRDefault="00000000">
            <w:pPr>
              <w:pStyle w:val="table"/>
              <w:jc w:val="center"/>
              <w:rPr>
                <w:i/>
              </w:rPr>
            </w:pPr>
            <w:r>
              <w:rPr>
                <w:i/>
              </w:rPr>
              <w:t>Слушатели-женщины</w:t>
            </w:r>
          </w:p>
        </w:tc>
      </w:tr>
      <w:tr w:rsidR="00000000">
        <w:tblPrEx>
          <w:tblCellMar>
            <w:top w:w="0" w:type="dxa"/>
            <w:bottom w:w="0" w:type="dxa"/>
          </w:tblCellMar>
        </w:tblPrEx>
        <w:trPr>
          <w:cantSplit/>
        </w:trPr>
        <w:tc>
          <w:tcPr>
            <w:tcW w:w="4146" w:type="dxa"/>
            <w:vMerge/>
            <w:tcBorders>
              <w:top w:val="single" w:sz="4" w:space="0" w:color="auto"/>
              <w:bottom w:val="single" w:sz="4" w:space="0" w:color="auto"/>
            </w:tcBorders>
          </w:tcPr>
          <w:p w:rsidR="00000000" w:rsidRDefault="00000000">
            <w:pPr>
              <w:pStyle w:val="table"/>
            </w:pPr>
          </w:p>
        </w:tc>
        <w:tc>
          <w:tcPr>
            <w:tcW w:w="4084" w:type="dxa"/>
            <w:gridSpan w:val="4"/>
            <w:tcBorders>
              <w:top w:val="single" w:sz="4" w:space="0" w:color="auto"/>
              <w:bottom w:val="single" w:sz="4" w:space="0" w:color="auto"/>
            </w:tcBorders>
            <w:vAlign w:val="center"/>
          </w:tcPr>
          <w:p w:rsidR="00000000" w:rsidRDefault="00000000">
            <w:pPr>
              <w:pStyle w:val="table"/>
              <w:jc w:val="center"/>
              <w:rPr>
                <w:i/>
              </w:rPr>
            </w:pPr>
            <w:r>
              <w:rPr>
                <w:i/>
              </w:rPr>
              <w:t>Всего</w:t>
            </w:r>
          </w:p>
        </w:tc>
        <w:tc>
          <w:tcPr>
            <w:tcW w:w="3960" w:type="dxa"/>
            <w:gridSpan w:val="4"/>
            <w:tcBorders>
              <w:top w:val="single" w:sz="4" w:space="0" w:color="auto"/>
              <w:bottom w:val="single" w:sz="4" w:space="0" w:color="auto"/>
            </w:tcBorders>
            <w:vAlign w:val="center"/>
          </w:tcPr>
          <w:p w:rsidR="00000000" w:rsidRDefault="00000000">
            <w:pPr>
              <w:pStyle w:val="table"/>
              <w:jc w:val="center"/>
              <w:rPr>
                <w:i/>
              </w:rPr>
            </w:pPr>
            <w:r>
              <w:rPr>
                <w:i/>
              </w:rPr>
              <w:t>Доля общего числа слушателей-женщин</w:t>
            </w:r>
          </w:p>
        </w:tc>
      </w:tr>
      <w:tr w:rsidR="00000000">
        <w:tblPrEx>
          <w:tblCellMar>
            <w:top w:w="0" w:type="dxa"/>
            <w:bottom w:w="0" w:type="dxa"/>
          </w:tblCellMar>
        </w:tblPrEx>
        <w:trPr>
          <w:cantSplit/>
        </w:trPr>
        <w:tc>
          <w:tcPr>
            <w:tcW w:w="4146" w:type="dxa"/>
            <w:vMerge/>
            <w:tcBorders>
              <w:top w:val="single" w:sz="4" w:space="0" w:color="auto"/>
              <w:bottom w:val="single" w:sz="4" w:space="0" w:color="auto"/>
            </w:tcBorders>
          </w:tcPr>
          <w:p w:rsidR="00000000" w:rsidRDefault="00000000">
            <w:pPr>
              <w:pStyle w:val="table"/>
            </w:pPr>
          </w:p>
        </w:tc>
        <w:tc>
          <w:tcPr>
            <w:tcW w:w="1019" w:type="dxa"/>
            <w:tcBorders>
              <w:top w:val="single" w:sz="4" w:space="0" w:color="auto"/>
              <w:bottom w:val="single" w:sz="4" w:space="0" w:color="auto"/>
            </w:tcBorders>
            <w:vAlign w:val="center"/>
          </w:tcPr>
          <w:p w:rsidR="00000000" w:rsidRDefault="00000000">
            <w:pPr>
              <w:pStyle w:val="table"/>
              <w:jc w:val="center"/>
              <w:rPr>
                <w:i/>
              </w:rPr>
            </w:pPr>
            <w:r>
              <w:rPr>
                <w:i/>
              </w:rPr>
              <w:t>1977</w:t>
            </w:r>
            <w:r>
              <w:rPr>
                <w:i/>
                <w:vertAlign w:val="superscript"/>
              </w:rPr>
              <w:t>1)</w:t>
            </w:r>
          </w:p>
        </w:tc>
        <w:tc>
          <w:tcPr>
            <w:tcW w:w="1022" w:type="dxa"/>
            <w:tcBorders>
              <w:top w:val="single" w:sz="4" w:space="0" w:color="auto"/>
              <w:bottom w:val="single" w:sz="4" w:space="0" w:color="auto"/>
            </w:tcBorders>
            <w:vAlign w:val="center"/>
          </w:tcPr>
          <w:p w:rsidR="00000000" w:rsidRDefault="00000000">
            <w:pPr>
              <w:pStyle w:val="table"/>
              <w:jc w:val="center"/>
              <w:rPr>
                <w:i/>
              </w:rPr>
            </w:pPr>
            <w:r>
              <w:rPr>
                <w:i/>
              </w:rPr>
              <w:t>1990</w:t>
            </w:r>
            <w:r>
              <w:rPr>
                <w:i/>
                <w:vertAlign w:val="superscript"/>
              </w:rPr>
              <w:t>1)</w:t>
            </w:r>
          </w:p>
        </w:tc>
        <w:tc>
          <w:tcPr>
            <w:tcW w:w="1019" w:type="dxa"/>
            <w:tcBorders>
              <w:top w:val="single" w:sz="4" w:space="0" w:color="auto"/>
              <w:bottom w:val="single" w:sz="4" w:space="0" w:color="auto"/>
            </w:tcBorders>
            <w:vAlign w:val="center"/>
          </w:tcPr>
          <w:p w:rsidR="00000000" w:rsidRDefault="00000000">
            <w:pPr>
              <w:pStyle w:val="table"/>
              <w:jc w:val="center"/>
              <w:rPr>
                <w:i/>
              </w:rPr>
            </w:pPr>
            <w:r>
              <w:rPr>
                <w:i/>
              </w:rPr>
              <w:t>1999</w:t>
            </w:r>
            <w:r>
              <w:rPr>
                <w:i/>
                <w:vertAlign w:val="superscript"/>
              </w:rPr>
              <w:t>1)</w:t>
            </w:r>
          </w:p>
        </w:tc>
        <w:tc>
          <w:tcPr>
            <w:tcW w:w="1024" w:type="dxa"/>
            <w:tcBorders>
              <w:top w:val="single" w:sz="4" w:space="0" w:color="auto"/>
              <w:bottom w:val="single" w:sz="4" w:space="0" w:color="auto"/>
            </w:tcBorders>
            <w:vAlign w:val="center"/>
          </w:tcPr>
          <w:p w:rsidR="00000000" w:rsidRDefault="00000000">
            <w:pPr>
              <w:pStyle w:val="table"/>
              <w:jc w:val="center"/>
              <w:rPr>
                <w:i/>
              </w:rPr>
            </w:pPr>
            <w:r>
              <w:rPr>
                <w:i/>
              </w:rPr>
              <w:t>2001</w:t>
            </w:r>
            <w:r>
              <w:rPr>
                <w:i/>
                <w:vertAlign w:val="superscript"/>
              </w:rPr>
              <w:t>2)</w:t>
            </w:r>
          </w:p>
        </w:tc>
        <w:tc>
          <w:tcPr>
            <w:tcW w:w="1022" w:type="dxa"/>
            <w:tcBorders>
              <w:top w:val="single" w:sz="4" w:space="0" w:color="auto"/>
              <w:bottom w:val="single" w:sz="4" w:space="0" w:color="auto"/>
            </w:tcBorders>
            <w:vAlign w:val="center"/>
          </w:tcPr>
          <w:p w:rsidR="00000000" w:rsidRDefault="00000000">
            <w:pPr>
              <w:pStyle w:val="table"/>
              <w:jc w:val="center"/>
              <w:rPr>
                <w:i/>
              </w:rPr>
            </w:pPr>
            <w:r>
              <w:rPr>
                <w:i/>
              </w:rPr>
              <w:t>1977</w:t>
            </w:r>
            <w:r>
              <w:rPr>
                <w:i/>
                <w:vertAlign w:val="superscript"/>
              </w:rPr>
              <w:t>1)</w:t>
            </w:r>
          </w:p>
        </w:tc>
        <w:tc>
          <w:tcPr>
            <w:tcW w:w="1019" w:type="dxa"/>
            <w:tcBorders>
              <w:top w:val="single" w:sz="4" w:space="0" w:color="auto"/>
              <w:bottom w:val="single" w:sz="4" w:space="0" w:color="auto"/>
            </w:tcBorders>
            <w:vAlign w:val="center"/>
          </w:tcPr>
          <w:p w:rsidR="00000000" w:rsidRDefault="00000000">
            <w:pPr>
              <w:pStyle w:val="table"/>
              <w:jc w:val="center"/>
              <w:rPr>
                <w:i/>
              </w:rPr>
            </w:pPr>
            <w:r>
              <w:rPr>
                <w:i/>
              </w:rPr>
              <w:t>1990</w:t>
            </w:r>
            <w:r>
              <w:rPr>
                <w:i/>
                <w:vertAlign w:val="superscript"/>
              </w:rPr>
              <w:t>1)</w:t>
            </w:r>
          </w:p>
        </w:tc>
        <w:tc>
          <w:tcPr>
            <w:tcW w:w="1022" w:type="dxa"/>
            <w:tcBorders>
              <w:top w:val="single" w:sz="4" w:space="0" w:color="auto"/>
              <w:bottom w:val="single" w:sz="4" w:space="0" w:color="auto"/>
            </w:tcBorders>
            <w:vAlign w:val="center"/>
          </w:tcPr>
          <w:p w:rsidR="00000000" w:rsidRDefault="00000000">
            <w:pPr>
              <w:pStyle w:val="table"/>
              <w:jc w:val="center"/>
              <w:rPr>
                <w:i/>
              </w:rPr>
            </w:pPr>
            <w:r>
              <w:rPr>
                <w:i/>
              </w:rPr>
              <w:t>1999</w:t>
            </w:r>
            <w:r>
              <w:rPr>
                <w:i/>
                <w:vertAlign w:val="superscript"/>
              </w:rPr>
              <w:t>1)</w:t>
            </w:r>
          </w:p>
        </w:tc>
        <w:tc>
          <w:tcPr>
            <w:tcW w:w="897" w:type="dxa"/>
            <w:tcBorders>
              <w:top w:val="single" w:sz="4" w:space="0" w:color="auto"/>
              <w:bottom w:val="single" w:sz="4" w:space="0" w:color="auto"/>
            </w:tcBorders>
            <w:vAlign w:val="center"/>
          </w:tcPr>
          <w:p w:rsidR="00000000" w:rsidRDefault="00000000">
            <w:pPr>
              <w:pStyle w:val="table"/>
              <w:jc w:val="center"/>
              <w:rPr>
                <w:i/>
              </w:rPr>
            </w:pPr>
            <w:r>
              <w:rPr>
                <w:i/>
              </w:rPr>
              <w:t>2001</w:t>
            </w:r>
            <w:r>
              <w:rPr>
                <w:i/>
                <w:vertAlign w:val="superscript"/>
              </w:rPr>
              <w:t>2)</w:t>
            </w:r>
          </w:p>
        </w:tc>
      </w:tr>
      <w:tr w:rsidR="00000000">
        <w:tblPrEx>
          <w:tblCellMar>
            <w:top w:w="0" w:type="dxa"/>
            <w:bottom w:w="0" w:type="dxa"/>
          </w:tblCellMar>
        </w:tblPrEx>
        <w:trPr>
          <w:cantSplit/>
        </w:trPr>
        <w:tc>
          <w:tcPr>
            <w:tcW w:w="4146" w:type="dxa"/>
            <w:vMerge/>
            <w:tcBorders>
              <w:top w:val="single" w:sz="4" w:space="0" w:color="auto"/>
              <w:bottom w:val="single" w:sz="12" w:space="0" w:color="auto"/>
            </w:tcBorders>
          </w:tcPr>
          <w:p w:rsidR="00000000" w:rsidRDefault="00000000">
            <w:pPr>
              <w:pStyle w:val="table"/>
            </w:pPr>
          </w:p>
        </w:tc>
        <w:tc>
          <w:tcPr>
            <w:tcW w:w="4084" w:type="dxa"/>
            <w:gridSpan w:val="4"/>
            <w:tcBorders>
              <w:top w:val="single" w:sz="4" w:space="0" w:color="auto"/>
              <w:bottom w:val="single" w:sz="12" w:space="0" w:color="auto"/>
            </w:tcBorders>
            <w:vAlign w:val="center"/>
          </w:tcPr>
          <w:p w:rsidR="00000000" w:rsidRDefault="00000000">
            <w:pPr>
              <w:pStyle w:val="table"/>
              <w:jc w:val="center"/>
              <w:rPr>
                <w:i/>
              </w:rPr>
            </w:pPr>
            <w:r>
              <w:rPr>
                <w:i/>
              </w:rPr>
              <w:t>В тыс. человек</w:t>
            </w:r>
          </w:p>
        </w:tc>
        <w:tc>
          <w:tcPr>
            <w:tcW w:w="3960" w:type="dxa"/>
            <w:gridSpan w:val="4"/>
            <w:tcBorders>
              <w:top w:val="single" w:sz="4" w:space="0" w:color="auto"/>
              <w:bottom w:val="single" w:sz="12" w:space="0" w:color="auto"/>
            </w:tcBorders>
            <w:vAlign w:val="center"/>
          </w:tcPr>
          <w:p w:rsidR="00000000" w:rsidRDefault="00000000">
            <w:pPr>
              <w:pStyle w:val="table"/>
              <w:jc w:val="center"/>
              <w:rPr>
                <w:i/>
              </w:rPr>
            </w:pPr>
            <w:r>
              <w:rPr>
                <w:i/>
              </w:rPr>
              <w:t>В процентах</w:t>
            </w:r>
          </w:p>
        </w:tc>
      </w:tr>
      <w:tr w:rsidR="00000000">
        <w:tblPrEx>
          <w:tblCellMar>
            <w:top w:w="0" w:type="dxa"/>
            <w:bottom w:w="0" w:type="dxa"/>
          </w:tblCellMar>
        </w:tblPrEx>
        <w:tc>
          <w:tcPr>
            <w:tcW w:w="4146" w:type="dxa"/>
            <w:tcBorders>
              <w:top w:val="single" w:sz="12" w:space="0" w:color="auto"/>
            </w:tcBorders>
          </w:tcPr>
          <w:p w:rsidR="00000000" w:rsidRDefault="00000000">
            <w:pPr>
              <w:pStyle w:val="table"/>
            </w:pPr>
            <w:r>
              <w:t>Профессии, в которых преобладают му</w:t>
            </w:r>
            <w:r>
              <w:t>ж</w:t>
            </w:r>
            <w:r>
              <w:t xml:space="preserve">чины </w:t>
            </w:r>
            <w:r>
              <w:br/>
              <w:t>(0–20 процентов слуш</w:t>
            </w:r>
            <w:r>
              <w:t>а</w:t>
            </w:r>
            <w:r>
              <w:t>телей-женщин)</w:t>
            </w:r>
          </w:p>
        </w:tc>
        <w:tc>
          <w:tcPr>
            <w:tcW w:w="1019" w:type="dxa"/>
            <w:tcBorders>
              <w:top w:val="single" w:sz="12" w:space="0" w:color="auto"/>
            </w:tcBorders>
          </w:tcPr>
          <w:p w:rsidR="00000000" w:rsidRDefault="00000000">
            <w:pPr>
              <w:pStyle w:val="table"/>
              <w:tabs>
                <w:tab w:val="decimal" w:pos="424"/>
              </w:tabs>
            </w:pPr>
            <w:r>
              <w:t>13,2</w:t>
            </w:r>
          </w:p>
        </w:tc>
        <w:tc>
          <w:tcPr>
            <w:tcW w:w="1022" w:type="dxa"/>
            <w:tcBorders>
              <w:top w:val="single" w:sz="12" w:space="0" w:color="auto"/>
            </w:tcBorders>
          </w:tcPr>
          <w:p w:rsidR="00000000" w:rsidRDefault="00000000">
            <w:pPr>
              <w:pStyle w:val="table"/>
              <w:tabs>
                <w:tab w:val="decimal" w:pos="424"/>
              </w:tabs>
            </w:pPr>
            <w:r>
              <w:t>58,8</w:t>
            </w:r>
          </w:p>
        </w:tc>
        <w:tc>
          <w:tcPr>
            <w:tcW w:w="1019" w:type="dxa"/>
            <w:tcBorders>
              <w:top w:val="single" w:sz="12" w:space="0" w:color="auto"/>
            </w:tcBorders>
          </w:tcPr>
          <w:p w:rsidR="00000000" w:rsidRDefault="00000000">
            <w:pPr>
              <w:pStyle w:val="table"/>
              <w:tabs>
                <w:tab w:val="decimal" w:pos="424"/>
              </w:tabs>
            </w:pPr>
            <w:r>
              <w:t>50,2</w:t>
            </w:r>
          </w:p>
        </w:tc>
        <w:tc>
          <w:tcPr>
            <w:tcW w:w="1024" w:type="dxa"/>
            <w:tcBorders>
              <w:top w:val="single" w:sz="12" w:space="0" w:color="auto"/>
            </w:tcBorders>
          </w:tcPr>
          <w:p w:rsidR="00000000" w:rsidRDefault="00000000">
            <w:pPr>
              <w:pStyle w:val="table"/>
              <w:tabs>
                <w:tab w:val="decimal" w:pos="424"/>
              </w:tabs>
            </w:pPr>
            <w:r>
              <w:t>26,7</w:t>
            </w:r>
          </w:p>
        </w:tc>
        <w:tc>
          <w:tcPr>
            <w:tcW w:w="1022" w:type="dxa"/>
            <w:tcBorders>
              <w:top w:val="single" w:sz="12" w:space="0" w:color="auto"/>
            </w:tcBorders>
          </w:tcPr>
          <w:p w:rsidR="00000000" w:rsidRDefault="00000000">
            <w:pPr>
              <w:pStyle w:val="table"/>
              <w:tabs>
                <w:tab w:val="decimal" w:pos="424"/>
              </w:tabs>
            </w:pPr>
            <w:r>
              <w:t>2,6</w:t>
            </w:r>
          </w:p>
        </w:tc>
        <w:tc>
          <w:tcPr>
            <w:tcW w:w="1019" w:type="dxa"/>
            <w:tcBorders>
              <w:top w:val="single" w:sz="12" w:space="0" w:color="auto"/>
            </w:tcBorders>
          </w:tcPr>
          <w:p w:rsidR="00000000" w:rsidRDefault="00000000">
            <w:pPr>
              <w:pStyle w:val="table"/>
              <w:tabs>
                <w:tab w:val="decimal" w:pos="424"/>
              </w:tabs>
            </w:pPr>
            <w:r>
              <w:t>9,3</w:t>
            </w:r>
          </w:p>
        </w:tc>
        <w:tc>
          <w:tcPr>
            <w:tcW w:w="1022" w:type="dxa"/>
            <w:tcBorders>
              <w:top w:val="single" w:sz="12" w:space="0" w:color="auto"/>
            </w:tcBorders>
          </w:tcPr>
          <w:p w:rsidR="00000000" w:rsidRDefault="00000000">
            <w:pPr>
              <w:pStyle w:val="table"/>
              <w:tabs>
                <w:tab w:val="decimal" w:pos="424"/>
              </w:tabs>
            </w:pPr>
            <w:r>
              <w:t>9,1</w:t>
            </w:r>
          </w:p>
        </w:tc>
        <w:tc>
          <w:tcPr>
            <w:tcW w:w="897" w:type="dxa"/>
            <w:tcBorders>
              <w:top w:val="single" w:sz="12" w:space="0" w:color="auto"/>
            </w:tcBorders>
          </w:tcPr>
          <w:p w:rsidR="00000000" w:rsidRDefault="00000000">
            <w:pPr>
              <w:pStyle w:val="table"/>
              <w:tabs>
                <w:tab w:val="decimal" w:pos="424"/>
              </w:tabs>
            </w:pPr>
            <w:r>
              <w:t>3,9</w:t>
            </w:r>
          </w:p>
        </w:tc>
      </w:tr>
      <w:tr w:rsidR="00000000">
        <w:tblPrEx>
          <w:tblCellMar>
            <w:top w:w="0" w:type="dxa"/>
            <w:bottom w:w="0" w:type="dxa"/>
          </w:tblCellMar>
        </w:tblPrEx>
        <w:tc>
          <w:tcPr>
            <w:tcW w:w="4146" w:type="dxa"/>
          </w:tcPr>
          <w:p w:rsidR="00000000" w:rsidRDefault="00000000">
            <w:pPr>
              <w:pStyle w:val="table"/>
            </w:pPr>
            <w:r>
              <w:t>Преимущественно му</w:t>
            </w:r>
            <w:r>
              <w:t>ж</w:t>
            </w:r>
            <w:r>
              <w:t xml:space="preserve">ские профессии </w:t>
            </w:r>
          </w:p>
          <w:p w:rsidR="00000000" w:rsidRDefault="00000000">
            <w:pPr>
              <w:pStyle w:val="table"/>
            </w:pPr>
            <w:r>
              <w:t>(20–40 процентов слуш</w:t>
            </w:r>
            <w:r>
              <w:t>а</w:t>
            </w:r>
            <w:r>
              <w:t>телей-женщин)</w:t>
            </w:r>
          </w:p>
        </w:tc>
        <w:tc>
          <w:tcPr>
            <w:tcW w:w="1019" w:type="dxa"/>
          </w:tcPr>
          <w:p w:rsidR="00000000" w:rsidRDefault="00000000">
            <w:pPr>
              <w:pStyle w:val="table"/>
              <w:tabs>
                <w:tab w:val="decimal" w:pos="424"/>
              </w:tabs>
            </w:pPr>
            <w:r>
              <w:t>26,7</w:t>
            </w:r>
          </w:p>
        </w:tc>
        <w:tc>
          <w:tcPr>
            <w:tcW w:w="1022" w:type="dxa"/>
          </w:tcPr>
          <w:p w:rsidR="00000000" w:rsidRDefault="00000000">
            <w:pPr>
              <w:pStyle w:val="table"/>
              <w:tabs>
                <w:tab w:val="decimal" w:pos="424"/>
              </w:tabs>
            </w:pPr>
            <w:r>
              <w:t>41,0</w:t>
            </w:r>
          </w:p>
        </w:tc>
        <w:tc>
          <w:tcPr>
            <w:tcW w:w="1019" w:type="dxa"/>
          </w:tcPr>
          <w:p w:rsidR="00000000" w:rsidRDefault="00000000">
            <w:pPr>
              <w:pStyle w:val="table"/>
              <w:tabs>
                <w:tab w:val="decimal" w:pos="424"/>
              </w:tabs>
            </w:pPr>
            <w:r>
              <w:t>40,0</w:t>
            </w:r>
          </w:p>
        </w:tc>
        <w:tc>
          <w:tcPr>
            <w:tcW w:w="1024" w:type="dxa"/>
          </w:tcPr>
          <w:p w:rsidR="00000000" w:rsidRDefault="00000000">
            <w:pPr>
              <w:pStyle w:val="table"/>
              <w:tabs>
                <w:tab w:val="decimal" w:pos="424"/>
              </w:tabs>
            </w:pPr>
            <w:r>
              <w:t>30,3</w:t>
            </w:r>
          </w:p>
        </w:tc>
        <w:tc>
          <w:tcPr>
            <w:tcW w:w="1022" w:type="dxa"/>
          </w:tcPr>
          <w:p w:rsidR="00000000" w:rsidRDefault="00000000">
            <w:pPr>
              <w:pStyle w:val="table"/>
              <w:tabs>
                <w:tab w:val="decimal" w:pos="424"/>
              </w:tabs>
            </w:pPr>
            <w:r>
              <w:t>5,2</w:t>
            </w:r>
          </w:p>
        </w:tc>
        <w:tc>
          <w:tcPr>
            <w:tcW w:w="1019" w:type="dxa"/>
          </w:tcPr>
          <w:p w:rsidR="00000000" w:rsidRDefault="00000000">
            <w:pPr>
              <w:pStyle w:val="table"/>
              <w:tabs>
                <w:tab w:val="decimal" w:pos="424"/>
              </w:tabs>
            </w:pPr>
            <w:r>
              <w:t>6,5</w:t>
            </w:r>
          </w:p>
        </w:tc>
        <w:tc>
          <w:tcPr>
            <w:tcW w:w="1022" w:type="dxa"/>
          </w:tcPr>
          <w:p w:rsidR="00000000" w:rsidRDefault="00000000">
            <w:pPr>
              <w:pStyle w:val="table"/>
              <w:tabs>
                <w:tab w:val="decimal" w:pos="424"/>
              </w:tabs>
            </w:pPr>
            <w:r>
              <w:t>7,2</w:t>
            </w:r>
          </w:p>
        </w:tc>
        <w:tc>
          <w:tcPr>
            <w:tcW w:w="897" w:type="dxa"/>
          </w:tcPr>
          <w:p w:rsidR="00000000" w:rsidRDefault="00000000">
            <w:pPr>
              <w:pStyle w:val="table"/>
              <w:tabs>
                <w:tab w:val="decimal" w:pos="424"/>
              </w:tabs>
            </w:pPr>
            <w:r>
              <w:t>4,4</w:t>
            </w:r>
          </w:p>
        </w:tc>
      </w:tr>
      <w:tr w:rsidR="00000000">
        <w:tblPrEx>
          <w:tblCellMar>
            <w:top w:w="0" w:type="dxa"/>
            <w:bottom w:w="0" w:type="dxa"/>
          </w:tblCellMar>
        </w:tblPrEx>
        <w:tc>
          <w:tcPr>
            <w:tcW w:w="4146" w:type="dxa"/>
          </w:tcPr>
          <w:p w:rsidR="00000000" w:rsidRDefault="00000000">
            <w:pPr>
              <w:pStyle w:val="table"/>
            </w:pPr>
            <w:r>
              <w:t>Смешанные пр</w:t>
            </w:r>
            <w:r>
              <w:t>о</w:t>
            </w:r>
            <w:r>
              <w:t xml:space="preserve">фессии </w:t>
            </w:r>
          </w:p>
          <w:p w:rsidR="00000000" w:rsidRDefault="00000000">
            <w:pPr>
              <w:pStyle w:val="table"/>
            </w:pPr>
            <w:r>
              <w:t>(40–60 процентов слуш</w:t>
            </w:r>
            <w:r>
              <w:t>а</w:t>
            </w:r>
            <w:r>
              <w:t>телей-женщин)</w:t>
            </w:r>
          </w:p>
        </w:tc>
        <w:tc>
          <w:tcPr>
            <w:tcW w:w="1019" w:type="dxa"/>
          </w:tcPr>
          <w:p w:rsidR="00000000" w:rsidRDefault="00000000">
            <w:pPr>
              <w:pStyle w:val="table"/>
              <w:tabs>
                <w:tab w:val="decimal" w:pos="424"/>
              </w:tabs>
            </w:pPr>
            <w:r>
              <w:t>105,3</w:t>
            </w:r>
          </w:p>
        </w:tc>
        <w:tc>
          <w:tcPr>
            <w:tcW w:w="1022" w:type="dxa"/>
          </w:tcPr>
          <w:p w:rsidR="00000000" w:rsidRDefault="00000000">
            <w:pPr>
              <w:pStyle w:val="table"/>
              <w:tabs>
                <w:tab w:val="decimal" w:pos="424"/>
              </w:tabs>
            </w:pPr>
            <w:r>
              <w:t>170,5</w:t>
            </w:r>
          </w:p>
        </w:tc>
        <w:tc>
          <w:tcPr>
            <w:tcW w:w="1019" w:type="dxa"/>
          </w:tcPr>
          <w:p w:rsidR="00000000" w:rsidRDefault="00000000">
            <w:pPr>
              <w:pStyle w:val="table"/>
              <w:tabs>
                <w:tab w:val="decimal" w:pos="424"/>
              </w:tabs>
            </w:pPr>
            <w:r>
              <w:t>136,1</w:t>
            </w:r>
          </w:p>
        </w:tc>
        <w:tc>
          <w:tcPr>
            <w:tcW w:w="1024" w:type="dxa"/>
          </w:tcPr>
          <w:p w:rsidR="00000000" w:rsidRDefault="00000000">
            <w:pPr>
              <w:pStyle w:val="table"/>
              <w:tabs>
                <w:tab w:val="decimal" w:pos="424"/>
              </w:tabs>
            </w:pPr>
            <w:r>
              <w:t>137,0</w:t>
            </w:r>
          </w:p>
        </w:tc>
        <w:tc>
          <w:tcPr>
            <w:tcW w:w="1022" w:type="dxa"/>
          </w:tcPr>
          <w:p w:rsidR="00000000" w:rsidRDefault="00000000">
            <w:pPr>
              <w:pStyle w:val="table"/>
              <w:tabs>
                <w:tab w:val="decimal" w:pos="424"/>
              </w:tabs>
            </w:pPr>
            <w:r>
              <w:t>20,6</w:t>
            </w:r>
          </w:p>
        </w:tc>
        <w:tc>
          <w:tcPr>
            <w:tcW w:w="1019" w:type="dxa"/>
          </w:tcPr>
          <w:p w:rsidR="00000000" w:rsidRDefault="00000000">
            <w:pPr>
              <w:pStyle w:val="table"/>
              <w:tabs>
                <w:tab w:val="decimal" w:pos="424"/>
              </w:tabs>
            </w:pPr>
            <w:r>
              <w:t>27,1</w:t>
            </w:r>
          </w:p>
        </w:tc>
        <w:tc>
          <w:tcPr>
            <w:tcW w:w="1022" w:type="dxa"/>
          </w:tcPr>
          <w:p w:rsidR="00000000" w:rsidRDefault="00000000">
            <w:pPr>
              <w:pStyle w:val="table"/>
              <w:tabs>
                <w:tab w:val="decimal" w:pos="424"/>
              </w:tabs>
            </w:pPr>
            <w:r>
              <w:t>24,7</w:t>
            </w:r>
          </w:p>
        </w:tc>
        <w:tc>
          <w:tcPr>
            <w:tcW w:w="897" w:type="dxa"/>
          </w:tcPr>
          <w:p w:rsidR="00000000" w:rsidRDefault="00000000">
            <w:pPr>
              <w:pStyle w:val="table"/>
              <w:tabs>
                <w:tab w:val="decimal" w:pos="424"/>
              </w:tabs>
            </w:pPr>
            <w:r>
              <w:t>19,8</w:t>
            </w:r>
          </w:p>
        </w:tc>
      </w:tr>
      <w:tr w:rsidR="00000000">
        <w:tblPrEx>
          <w:tblCellMar>
            <w:top w:w="0" w:type="dxa"/>
            <w:bottom w:w="0" w:type="dxa"/>
          </w:tblCellMar>
        </w:tblPrEx>
        <w:tc>
          <w:tcPr>
            <w:tcW w:w="4146" w:type="dxa"/>
          </w:tcPr>
          <w:p w:rsidR="00000000" w:rsidRDefault="00000000">
            <w:pPr>
              <w:pStyle w:val="table"/>
            </w:pPr>
            <w:r>
              <w:t>Преимущественно же</w:t>
            </w:r>
            <w:r>
              <w:t>н</w:t>
            </w:r>
            <w:r>
              <w:t xml:space="preserve">ские профессии </w:t>
            </w:r>
          </w:p>
          <w:p w:rsidR="00000000" w:rsidRDefault="00000000">
            <w:pPr>
              <w:pStyle w:val="table"/>
            </w:pPr>
            <w:r>
              <w:t>(60–80 процентов слуш</w:t>
            </w:r>
            <w:r>
              <w:t>а</w:t>
            </w:r>
            <w:r>
              <w:t>телей-женщин)</w:t>
            </w:r>
          </w:p>
        </w:tc>
        <w:tc>
          <w:tcPr>
            <w:tcW w:w="1019" w:type="dxa"/>
          </w:tcPr>
          <w:p w:rsidR="00000000" w:rsidRDefault="00000000">
            <w:pPr>
              <w:pStyle w:val="table"/>
              <w:tabs>
                <w:tab w:val="decimal" w:pos="424"/>
              </w:tabs>
            </w:pPr>
            <w:r>
              <w:t>119,0</w:t>
            </w:r>
          </w:p>
        </w:tc>
        <w:tc>
          <w:tcPr>
            <w:tcW w:w="1022" w:type="dxa"/>
          </w:tcPr>
          <w:p w:rsidR="00000000" w:rsidRDefault="00000000">
            <w:pPr>
              <w:pStyle w:val="table"/>
              <w:tabs>
                <w:tab w:val="decimal" w:pos="424"/>
              </w:tabs>
            </w:pPr>
            <w:r>
              <w:t>101,9</w:t>
            </w:r>
          </w:p>
        </w:tc>
        <w:tc>
          <w:tcPr>
            <w:tcW w:w="1019" w:type="dxa"/>
          </w:tcPr>
          <w:p w:rsidR="00000000" w:rsidRDefault="00000000">
            <w:pPr>
              <w:pStyle w:val="table"/>
              <w:tabs>
                <w:tab w:val="decimal" w:pos="424"/>
              </w:tabs>
            </w:pPr>
            <w:r>
              <w:t>79,9</w:t>
            </w:r>
          </w:p>
        </w:tc>
        <w:tc>
          <w:tcPr>
            <w:tcW w:w="1024" w:type="dxa"/>
          </w:tcPr>
          <w:p w:rsidR="00000000" w:rsidRDefault="00000000">
            <w:pPr>
              <w:pStyle w:val="table"/>
              <w:tabs>
                <w:tab w:val="decimal" w:pos="424"/>
              </w:tabs>
            </w:pPr>
            <w:r>
              <w:t>256,4</w:t>
            </w:r>
          </w:p>
        </w:tc>
        <w:tc>
          <w:tcPr>
            <w:tcW w:w="1022" w:type="dxa"/>
          </w:tcPr>
          <w:p w:rsidR="00000000" w:rsidRDefault="00000000">
            <w:pPr>
              <w:pStyle w:val="table"/>
              <w:tabs>
                <w:tab w:val="decimal" w:pos="424"/>
              </w:tabs>
            </w:pPr>
            <w:r>
              <w:t>23,3</w:t>
            </w:r>
          </w:p>
        </w:tc>
        <w:tc>
          <w:tcPr>
            <w:tcW w:w="1019" w:type="dxa"/>
          </w:tcPr>
          <w:p w:rsidR="00000000" w:rsidRDefault="00000000">
            <w:pPr>
              <w:pStyle w:val="table"/>
              <w:tabs>
                <w:tab w:val="decimal" w:pos="424"/>
              </w:tabs>
            </w:pPr>
            <w:r>
              <w:t>16,2</w:t>
            </w:r>
          </w:p>
        </w:tc>
        <w:tc>
          <w:tcPr>
            <w:tcW w:w="1022" w:type="dxa"/>
          </w:tcPr>
          <w:p w:rsidR="00000000" w:rsidRDefault="00000000">
            <w:pPr>
              <w:pStyle w:val="table"/>
              <w:tabs>
                <w:tab w:val="decimal" w:pos="424"/>
              </w:tabs>
            </w:pPr>
            <w:r>
              <w:t>14,5</w:t>
            </w:r>
          </w:p>
        </w:tc>
        <w:tc>
          <w:tcPr>
            <w:tcW w:w="897" w:type="dxa"/>
          </w:tcPr>
          <w:p w:rsidR="00000000" w:rsidRDefault="00000000">
            <w:pPr>
              <w:pStyle w:val="table"/>
              <w:tabs>
                <w:tab w:val="decimal" w:pos="424"/>
              </w:tabs>
            </w:pPr>
            <w:r>
              <w:t>37,1</w:t>
            </w:r>
          </w:p>
        </w:tc>
      </w:tr>
      <w:tr w:rsidR="00000000">
        <w:tblPrEx>
          <w:tblCellMar>
            <w:top w:w="0" w:type="dxa"/>
            <w:bottom w:w="0" w:type="dxa"/>
          </w:tblCellMar>
        </w:tblPrEx>
        <w:tc>
          <w:tcPr>
            <w:tcW w:w="4146" w:type="dxa"/>
          </w:tcPr>
          <w:p w:rsidR="00000000" w:rsidRDefault="00000000">
            <w:pPr>
              <w:pStyle w:val="table"/>
            </w:pPr>
            <w:r>
              <w:t>Профессии, в которых преобладают женщины (80–100 процентов сл</w:t>
            </w:r>
            <w:r>
              <w:t>у</w:t>
            </w:r>
            <w:r>
              <w:t>шателей-женщин)</w:t>
            </w:r>
          </w:p>
        </w:tc>
        <w:tc>
          <w:tcPr>
            <w:tcW w:w="1019" w:type="dxa"/>
          </w:tcPr>
          <w:p w:rsidR="00000000" w:rsidRDefault="00000000">
            <w:pPr>
              <w:pStyle w:val="table"/>
              <w:tabs>
                <w:tab w:val="decimal" w:pos="424"/>
              </w:tabs>
            </w:pPr>
            <w:r>
              <w:t>246,0</w:t>
            </w:r>
          </w:p>
        </w:tc>
        <w:tc>
          <w:tcPr>
            <w:tcW w:w="1022" w:type="dxa"/>
          </w:tcPr>
          <w:p w:rsidR="00000000" w:rsidRDefault="00000000">
            <w:pPr>
              <w:pStyle w:val="table"/>
              <w:tabs>
                <w:tab w:val="decimal" w:pos="424"/>
              </w:tabs>
            </w:pPr>
            <w:r>
              <w:t>257,7</w:t>
            </w:r>
          </w:p>
        </w:tc>
        <w:tc>
          <w:tcPr>
            <w:tcW w:w="1019" w:type="dxa"/>
          </w:tcPr>
          <w:p w:rsidR="00000000" w:rsidRDefault="00000000">
            <w:pPr>
              <w:pStyle w:val="table"/>
              <w:tabs>
                <w:tab w:val="decimal" w:pos="424"/>
              </w:tabs>
            </w:pPr>
            <w:r>
              <w:t>245,0</w:t>
            </w:r>
          </w:p>
        </w:tc>
        <w:tc>
          <w:tcPr>
            <w:tcW w:w="1024" w:type="dxa"/>
          </w:tcPr>
          <w:p w:rsidR="00000000" w:rsidRDefault="00000000">
            <w:pPr>
              <w:pStyle w:val="table"/>
              <w:tabs>
                <w:tab w:val="decimal" w:pos="424"/>
              </w:tabs>
            </w:pPr>
            <w:r>
              <w:t>240,8</w:t>
            </w:r>
          </w:p>
        </w:tc>
        <w:tc>
          <w:tcPr>
            <w:tcW w:w="1022" w:type="dxa"/>
          </w:tcPr>
          <w:p w:rsidR="00000000" w:rsidRDefault="00000000">
            <w:pPr>
              <w:pStyle w:val="table"/>
              <w:tabs>
                <w:tab w:val="decimal" w:pos="424"/>
              </w:tabs>
            </w:pPr>
            <w:r>
              <w:t>48,2</w:t>
            </w:r>
          </w:p>
        </w:tc>
        <w:tc>
          <w:tcPr>
            <w:tcW w:w="1019" w:type="dxa"/>
          </w:tcPr>
          <w:p w:rsidR="00000000" w:rsidRDefault="00000000">
            <w:pPr>
              <w:pStyle w:val="table"/>
              <w:tabs>
                <w:tab w:val="decimal" w:pos="424"/>
              </w:tabs>
            </w:pPr>
            <w:r>
              <w:t>40,9</w:t>
            </w:r>
          </w:p>
        </w:tc>
        <w:tc>
          <w:tcPr>
            <w:tcW w:w="1022" w:type="dxa"/>
          </w:tcPr>
          <w:p w:rsidR="00000000" w:rsidRDefault="00000000">
            <w:pPr>
              <w:pStyle w:val="table"/>
              <w:tabs>
                <w:tab w:val="decimal" w:pos="424"/>
              </w:tabs>
            </w:pPr>
            <w:r>
              <w:t>44,5</w:t>
            </w:r>
          </w:p>
        </w:tc>
        <w:tc>
          <w:tcPr>
            <w:tcW w:w="897" w:type="dxa"/>
          </w:tcPr>
          <w:p w:rsidR="00000000" w:rsidRDefault="00000000">
            <w:pPr>
              <w:pStyle w:val="table"/>
              <w:tabs>
                <w:tab w:val="decimal" w:pos="424"/>
              </w:tabs>
            </w:pPr>
            <w:r>
              <w:t>34,8</w:t>
            </w:r>
          </w:p>
        </w:tc>
      </w:tr>
      <w:tr w:rsidR="00000000">
        <w:tblPrEx>
          <w:tblCellMar>
            <w:top w:w="0" w:type="dxa"/>
            <w:bottom w:w="0" w:type="dxa"/>
          </w:tblCellMar>
        </w:tblPrEx>
        <w:tc>
          <w:tcPr>
            <w:tcW w:w="4146" w:type="dxa"/>
            <w:tcBorders>
              <w:bottom w:val="single" w:sz="12" w:space="0" w:color="auto"/>
            </w:tcBorders>
          </w:tcPr>
          <w:p w:rsidR="00000000" w:rsidRDefault="00000000">
            <w:pPr>
              <w:pStyle w:val="table"/>
            </w:pPr>
            <w:r>
              <w:t>Всего</w:t>
            </w:r>
          </w:p>
        </w:tc>
        <w:tc>
          <w:tcPr>
            <w:tcW w:w="1019" w:type="dxa"/>
            <w:tcBorders>
              <w:bottom w:val="single" w:sz="12" w:space="0" w:color="auto"/>
            </w:tcBorders>
          </w:tcPr>
          <w:p w:rsidR="00000000" w:rsidRDefault="00000000">
            <w:pPr>
              <w:pStyle w:val="table"/>
              <w:tabs>
                <w:tab w:val="decimal" w:pos="424"/>
              </w:tabs>
            </w:pPr>
            <w:r>
              <w:t>510,2</w:t>
            </w:r>
          </w:p>
        </w:tc>
        <w:tc>
          <w:tcPr>
            <w:tcW w:w="1022" w:type="dxa"/>
            <w:tcBorders>
              <w:bottom w:val="single" w:sz="12" w:space="0" w:color="auto"/>
            </w:tcBorders>
          </w:tcPr>
          <w:p w:rsidR="00000000" w:rsidRDefault="00000000">
            <w:pPr>
              <w:pStyle w:val="table"/>
              <w:tabs>
                <w:tab w:val="decimal" w:pos="424"/>
              </w:tabs>
            </w:pPr>
            <w:r>
              <w:t>629,9</w:t>
            </w:r>
          </w:p>
        </w:tc>
        <w:tc>
          <w:tcPr>
            <w:tcW w:w="1019" w:type="dxa"/>
            <w:tcBorders>
              <w:bottom w:val="single" w:sz="12" w:space="0" w:color="auto"/>
            </w:tcBorders>
          </w:tcPr>
          <w:p w:rsidR="00000000" w:rsidRDefault="00000000">
            <w:pPr>
              <w:pStyle w:val="table"/>
              <w:tabs>
                <w:tab w:val="decimal" w:pos="424"/>
              </w:tabs>
            </w:pPr>
            <w:r>
              <w:t>551,2</w:t>
            </w:r>
          </w:p>
        </w:tc>
        <w:tc>
          <w:tcPr>
            <w:tcW w:w="1024" w:type="dxa"/>
            <w:tcBorders>
              <w:bottom w:val="single" w:sz="12" w:space="0" w:color="auto"/>
            </w:tcBorders>
          </w:tcPr>
          <w:p w:rsidR="00000000" w:rsidRDefault="00000000">
            <w:pPr>
              <w:pStyle w:val="table"/>
              <w:tabs>
                <w:tab w:val="decimal" w:pos="424"/>
              </w:tabs>
            </w:pPr>
            <w:r>
              <w:t>691,2</w:t>
            </w:r>
          </w:p>
        </w:tc>
        <w:tc>
          <w:tcPr>
            <w:tcW w:w="1022" w:type="dxa"/>
            <w:tcBorders>
              <w:bottom w:val="single" w:sz="12" w:space="0" w:color="auto"/>
            </w:tcBorders>
          </w:tcPr>
          <w:p w:rsidR="00000000" w:rsidRDefault="00000000">
            <w:pPr>
              <w:pStyle w:val="table"/>
              <w:tabs>
                <w:tab w:val="decimal" w:pos="424"/>
              </w:tabs>
            </w:pPr>
            <w:r>
              <w:t>100</w:t>
            </w:r>
          </w:p>
        </w:tc>
        <w:tc>
          <w:tcPr>
            <w:tcW w:w="1019" w:type="dxa"/>
            <w:tcBorders>
              <w:bottom w:val="single" w:sz="12" w:space="0" w:color="auto"/>
            </w:tcBorders>
          </w:tcPr>
          <w:p w:rsidR="00000000" w:rsidRDefault="00000000">
            <w:pPr>
              <w:pStyle w:val="table"/>
              <w:tabs>
                <w:tab w:val="decimal" w:pos="424"/>
              </w:tabs>
            </w:pPr>
            <w:r>
              <w:t>100</w:t>
            </w:r>
          </w:p>
        </w:tc>
        <w:tc>
          <w:tcPr>
            <w:tcW w:w="1022" w:type="dxa"/>
            <w:tcBorders>
              <w:bottom w:val="single" w:sz="12" w:space="0" w:color="auto"/>
            </w:tcBorders>
          </w:tcPr>
          <w:p w:rsidR="00000000" w:rsidRDefault="00000000">
            <w:pPr>
              <w:pStyle w:val="table"/>
              <w:tabs>
                <w:tab w:val="decimal" w:pos="424"/>
              </w:tabs>
            </w:pPr>
            <w:r>
              <w:t>100</w:t>
            </w:r>
          </w:p>
        </w:tc>
        <w:tc>
          <w:tcPr>
            <w:tcW w:w="897" w:type="dxa"/>
            <w:tcBorders>
              <w:bottom w:val="single" w:sz="12" w:space="0" w:color="auto"/>
            </w:tcBorders>
          </w:tcPr>
          <w:p w:rsidR="00000000" w:rsidRDefault="00000000">
            <w:pPr>
              <w:pStyle w:val="table"/>
              <w:tabs>
                <w:tab w:val="decimal" w:pos="424"/>
              </w:tabs>
            </w:pPr>
            <w:r>
              <w:t>100</w:t>
            </w:r>
          </w:p>
        </w:tc>
      </w:tr>
    </w:tbl>
    <w:p w:rsidR="00000000" w:rsidRDefault="00000000">
      <w:pPr>
        <w:pStyle w:val="istochnik"/>
        <w:tabs>
          <w:tab w:val="clear" w:pos="1267"/>
        </w:tabs>
        <w:ind w:left="0"/>
      </w:pPr>
      <w:r>
        <w:t>1) Прежняя федеральная территория</w:t>
      </w:r>
    </w:p>
    <w:p w:rsidR="00000000" w:rsidRDefault="00000000">
      <w:pPr>
        <w:pStyle w:val="istochnik"/>
        <w:tabs>
          <w:tab w:val="clear" w:pos="1267"/>
        </w:tabs>
        <w:ind w:left="0"/>
      </w:pPr>
      <w:r>
        <w:t>2) Германия</w:t>
      </w:r>
    </w:p>
    <w:p w:rsidR="00000000" w:rsidRDefault="00000000">
      <w:pPr>
        <w:pStyle w:val="istochnik"/>
        <w:tabs>
          <w:tab w:val="clear" w:pos="1267"/>
        </w:tabs>
        <w:ind w:left="0"/>
      </w:pPr>
      <w:r>
        <w:rPr>
          <w:i/>
        </w:rPr>
        <w:t>Источник</w:t>
      </w:r>
      <w:r>
        <w:t>: Федеральное статистическое управление, расчеты проведены Федеральным институтом исследований по вопросам занятости, Федеральное статистическое управление, 2001 год, расчеты пр</w:t>
      </w:r>
      <w:r>
        <w:t>о</w:t>
      </w:r>
      <w:r>
        <w:t xml:space="preserve">ведены </w:t>
      </w:r>
      <w:r>
        <w:rPr>
          <w:lang w:val="en-US"/>
        </w:rPr>
        <w:t>i</w:t>
      </w:r>
      <w:r>
        <w:t>-</w:t>
      </w:r>
      <w:r>
        <w:rPr>
          <w:lang w:val="en-US"/>
        </w:rPr>
        <w:t>Punkt</w:t>
      </w:r>
    </w:p>
    <w:p w:rsidR="00000000" w:rsidRDefault="00000000">
      <w:pPr>
        <w:pStyle w:val="H23"/>
        <w:pageBreakBefore/>
        <w:ind w:left="0" w:firstLine="0"/>
      </w:pPr>
      <w:bookmarkStart w:id="728" w:name="_Toc44113565"/>
      <w:bookmarkStart w:id="729" w:name="_Toc44113866"/>
      <w:bookmarkStart w:id="730" w:name="_Toc44114374"/>
      <w:bookmarkStart w:id="731" w:name="_Toc44115620"/>
      <w:bookmarkStart w:id="732" w:name="_Toc44116052"/>
      <w:r>
        <w:t>Таблица 4.2.2: Число слушателей-женщин в Германии в одной из десяти профессий, в которых в наибольшей степени преобладают мужчины, 2001 год</w:t>
      </w:r>
      <w:bookmarkEnd w:id="728"/>
      <w:bookmarkEnd w:id="729"/>
      <w:bookmarkEnd w:id="730"/>
      <w:bookmarkEnd w:id="731"/>
      <w:bookmarkEnd w:id="732"/>
    </w:p>
    <w:tbl>
      <w:tblPr>
        <w:tblW w:w="0" w:type="auto"/>
        <w:tblInd w:w="18" w:type="dxa"/>
        <w:tblLayout w:type="fixed"/>
        <w:tblLook w:val="0000" w:firstRow="0" w:lastRow="0" w:firstColumn="0" w:lastColumn="0" w:noHBand="0" w:noVBand="0"/>
      </w:tblPr>
      <w:tblGrid>
        <w:gridCol w:w="4490"/>
        <w:gridCol w:w="1541"/>
        <w:gridCol w:w="1541"/>
        <w:gridCol w:w="1541"/>
        <w:gridCol w:w="1541"/>
        <w:gridCol w:w="1536"/>
      </w:tblGrid>
      <w:tr w:rsidR="00000000">
        <w:tblPrEx>
          <w:tblCellMar>
            <w:top w:w="0" w:type="dxa"/>
            <w:bottom w:w="0" w:type="dxa"/>
          </w:tblCellMar>
        </w:tblPrEx>
        <w:tc>
          <w:tcPr>
            <w:tcW w:w="4490" w:type="dxa"/>
            <w:tcBorders>
              <w:top w:val="single" w:sz="6" w:space="0" w:color="auto"/>
              <w:bottom w:val="single" w:sz="12" w:space="0" w:color="auto"/>
            </w:tcBorders>
            <w:vAlign w:val="center"/>
          </w:tcPr>
          <w:p w:rsidR="00000000" w:rsidRDefault="00000000">
            <w:pPr>
              <w:pStyle w:val="table"/>
              <w:jc w:val="center"/>
              <w:rPr>
                <w:i/>
              </w:rPr>
            </w:pPr>
            <w:r>
              <w:rPr>
                <w:i/>
              </w:rPr>
              <w:t>Вид профессиональной подг</w:t>
            </w:r>
            <w:r>
              <w:rPr>
                <w:i/>
              </w:rPr>
              <w:t>о</w:t>
            </w:r>
            <w:r>
              <w:rPr>
                <w:i/>
              </w:rPr>
              <w:t>товки</w:t>
            </w:r>
          </w:p>
        </w:tc>
        <w:tc>
          <w:tcPr>
            <w:tcW w:w="1541" w:type="dxa"/>
            <w:tcBorders>
              <w:top w:val="single" w:sz="6" w:space="0" w:color="auto"/>
              <w:bottom w:val="single" w:sz="12" w:space="0" w:color="auto"/>
            </w:tcBorders>
            <w:vAlign w:val="center"/>
          </w:tcPr>
          <w:p w:rsidR="00000000" w:rsidRDefault="00000000">
            <w:pPr>
              <w:pStyle w:val="table"/>
              <w:jc w:val="center"/>
              <w:rPr>
                <w:i/>
              </w:rPr>
            </w:pPr>
            <w:r>
              <w:rPr>
                <w:i/>
              </w:rPr>
              <w:t xml:space="preserve">Всего </w:t>
            </w:r>
            <w:r>
              <w:rPr>
                <w:i/>
              </w:rPr>
              <w:br/>
              <w:t>слушат</w:t>
            </w:r>
            <w:r>
              <w:rPr>
                <w:i/>
              </w:rPr>
              <w:t>е</w:t>
            </w:r>
            <w:r>
              <w:rPr>
                <w:i/>
              </w:rPr>
              <w:t>лей</w:t>
            </w:r>
          </w:p>
        </w:tc>
        <w:tc>
          <w:tcPr>
            <w:tcW w:w="1541"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c>
          <w:tcPr>
            <w:tcW w:w="1541" w:type="dxa"/>
            <w:tcBorders>
              <w:top w:val="single" w:sz="6" w:space="0" w:color="auto"/>
              <w:bottom w:val="single" w:sz="12" w:space="0" w:color="auto"/>
            </w:tcBorders>
            <w:vAlign w:val="center"/>
          </w:tcPr>
          <w:p w:rsidR="00000000" w:rsidRDefault="00000000">
            <w:pPr>
              <w:pStyle w:val="table"/>
              <w:jc w:val="center"/>
              <w:rPr>
                <w:i/>
              </w:rPr>
            </w:pPr>
            <w:r>
              <w:rPr>
                <w:i/>
              </w:rPr>
              <w:t>Общая доля слушателей-женщин</w:t>
            </w:r>
          </w:p>
        </w:tc>
        <w:tc>
          <w:tcPr>
            <w:tcW w:w="1541" w:type="dxa"/>
            <w:tcBorders>
              <w:top w:val="single" w:sz="6" w:space="0" w:color="auto"/>
              <w:bottom w:val="single" w:sz="12" w:space="0" w:color="auto"/>
            </w:tcBorders>
            <w:vAlign w:val="center"/>
          </w:tcPr>
          <w:p w:rsidR="00000000" w:rsidRDefault="00000000">
            <w:pPr>
              <w:pStyle w:val="table"/>
              <w:jc w:val="center"/>
              <w:rPr>
                <w:i/>
              </w:rPr>
            </w:pPr>
            <w:r>
              <w:rPr>
                <w:i/>
              </w:rPr>
              <w:t>Доля му</w:t>
            </w:r>
            <w:r>
              <w:rPr>
                <w:i/>
              </w:rPr>
              <w:t>ж</w:t>
            </w:r>
            <w:r>
              <w:rPr>
                <w:i/>
              </w:rPr>
              <w:t>чин</w:t>
            </w:r>
          </w:p>
        </w:tc>
        <w:tc>
          <w:tcPr>
            <w:tcW w:w="1536" w:type="dxa"/>
            <w:tcBorders>
              <w:top w:val="single" w:sz="6" w:space="0" w:color="auto"/>
              <w:bottom w:val="single" w:sz="12" w:space="0" w:color="auto"/>
            </w:tcBorders>
            <w:vAlign w:val="center"/>
          </w:tcPr>
          <w:p w:rsidR="00000000" w:rsidRDefault="00000000">
            <w:pPr>
              <w:pStyle w:val="table"/>
              <w:jc w:val="center"/>
              <w:rPr>
                <w:i/>
              </w:rPr>
            </w:pPr>
            <w:r>
              <w:rPr>
                <w:i/>
              </w:rPr>
              <w:t>Доля же</w:t>
            </w:r>
            <w:r>
              <w:rPr>
                <w:i/>
              </w:rPr>
              <w:t>н</w:t>
            </w:r>
            <w:r>
              <w:rPr>
                <w:i/>
              </w:rPr>
              <w:t>щин</w:t>
            </w:r>
          </w:p>
        </w:tc>
      </w:tr>
      <w:tr w:rsidR="00000000">
        <w:tblPrEx>
          <w:tblCellMar>
            <w:top w:w="0" w:type="dxa"/>
            <w:bottom w:w="0" w:type="dxa"/>
          </w:tblCellMar>
        </w:tblPrEx>
        <w:tc>
          <w:tcPr>
            <w:tcW w:w="4490" w:type="dxa"/>
            <w:tcBorders>
              <w:top w:val="single" w:sz="12" w:space="0" w:color="auto"/>
            </w:tcBorders>
          </w:tcPr>
          <w:p w:rsidR="00000000" w:rsidRDefault="00000000">
            <w:pPr>
              <w:pStyle w:val="table"/>
            </w:pPr>
            <w:r>
              <w:t>Маляр и лакировщик</w:t>
            </w:r>
          </w:p>
        </w:tc>
        <w:tc>
          <w:tcPr>
            <w:tcW w:w="1541" w:type="dxa"/>
            <w:tcBorders>
              <w:top w:val="single" w:sz="12" w:space="0" w:color="auto"/>
            </w:tcBorders>
            <w:vAlign w:val="bottom"/>
          </w:tcPr>
          <w:p w:rsidR="00000000" w:rsidRDefault="00000000">
            <w:pPr>
              <w:pStyle w:val="table"/>
              <w:tabs>
                <w:tab w:val="decimal" w:pos="773"/>
              </w:tabs>
            </w:pPr>
            <w:r>
              <w:t>42 977</w:t>
            </w:r>
          </w:p>
        </w:tc>
        <w:tc>
          <w:tcPr>
            <w:tcW w:w="1541" w:type="dxa"/>
            <w:tcBorders>
              <w:top w:val="single" w:sz="12" w:space="0" w:color="auto"/>
            </w:tcBorders>
            <w:vAlign w:val="bottom"/>
          </w:tcPr>
          <w:p w:rsidR="00000000" w:rsidRDefault="00000000">
            <w:pPr>
              <w:pStyle w:val="table"/>
              <w:tabs>
                <w:tab w:val="decimal" w:pos="773"/>
              </w:tabs>
            </w:pPr>
            <w:r>
              <w:t>2651</w:t>
            </w:r>
          </w:p>
        </w:tc>
        <w:tc>
          <w:tcPr>
            <w:tcW w:w="1541" w:type="dxa"/>
            <w:tcBorders>
              <w:top w:val="single" w:sz="12" w:space="0" w:color="auto"/>
            </w:tcBorders>
            <w:vAlign w:val="bottom"/>
          </w:tcPr>
          <w:p w:rsidR="00000000" w:rsidRDefault="00000000">
            <w:pPr>
              <w:pStyle w:val="table"/>
              <w:tabs>
                <w:tab w:val="decimal" w:pos="567"/>
              </w:tabs>
            </w:pPr>
            <w:r>
              <w:t>0,5</w:t>
            </w:r>
          </w:p>
        </w:tc>
        <w:tc>
          <w:tcPr>
            <w:tcW w:w="1541" w:type="dxa"/>
            <w:tcBorders>
              <w:top w:val="single" w:sz="12" w:space="0" w:color="auto"/>
            </w:tcBorders>
            <w:vAlign w:val="bottom"/>
          </w:tcPr>
          <w:p w:rsidR="00000000" w:rsidRDefault="00000000">
            <w:pPr>
              <w:pStyle w:val="table"/>
              <w:tabs>
                <w:tab w:val="decimal" w:pos="567"/>
              </w:tabs>
            </w:pPr>
            <w:r>
              <w:t>91,5</w:t>
            </w:r>
          </w:p>
        </w:tc>
        <w:tc>
          <w:tcPr>
            <w:tcW w:w="1536" w:type="dxa"/>
            <w:tcBorders>
              <w:top w:val="single" w:sz="12" w:space="0" w:color="auto"/>
            </w:tcBorders>
            <w:vAlign w:val="bottom"/>
          </w:tcPr>
          <w:p w:rsidR="00000000" w:rsidRDefault="00000000">
            <w:pPr>
              <w:pStyle w:val="table"/>
              <w:tabs>
                <w:tab w:val="decimal" w:pos="567"/>
              </w:tabs>
            </w:pPr>
            <w:r>
              <w:t>8,5</w:t>
            </w:r>
          </w:p>
        </w:tc>
      </w:tr>
      <w:tr w:rsidR="00000000">
        <w:tblPrEx>
          <w:tblCellMar>
            <w:top w:w="0" w:type="dxa"/>
            <w:bottom w:w="0" w:type="dxa"/>
          </w:tblCellMar>
        </w:tblPrEx>
        <w:tc>
          <w:tcPr>
            <w:tcW w:w="4490" w:type="dxa"/>
          </w:tcPr>
          <w:p w:rsidR="00000000" w:rsidRDefault="00000000">
            <w:pPr>
              <w:pStyle w:val="table"/>
            </w:pPr>
            <w:r>
              <w:t>Специалист по компь</w:t>
            </w:r>
            <w:r>
              <w:t>ю</w:t>
            </w:r>
            <w:r>
              <w:t>терам</w:t>
            </w:r>
          </w:p>
        </w:tc>
        <w:tc>
          <w:tcPr>
            <w:tcW w:w="1541" w:type="dxa"/>
            <w:vAlign w:val="bottom"/>
          </w:tcPr>
          <w:p w:rsidR="00000000" w:rsidRDefault="00000000">
            <w:pPr>
              <w:pStyle w:val="table"/>
              <w:tabs>
                <w:tab w:val="decimal" w:pos="773"/>
              </w:tabs>
            </w:pPr>
            <w:r>
              <w:t>23 931</w:t>
            </w:r>
          </w:p>
        </w:tc>
        <w:tc>
          <w:tcPr>
            <w:tcW w:w="1541" w:type="dxa"/>
            <w:vAlign w:val="bottom"/>
          </w:tcPr>
          <w:p w:rsidR="00000000" w:rsidRDefault="00000000">
            <w:pPr>
              <w:pStyle w:val="table"/>
              <w:tabs>
                <w:tab w:val="decimal" w:pos="773"/>
              </w:tabs>
            </w:pPr>
            <w:r>
              <w:t>2714</w:t>
            </w:r>
          </w:p>
        </w:tc>
        <w:tc>
          <w:tcPr>
            <w:tcW w:w="1541" w:type="dxa"/>
            <w:vAlign w:val="bottom"/>
          </w:tcPr>
          <w:p w:rsidR="00000000" w:rsidRDefault="00000000">
            <w:pPr>
              <w:pStyle w:val="table"/>
              <w:tabs>
                <w:tab w:val="decimal" w:pos="567"/>
              </w:tabs>
            </w:pPr>
            <w:r>
              <w:t>0,4</w:t>
            </w:r>
          </w:p>
        </w:tc>
        <w:tc>
          <w:tcPr>
            <w:tcW w:w="1541" w:type="dxa"/>
            <w:vAlign w:val="bottom"/>
          </w:tcPr>
          <w:p w:rsidR="00000000" w:rsidRDefault="00000000">
            <w:pPr>
              <w:pStyle w:val="table"/>
              <w:tabs>
                <w:tab w:val="decimal" w:pos="567"/>
              </w:tabs>
            </w:pPr>
            <w:r>
              <w:t>88,7</w:t>
            </w:r>
          </w:p>
        </w:tc>
        <w:tc>
          <w:tcPr>
            <w:tcW w:w="1536" w:type="dxa"/>
            <w:vAlign w:val="bottom"/>
          </w:tcPr>
          <w:p w:rsidR="00000000" w:rsidRDefault="00000000">
            <w:pPr>
              <w:pStyle w:val="table"/>
              <w:tabs>
                <w:tab w:val="decimal" w:pos="567"/>
              </w:tabs>
            </w:pPr>
            <w:r>
              <w:t>11,3</w:t>
            </w:r>
          </w:p>
        </w:tc>
      </w:tr>
      <w:tr w:rsidR="00000000">
        <w:tblPrEx>
          <w:tblCellMar>
            <w:top w:w="0" w:type="dxa"/>
            <w:bottom w:w="0" w:type="dxa"/>
          </w:tblCellMar>
        </w:tblPrEx>
        <w:tc>
          <w:tcPr>
            <w:tcW w:w="4490" w:type="dxa"/>
          </w:tcPr>
          <w:p w:rsidR="00000000" w:rsidRDefault="00000000">
            <w:pPr>
              <w:pStyle w:val="table"/>
            </w:pPr>
            <w:r>
              <w:t>Столяр</w:t>
            </w:r>
          </w:p>
        </w:tc>
        <w:tc>
          <w:tcPr>
            <w:tcW w:w="1541" w:type="dxa"/>
            <w:vAlign w:val="bottom"/>
          </w:tcPr>
          <w:p w:rsidR="00000000" w:rsidRDefault="00000000">
            <w:pPr>
              <w:pStyle w:val="table"/>
              <w:tabs>
                <w:tab w:val="decimal" w:pos="773"/>
              </w:tabs>
            </w:pPr>
            <w:r>
              <w:t>33 918</w:t>
            </w:r>
          </w:p>
        </w:tc>
        <w:tc>
          <w:tcPr>
            <w:tcW w:w="1541" w:type="dxa"/>
            <w:vAlign w:val="bottom"/>
          </w:tcPr>
          <w:p w:rsidR="00000000" w:rsidRDefault="00000000">
            <w:pPr>
              <w:pStyle w:val="table"/>
              <w:tabs>
                <w:tab w:val="decimal" w:pos="773"/>
              </w:tabs>
            </w:pPr>
            <w:r>
              <w:t>2321</w:t>
            </w:r>
          </w:p>
        </w:tc>
        <w:tc>
          <w:tcPr>
            <w:tcW w:w="1541" w:type="dxa"/>
            <w:vAlign w:val="bottom"/>
          </w:tcPr>
          <w:p w:rsidR="00000000" w:rsidRDefault="00000000">
            <w:pPr>
              <w:pStyle w:val="table"/>
              <w:tabs>
                <w:tab w:val="decimal" w:pos="567"/>
              </w:tabs>
            </w:pPr>
            <w:r>
              <w:t>0,3</w:t>
            </w:r>
          </w:p>
        </w:tc>
        <w:tc>
          <w:tcPr>
            <w:tcW w:w="1541" w:type="dxa"/>
            <w:vAlign w:val="bottom"/>
          </w:tcPr>
          <w:p w:rsidR="00000000" w:rsidRDefault="00000000">
            <w:pPr>
              <w:pStyle w:val="table"/>
              <w:tabs>
                <w:tab w:val="decimal" w:pos="567"/>
              </w:tabs>
            </w:pPr>
            <w:r>
              <w:t>93,2</w:t>
            </w:r>
          </w:p>
        </w:tc>
        <w:tc>
          <w:tcPr>
            <w:tcW w:w="1536" w:type="dxa"/>
            <w:vAlign w:val="bottom"/>
          </w:tcPr>
          <w:p w:rsidR="00000000" w:rsidRDefault="00000000">
            <w:pPr>
              <w:pStyle w:val="table"/>
              <w:tabs>
                <w:tab w:val="decimal" w:pos="567"/>
              </w:tabs>
            </w:pPr>
            <w:r>
              <w:t>6,8</w:t>
            </w:r>
          </w:p>
        </w:tc>
      </w:tr>
      <w:tr w:rsidR="00000000">
        <w:tblPrEx>
          <w:tblCellMar>
            <w:top w:w="0" w:type="dxa"/>
            <w:bottom w:w="0" w:type="dxa"/>
          </w:tblCellMar>
        </w:tblPrEx>
        <w:tc>
          <w:tcPr>
            <w:tcW w:w="4490" w:type="dxa"/>
          </w:tcPr>
          <w:p w:rsidR="00000000" w:rsidRDefault="00000000">
            <w:pPr>
              <w:pStyle w:val="table"/>
            </w:pPr>
            <w:r>
              <w:t>Автомеханик</w:t>
            </w:r>
          </w:p>
          <w:p w:rsidR="00000000" w:rsidRDefault="00000000">
            <w:pPr>
              <w:pStyle w:val="table"/>
            </w:pPr>
            <w:r>
              <w:t>Помощник механика</w:t>
            </w:r>
          </w:p>
        </w:tc>
        <w:tc>
          <w:tcPr>
            <w:tcW w:w="1541" w:type="dxa"/>
            <w:vAlign w:val="bottom"/>
          </w:tcPr>
          <w:p w:rsidR="00000000" w:rsidRDefault="00000000">
            <w:pPr>
              <w:pStyle w:val="table"/>
              <w:tabs>
                <w:tab w:val="decimal" w:pos="773"/>
              </w:tabs>
            </w:pPr>
            <w:r>
              <w:t>79 846</w:t>
            </w:r>
          </w:p>
        </w:tc>
        <w:tc>
          <w:tcPr>
            <w:tcW w:w="1541" w:type="dxa"/>
            <w:vAlign w:val="bottom"/>
          </w:tcPr>
          <w:p w:rsidR="00000000" w:rsidRDefault="00000000">
            <w:pPr>
              <w:pStyle w:val="table"/>
              <w:tabs>
                <w:tab w:val="decimal" w:pos="773"/>
              </w:tabs>
            </w:pPr>
            <w:r>
              <w:t>1460</w:t>
            </w:r>
          </w:p>
        </w:tc>
        <w:tc>
          <w:tcPr>
            <w:tcW w:w="1541" w:type="dxa"/>
            <w:vAlign w:val="bottom"/>
          </w:tcPr>
          <w:p w:rsidR="00000000" w:rsidRDefault="00000000">
            <w:pPr>
              <w:pStyle w:val="table"/>
              <w:tabs>
                <w:tab w:val="decimal" w:pos="567"/>
              </w:tabs>
            </w:pPr>
            <w:r>
              <w:t>0,2</w:t>
            </w:r>
          </w:p>
        </w:tc>
        <w:tc>
          <w:tcPr>
            <w:tcW w:w="1541" w:type="dxa"/>
            <w:vAlign w:val="bottom"/>
          </w:tcPr>
          <w:p w:rsidR="00000000" w:rsidRDefault="00000000">
            <w:pPr>
              <w:pStyle w:val="table"/>
              <w:tabs>
                <w:tab w:val="decimal" w:pos="567"/>
              </w:tabs>
            </w:pPr>
            <w:r>
              <w:t>98,2</w:t>
            </w:r>
          </w:p>
        </w:tc>
        <w:tc>
          <w:tcPr>
            <w:tcW w:w="1536" w:type="dxa"/>
            <w:vAlign w:val="bottom"/>
          </w:tcPr>
          <w:p w:rsidR="00000000" w:rsidRDefault="00000000">
            <w:pPr>
              <w:pStyle w:val="table"/>
              <w:tabs>
                <w:tab w:val="decimal" w:pos="567"/>
              </w:tabs>
            </w:pPr>
            <w:r>
              <w:t>1,8</w:t>
            </w:r>
          </w:p>
        </w:tc>
      </w:tr>
      <w:tr w:rsidR="00000000">
        <w:tblPrEx>
          <w:tblCellMar>
            <w:top w:w="0" w:type="dxa"/>
            <w:bottom w:w="0" w:type="dxa"/>
          </w:tblCellMar>
        </w:tblPrEx>
        <w:tc>
          <w:tcPr>
            <w:tcW w:w="4490" w:type="dxa"/>
          </w:tcPr>
          <w:p w:rsidR="00000000" w:rsidRDefault="00000000">
            <w:pPr>
              <w:pStyle w:val="table"/>
            </w:pPr>
            <w:r>
              <w:t>Кладовщик</w:t>
            </w:r>
          </w:p>
        </w:tc>
        <w:tc>
          <w:tcPr>
            <w:tcW w:w="1541" w:type="dxa"/>
            <w:vAlign w:val="bottom"/>
          </w:tcPr>
          <w:p w:rsidR="00000000" w:rsidRDefault="00000000">
            <w:pPr>
              <w:pStyle w:val="table"/>
              <w:tabs>
                <w:tab w:val="decimal" w:pos="773"/>
              </w:tabs>
            </w:pPr>
            <w:r>
              <w:t>9827</w:t>
            </w:r>
          </w:p>
        </w:tc>
        <w:tc>
          <w:tcPr>
            <w:tcW w:w="1541" w:type="dxa"/>
            <w:vAlign w:val="bottom"/>
          </w:tcPr>
          <w:p w:rsidR="00000000" w:rsidRDefault="00000000">
            <w:pPr>
              <w:pStyle w:val="table"/>
              <w:tabs>
                <w:tab w:val="decimal" w:pos="773"/>
              </w:tabs>
            </w:pPr>
            <w:r>
              <w:t>1377</w:t>
            </w:r>
          </w:p>
        </w:tc>
        <w:tc>
          <w:tcPr>
            <w:tcW w:w="1541" w:type="dxa"/>
            <w:vAlign w:val="bottom"/>
          </w:tcPr>
          <w:p w:rsidR="00000000" w:rsidRDefault="00000000">
            <w:pPr>
              <w:pStyle w:val="table"/>
              <w:tabs>
                <w:tab w:val="decimal" w:pos="567"/>
              </w:tabs>
            </w:pPr>
            <w:r>
              <w:t>0,2</w:t>
            </w:r>
          </w:p>
        </w:tc>
        <w:tc>
          <w:tcPr>
            <w:tcW w:w="1541" w:type="dxa"/>
            <w:vAlign w:val="bottom"/>
          </w:tcPr>
          <w:p w:rsidR="00000000" w:rsidRDefault="00000000">
            <w:pPr>
              <w:pStyle w:val="table"/>
              <w:tabs>
                <w:tab w:val="decimal" w:pos="567"/>
              </w:tabs>
            </w:pPr>
            <w:r>
              <w:t>86,0</w:t>
            </w:r>
          </w:p>
        </w:tc>
        <w:tc>
          <w:tcPr>
            <w:tcW w:w="1536" w:type="dxa"/>
            <w:vAlign w:val="bottom"/>
          </w:tcPr>
          <w:p w:rsidR="00000000" w:rsidRDefault="00000000">
            <w:pPr>
              <w:pStyle w:val="table"/>
              <w:tabs>
                <w:tab w:val="decimal" w:pos="567"/>
              </w:tabs>
            </w:pPr>
            <w:r>
              <w:t>14,0</w:t>
            </w:r>
          </w:p>
        </w:tc>
      </w:tr>
      <w:tr w:rsidR="00000000">
        <w:tblPrEx>
          <w:tblCellMar>
            <w:top w:w="0" w:type="dxa"/>
            <w:bottom w:w="0" w:type="dxa"/>
          </w:tblCellMar>
        </w:tblPrEx>
        <w:tc>
          <w:tcPr>
            <w:tcW w:w="4490" w:type="dxa"/>
          </w:tcPr>
          <w:p w:rsidR="00000000" w:rsidRDefault="00000000">
            <w:pPr>
              <w:pStyle w:val="table"/>
            </w:pPr>
            <w:r>
              <w:t>Техник-химик, младший те</w:t>
            </w:r>
            <w:r>
              <w:t>х</w:t>
            </w:r>
            <w:r>
              <w:t>ник-химик</w:t>
            </w:r>
          </w:p>
        </w:tc>
        <w:tc>
          <w:tcPr>
            <w:tcW w:w="1541" w:type="dxa"/>
            <w:vAlign w:val="bottom"/>
          </w:tcPr>
          <w:p w:rsidR="00000000" w:rsidRDefault="00000000">
            <w:pPr>
              <w:pStyle w:val="table"/>
              <w:tabs>
                <w:tab w:val="decimal" w:pos="773"/>
              </w:tabs>
            </w:pPr>
            <w:r>
              <w:t>6649</w:t>
            </w:r>
          </w:p>
        </w:tc>
        <w:tc>
          <w:tcPr>
            <w:tcW w:w="1541" w:type="dxa"/>
            <w:vAlign w:val="bottom"/>
          </w:tcPr>
          <w:p w:rsidR="00000000" w:rsidRDefault="00000000">
            <w:pPr>
              <w:pStyle w:val="table"/>
              <w:tabs>
                <w:tab w:val="decimal" w:pos="773"/>
              </w:tabs>
            </w:pPr>
            <w:r>
              <w:t>815</w:t>
            </w:r>
          </w:p>
        </w:tc>
        <w:tc>
          <w:tcPr>
            <w:tcW w:w="1541" w:type="dxa"/>
            <w:vAlign w:val="bottom"/>
          </w:tcPr>
          <w:p w:rsidR="00000000" w:rsidRDefault="00000000">
            <w:pPr>
              <w:pStyle w:val="table"/>
              <w:tabs>
                <w:tab w:val="decimal" w:pos="567"/>
              </w:tabs>
            </w:pPr>
            <w:r>
              <w:t>0,1</w:t>
            </w:r>
          </w:p>
        </w:tc>
        <w:tc>
          <w:tcPr>
            <w:tcW w:w="1541" w:type="dxa"/>
            <w:vAlign w:val="bottom"/>
          </w:tcPr>
          <w:p w:rsidR="00000000" w:rsidRDefault="00000000">
            <w:pPr>
              <w:pStyle w:val="table"/>
              <w:tabs>
                <w:tab w:val="decimal" w:pos="567"/>
              </w:tabs>
            </w:pPr>
            <w:r>
              <w:t>87,7</w:t>
            </w:r>
          </w:p>
        </w:tc>
        <w:tc>
          <w:tcPr>
            <w:tcW w:w="1536" w:type="dxa"/>
            <w:vAlign w:val="bottom"/>
          </w:tcPr>
          <w:p w:rsidR="00000000" w:rsidRDefault="00000000">
            <w:pPr>
              <w:pStyle w:val="table"/>
              <w:tabs>
                <w:tab w:val="decimal" w:pos="567"/>
              </w:tabs>
            </w:pPr>
            <w:r>
              <w:t>12,3</w:t>
            </w:r>
          </w:p>
        </w:tc>
      </w:tr>
      <w:tr w:rsidR="00000000">
        <w:tblPrEx>
          <w:tblCellMar>
            <w:top w:w="0" w:type="dxa"/>
            <w:bottom w:w="0" w:type="dxa"/>
          </w:tblCellMar>
        </w:tblPrEx>
        <w:tc>
          <w:tcPr>
            <w:tcW w:w="4490" w:type="dxa"/>
          </w:tcPr>
          <w:p w:rsidR="00000000" w:rsidRDefault="00000000">
            <w:pPr>
              <w:pStyle w:val="table"/>
            </w:pPr>
            <w:r>
              <w:t>Фермер</w:t>
            </w:r>
          </w:p>
        </w:tc>
        <w:tc>
          <w:tcPr>
            <w:tcW w:w="1541" w:type="dxa"/>
            <w:vAlign w:val="bottom"/>
          </w:tcPr>
          <w:p w:rsidR="00000000" w:rsidRDefault="00000000">
            <w:pPr>
              <w:pStyle w:val="table"/>
              <w:tabs>
                <w:tab w:val="decimal" w:pos="773"/>
              </w:tabs>
            </w:pPr>
            <w:r>
              <w:t>7867</w:t>
            </w:r>
          </w:p>
        </w:tc>
        <w:tc>
          <w:tcPr>
            <w:tcW w:w="1541" w:type="dxa"/>
            <w:vAlign w:val="bottom"/>
          </w:tcPr>
          <w:p w:rsidR="00000000" w:rsidRDefault="00000000">
            <w:pPr>
              <w:pStyle w:val="table"/>
              <w:tabs>
                <w:tab w:val="decimal" w:pos="773"/>
              </w:tabs>
            </w:pPr>
            <w:r>
              <w:t>732</w:t>
            </w:r>
          </w:p>
        </w:tc>
        <w:tc>
          <w:tcPr>
            <w:tcW w:w="1541" w:type="dxa"/>
            <w:vAlign w:val="bottom"/>
          </w:tcPr>
          <w:p w:rsidR="00000000" w:rsidRDefault="00000000">
            <w:pPr>
              <w:pStyle w:val="table"/>
              <w:tabs>
                <w:tab w:val="decimal" w:pos="567"/>
              </w:tabs>
            </w:pPr>
            <w:r>
              <w:t>0,1</w:t>
            </w:r>
          </w:p>
        </w:tc>
        <w:tc>
          <w:tcPr>
            <w:tcW w:w="1541" w:type="dxa"/>
            <w:vAlign w:val="bottom"/>
          </w:tcPr>
          <w:p w:rsidR="00000000" w:rsidRDefault="00000000">
            <w:pPr>
              <w:pStyle w:val="table"/>
              <w:tabs>
                <w:tab w:val="decimal" w:pos="567"/>
              </w:tabs>
            </w:pPr>
            <w:r>
              <w:t>90,7</w:t>
            </w:r>
          </w:p>
        </w:tc>
        <w:tc>
          <w:tcPr>
            <w:tcW w:w="1536" w:type="dxa"/>
            <w:vAlign w:val="bottom"/>
          </w:tcPr>
          <w:p w:rsidR="00000000" w:rsidRDefault="00000000">
            <w:pPr>
              <w:pStyle w:val="table"/>
              <w:tabs>
                <w:tab w:val="decimal" w:pos="567"/>
              </w:tabs>
            </w:pPr>
            <w:r>
              <w:t>9,3</w:t>
            </w:r>
          </w:p>
        </w:tc>
      </w:tr>
      <w:tr w:rsidR="00000000">
        <w:tblPrEx>
          <w:tblCellMar>
            <w:top w:w="0" w:type="dxa"/>
            <w:bottom w:w="0" w:type="dxa"/>
          </w:tblCellMar>
        </w:tblPrEx>
        <w:tc>
          <w:tcPr>
            <w:tcW w:w="4490" w:type="dxa"/>
          </w:tcPr>
          <w:p w:rsidR="00000000" w:rsidRDefault="00000000">
            <w:pPr>
              <w:pStyle w:val="table"/>
            </w:pPr>
            <w:r>
              <w:t>Специалист по электронным средствам связи, специ</w:t>
            </w:r>
            <w:r>
              <w:t>а</w:t>
            </w:r>
            <w:r>
              <w:t>лист по компьютерам и электронному оборудованию телеко</w:t>
            </w:r>
            <w:r>
              <w:t>м</w:t>
            </w:r>
            <w:r>
              <w:t>муникационных систем</w:t>
            </w:r>
          </w:p>
        </w:tc>
        <w:tc>
          <w:tcPr>
            <w:tcW w:w="1541" w:type="dxa"/>
            <w:vAlign w:val="bottom"/>
          </w:tcPr>
          <w:p w:rsidR="00000000" w:rsidRDefault="00000000">
            <w:pPr>
              <w:pStyle w:val="table"/>
              <w:tabs>
                <w:tab w:val="decimal" w:pos="773"/>
              </w:tabs>
            </w:pPr>
            <w:r>
              <w:t>16 424</w:t>
            </w:r>
          </w:p>
        </w:tc>
        <w:tc>
          <w:tcPr>
            <w:tcW w:w="1541" w:type="dxa"/>
            <w:vAlign w:val="bottom"/>
          </w:tcPr>
          <w:p w:rsidR="00000000" w:rsidRDefault="00000000">
            <w:pPr>
              <w:pStyle w:val="table"/>
              <w:tabs>
                <w:tab w:val="decimal" w:pos="773"/>
              </w:tabs>
            </w:pPr>
            <w:r>
              <w:t>622</w:t>
            </w:r>
          </w:p>
        </w:tc>
        <w:tc>
          <w:tcPr>
            <w:tcW w:w="1541" w:type="dxa"/>
            <w:vAlign w:val="bottom"/>
          </w:tcPr>
          <w:p w:rsidR="00000000" w:rsidRDefault="00000000">
            <w:pPr>
              <w:pStyle w:val="table"/>
              <w:tabs>
                <w:tab w:val="decimal" w:pos="567"/>
              </w:tabs>
            </w:pPr>
            <w:r>
              <w:t>0,1</w:t>
            </w:r>
          </w:p>
        </w:tc>
        <w:tc>
          <w:tcPr>
            <w:tcW w:w="1541" w:type="dxa"/>
            <w:vAlign w:val="bottom"/>
          </w:tcPr>
          <w:p w:rsidR="00000000" w:rsidRDefault="00000000">
            <w:pPr>
              <w:pStyle w:val="table"/>
              <w:tabs>
                <w:tab w:val="decimal" w:pos="567"/>
              </w:tabs>
            </w:pPr>
            <w:r>
              <w:t>96,2</w:t>
            </w:r>
          </w:p>
        </w:tc>
        <w:tc>
          <w:tcPr>
            <w:tcW w:w="1536" w:type="dxa"/>
            <w:vAlign w:val="bottom"/>
          </w:tcPr>
          <w:p w:rsidR="00000000" w:rsidRDefault="00000000">
            <w:pPr>
              <w:pStyle w:val="table"/>
              <w:tabs>
                <w:tab w:val="decimal" w:pos="567"/>
              </w:tabs>
            </w:pPr>
            <w:r>
              <w:t>3,8</w:t>
            </w:r>
          </w:p>
        </w:tc>
      </w:tr>
      <w:tr w:rsidR="00000000">
        <w:tblPrEx>
          <w:tblCellMar>
            <w:top w:w="0" w:type="dxa"/>
            <w:bottom w:w="0" w:type="dxa"/>
          </w:tblCellMar>
        </w:tblPrEx>
        <w:tc>
          <w:tcPr>
            <w:tcW w:w="4490" w:type="dxa"/>
          </w:tcPr>
          <w:p w:rsidR="00000000" w:rsidRDefault="00000000">
            <w:pPr>
              <w:pStyle w:val="table"/>
            </w:pPr>
            <w:r>
              <w:t>Промышленный механик по проектированию машин и систем, инженер-механик</w:t>
            </w:r>
          </w:p>
        </w:tc>
        <w:tc>
          <w:tcPr>
            <w:tcW w:w="1541" w:type="dxa"/>
            <w:vAlign w:val="bottom"/>
          </w:tcPr>
          <w:p w:rsidR="00000000" w:rsidRDefault="00000000">
            <w:pPr>
              <w:pStyle w:val="table"/>
              <w:tabs>
                <w:tab w:val="decimal" w:pos="773"/>
              </w:tabs>
            </w:pPr>
            <w:r>
              <w:t>28 816</w:t>
            </w:r>
          </w:p>
        </w:tc>
        <w:tc>
          <w:tcPr>
            <w:tcW w:w="1541" w:type="dxa"/>
            <w:vAlign w:val="bottom"/>
          </w:tcPr>
          <w:p w:rsidR="00000000" w:rsidRDefault="00000000">
            <w:pPr>
              <w:pStyle w:val="table"/>
              <w:tabs>
                <w:tab w:val="decimal" w:pos="773"/>
              </w:tabs>
            </w:pPr>
            <w:r>
              <w:t>616</w:t>
            </w:r>
          </w:p>
        </w:tc>
        <w:tc>
          <w:tcPr>
            <w:tcW w:w="1541" w:type="dxa"/>
            <w:vAlign w:val="bottom"/>
          </w:tcPr>
          <w:p w:rsidR="00000000" w:rsidRDefault="00000000">
            <w:pPr>
              <w:pStyle w:val="table"/>
              <w:tabs>
                <w:tab w:val="decimal" w:pos="567"/>
              </w:tabs>
            </w:pPr>
            <w:r>
              <w:t>0,1</w:t>
            </w:r>
          </w:p>
        </w:tc>
        <w:tc>
          <w:tcPr>
            <w:tcW w:w="1541" w:type="dxa"/>
            <w:vAlign w:val="bottom"/>
          </w:tcPr>
          <w:p w:rsidR="00000000" w:rsidRDefault="00000000">
            <w:pPr>
              <w:pStyle w:val="table"/>
              <w:tabs>
                <w:tab w:val="decimal" w:pos="567"/>
              </w:tabs>
            </w:pPr>
            <w:r>
              <w:t>97,9</w:t>
            </w:r>
          </w:p>
        </w:tc>
        <w:tc>
          <w:tcPr>
            <w:tcW w:w="1536" w:type="dxa"/>
            <w:vAlign w:val="bottom"/>
          </w:tcPr>
          <w:p w:rsidR="00000000" w:rsidRDefault="00000000">
            <w:pPr>
              <w:pStyle w:val="table"/>
              <w:tabs>
                <w:tab w:val="decimal" w:pos="567"/>
              </w:tabs>
            </w:pPr>
            <w:r>
              <w:t>2,1</w:t>
            </w:r>
          </w:p>
        </w:tc>
      </w:tr>
      <w:tr w:rsidR="00000000">
        <w:tblPrEx>
          <w:tblCellMar>
            <w:top w:w="0" w:type="dxa"/>
            <w:bottom w:w="0" w:type="dxa"/>
          </w:tblCellMar>
        </w:tblPrEx>
        <w:tc>
          <w:tcPr>
            <w:tcW w:w="4490" w:type="dxa"/>
            <w:tcBorders>
              <w:bottom w:val="single" w:sz="12" w:space="0" w:color="auto"/>
            </w:tcBorders>
          </w:tcPr>
          <w:p w:rsidR="00000000" w:rsidRDefault="00000000">
            <w:pPr>
              <w:pStyle w:val="table"/>
            </w:pPr>
            <w:r>
              <w:t>Слесарь по точным инструментам, инженер-механик по проектированию оборудования и точной аппарат</w:t>
            </w:r>
            <w:r>
              <w:t>у</w:t>
            </w:r>
            <w:r>
              <w:t>ры, формовщик по м</w:t>
            </w:r>
            <w:r>
              <w:t>е</w:t>
            </w:r>
            <w:r>
              <w:t>таллу</w:t>
            </w:r>
          </w:p>
        </w:tc>
        <w:tc>
          <w:tcPr>
            <w:tcW w:w="1541" w:type="dxa"/>
            <w:tcBorders>
              <w:bottom w:val="single" w:sz="12" w:space="0" w:color="auto"/>
            </w:tcBorders>
            <w:vAlign w:val="bottom"/>
          </w:tcPr>
          <w:p w:rsidR="00000000" w:rsidRDefault="00000000">
            <w:pPr>
              <w:pStyle w:val="table"/>
              <w:tabs>
                <w:tab w:val="decimal" w:pos="773"/>
              </w:tabs>
            </w:pPr>
            <w:r>
              <w:t>11 110</w:t>
            </w:r>
          </w:p>
        </w:tc>
        <w:tc>
          <w:tcPr>
            <w:tcW w:w="1541" w:type="dxa"/>
            <w:tcBorders>
              <w:bottom w:val="single" w:sz="12" w:space="0" w:color="auto"/>
            </w:tcBorders>
            <w:vAlign w:val="bottom"/>
          </w:tcPr>
          <w:p w:rsidR="00000000" w:rsidRDefault="00000000">
            <w:pPr>
              <w:pStyle w:val="table"/>
              <w:tabs>
                <w:tab w:val="decimal" w:pos="773"/>
              </w:tabs>
            </w:pPr>
            <w:r>
              <w:t>616</w:t>
            </w:r>
          </w:p>
        </w:tc>
        <w:tc>
          <w:tcPr>
            <w:tcW w:w="1541" w:type="dxa"/>
            <w:tcBorders>
              <w:bottom w:val="single" w:sz="12" w:space="0" w:color="auto"/>
            </w:tcBorders>
            <w:vAlign w:val="bottom"/>
          </w:tcPr>
          <w:p w:rsidR="00000000" w:rsidRDefault="00000000">
            <w:pPr>
              <w:pStyle w:val="table"/>
              <w:tabs>
                <w:tab w:val="decimal" w:pos="567"/>
              </w:tabs>
            </w:pPr>
            <w:r>
              <w:t>0,1</w:t>
            </w:r>
          </w:p>
        </w:tc>
        <w:tc>
          <w:tcPr>
            <w:tcW w:w="1541" w:type="dxa"/>
            <w:tcBorders>
              <w:bottom w:val="single" w:sz="12" w:space="0" w:color="auto"/>
            </w:tcBorders>
            <w:vAlign w:val="bottom"/>
          </w:tcPr>
          <w:p w:rsidR="00000000" w:rsidRDefault="00000000">
            <w:pPr>
              <w:pStyle w:val="table"/>
              <w:tabs>
                <w:tab w:val="decimal" w:pos="567"/>
              </w:tabs>
            </w:pPr>
            <w:r>
              <w:t>93,6</w:t>
            </w:r>
          </w:p>
        </w:tc>
        <w:tc>
          <w:tcPr>
            <w:tcW w:w="1536" w:type="dxa"/>
            <w:tcBorders>
              <w:bottom w:val="single" w:sz="12" w:space="0" w:color="auto"/>
            </w:tcBorders>
            <w:vAlign w:val="bottom"/>
          </w:tcPr>
          <w:p w:rsidR="00000000" w:rsidRDefault="00000000">
            <w:pPr>
              <w:pStyle w:val="table"/>
              <w:tabs>
                <w:tab w:val="decimal" w:pos="567"/>
              </w:tabs>
            </w:pPr>
            <w:r>
              <w:t>6,1</w:t>
            </w:r>
          </w:p>
        </w:tc>
      </w:tr>
    </w:tbl>
    <w:p w:rsidR="00000000" w:rsidRDefault="00000000">
      <w:pPr>
        <w:pStyle w:val="istochnik"/>
        <w:tabs>
          <w:tab w:val="clear" w:pos="1267"/>
        </w:tabs>
        <w:ind w:left="0"/>
      </w:pPr>
      <w:r>
        <w:rPr>
          <w:i/>
        </w:rPr>
        <w:t>Источник</w:t>
      </w:r>
      <w:r>
        <w:t xml:space="preserve">: Федеральное статистическое управление, расчеты проведены </w:t>
      </w:r>
      <w:r>
        <w:rPr>
          <w:lang w:val="en-US"/>
        </w:rPr>
        <w:t>i</w:t>
      </w:r>
      <w:r>
        <w:t>-</w:t>
      </w:r>
      <w:r>
        <w:rPr>
          <w:lang w:val="en-US"/>
        </w:rPr>
        <w:t>Punkt</w:t>
      </w:r>
    </w:p>
    <w:p w:rsidR="00000000" w:rsidRDefault="00000000">
      <w:pPr>
        <w:pStyle w:val="H23"/>
        <w:pageBreakBefore/>
        <w:ind w:left="0" w:firstLine="0"/>
      </w:pPr>
      <w:bookmarkStart w:id="733" w:name="_Toc44113566"/>
      <w:bookmarkStart w:id="734" w:name="_Toc44113867"/>
      <w:bookmarkStart w:id="735" w:name="_Toc44114375"/>
      <w:bookmarkStart w:id="736" w:name="_Toc44115621"/>
      <w:bookmarkStart w:id="737" w:name="_Toc44116053"/>
      <w:r>
        <w:t>Таблица 4.2.3 Слушатели, заключившие в 2001 году новые контракты на получение профессиональной подготовки по д</w:t>
      </w:r>
      <w:r>
        <w:t>е</w:t>
      </w:r>
      <w:r>
        <w:t>сяти наиболее распространенным профессиям</w:t>
      </w:r>
      <w:bookmarkEnd w:id="733"/>
      <w:bookmarkEnd w:id="734"/>
      <w:bookmarkEnd w:id="735"/>
      <w:bookmarkEnd w:id="736"/>
      <w:bookmarkEnd w:id="737"/>
    </w:p>
    <w:tbl>
      <w:tblPr>
        <w:tblW w:w="0" w:type="auto"/>
        <w:tblInd w:w="2" w:type="dxa"/>
        <w:tblLayout w:type="fixed"/>
        <w:tblLook w:val="0000" w:firstRow="0" w:lastRow="0" w:firstColumn="0" w:lastColumn="0" w:noHBand="0" w:noVBand="0"/>
      </w:tblPr>
      <w:tblGrid>
        <w:gridCol w:w="3913"/>
        <w:gridCol w:w="2026"/>
        <w:gridCol w:w="478"/>
        <w:gridCol w:w="3808"/>
        <w:gridCol w:w="1965"/>
      </w:tblGrid>
      <w:tr w:rsidR="00000000">
        <w:tblPrEx>
          <w:tblCellMar>
            <w:top w:w="0" w:type="dxa"/>
            <w:bottom w:w="0" w:type="dxa"/>
          </w:tblCellMar>
        </w:tblPrEx>
        <w:tc>
          <w:tcPr>
            <w:tcW w:w="3913" w:type="dxa"/>
            <w:tcBorders>
              <w:top w:val="single" w:sz="6" w:space="0" w:color="auto"/>
              <w:bottom w:val="single" w:sz="6" w:space="0" w:color="auto"/>
            </w:tcBorders>
          </w:tcPr>
          <w:p w:rsidR="00000000" w:rsidRDefault="00000000">
            <w:pPr>
              <w:pStyle w:val="table"/>
            </w:pPr>
            <w:r>
              <w:t>Мужчины</w:t>
            </w:r>
          </w:p>
        </w:tc>
        <w:tc>
          <w:tcPr>
            <w:tcW w:w="2026" w:type="dxa"/>
            <w:tcBorders>
              <w:top w:val="single" w:sz="6" w:space="0" w:color="auto"/>
              <w:bottom w:val="single" w:sz="6" w:space="0" w:color="auto"/>
            </w:tcBorders>
          </w:tcPr>
          <w:p w:rsidR="00000000" w:rsidRDefault="00000000">
            <w:pPr>
              <w:pStyle w:val="table"/>
            </w:pPr>
          </w:p>
        </w:tc>
        <w:tc>
          <w:tcPr>
            <w:tcW w:w="478" w:type="dxa"/>
            <w:tcBorders>
              <w:top w:val="single" w:sz="4" w:space="0" w:color="auto"/>
            </w:tcBorders>
          </w:tcPr>
          <w:p w:rsidR="00000000" w:rsidRDefault="00000000">
            <w:pPr>
              <w:pStyle w:val="table"/>
            </w:pPr>
          </w:p>
        </w:tc>
        <w:tc>
          <w:tcPr>
            <w:tcW w:w="3808" w:type="dxa"/>
            <w:tcBorders>
              <w:top w:val="single" w:sz="6" w:space="0" w:color="auto"/>
              <w:bottom w:val="single" w:sz="6" w:space="0" w:color="auto"/>
            </w:tcBorders>
          </w:tcPr>
          <w:p w:rsidR="00000000" w:rsidRDefault="00000000">
            <w:pPr>
              <w:pStyle w:val="table"/>
            </w:pPr>
            <w:r>
              <w:t>Женщины</w:t>
            </w:r>
          </w:p>
        </w:tc>
        <w:tc>
          <w:tcPr>
            <w:tcW w:w="1965" w:type="dxa"/>
            <w:tcBorders>
              <w:top w:val="single" w:sz="6" w:space="0" w:color="auto"/>
              <w:bottom w:val="single" w:sz="6" w:space="0" w:color="auto"/>
            </w:tcBorders>
          </w:tcPr>
          <w:p w:rsidR="00000000" w:rsidRDefault="00000000">
            <w:pPr>
              <w:pStyle w:val="table"/>
            </w:pPr>
          </w:p>
        </w:tc>
      </w:tr>
      <w:tr w:rsidR="00000000">
        <w:tblPrEx>
          <w:tblCellMar>
            <w:top w:w="0" w:type="dxa"/>
            <w:bottom w:w="0" w:type="dxa"/>
          </w:tblCellMar>
        </w:tblPrEx>
        <w:tc>
          <w:tcPr>
            <w:tcW w:w="3913" w:type="dxa"/>
            <w:tcBorders>
              <w:top w:val="single" w:sz="6" w:space="0" w:color="auto"/>
              <w:bottom w:val="single" w:sz="12" w:space="0" w:color="auto"/>
            </w:tcBorders>
          </w:tcPr>
          <w:p w:rsidR="00000000" w:rsidRDefault="00000000">
            <w:pPr>
              <w:pStyle w:val="table"/>
            </w:pPr>
            <w:r>
              <w:t>Вид профессионал</w:t>
            </w:r>
            <w:r>
              <w:t>ь</w:t>
            </w:r>
            <w:r>
              <w:t>ной подготовки</w:t>
            </w:r>
          </w:p>
        </w:tc>
        <w:tc>
          <w:tcPr>
            <w:tcW w:w="2026" w:type="dxa"/>
            <w:tcBorders>
              <w:top w:val="single" w:sz="6" w:space="0" w:color="auto"/>
              <w:bottom w:val="single" w:sz="12" w:space="0" w:color="auto"/>
            </w:tcBorders>
          </w:tcPr>
          <w:p w:rsidR="00000000" w:rsidRDefault="00000000">
            <w:pPr>
              <w:pStyle w:val="table"/>
            </w:pPr>
            <w:r>
              <w:t>Общая доля мужчин-слушателей в %</w:t>
            </w:r>
          </w:p>
        </w:tc>
        <w:tc>
          <w:tcPr>
            <w:tcW w:w="478" w:type="dxa"/>
            <w:tcBorders>
              <w:bottom w:val="single" w:sz="12" w:space="0" w:color="auto"/>
            </w:tcBorders>
          </w:tcPr>
          <w:p w:rsidR="00000000" w:rsidRDefault="00000000">
            <w:pPr>
              <w:pStyle w:val="table"/>
            </w:pPr>
          </w:p>
        </w:tc>
        <w:tc>
          <w:tcPr>
            <w:tcW w:w="3808" w:type="dxa"/>
            <w:tcBorders>
              <w:top w:val="single" w:sz="6" w:space="0" w:color="auto"/>
              <w:bottom w:val="single" w:sz="12" w:space="0" w:color="auto"/>
            </w:tcBorders>
          </w:tcPr>
          <w:p w:rsidR="00000000" w:rsidRDefault="00000000">
            <w:pPr>
              <w:pStyle w:val="table"/>
            </w:pPr>
            <w:r>
              <w:t>Вид профессиональной подгото</w:t>
            </w:r>
            <w:r>
              <w:t>в</w:t>
            </w:r>
            <w:r>
              <w:t>ки</w:t>
            </w:r>
          </w:p>
        </w:tc>
        <w:tc>
          <w:tcPr>
            <w:tcW w:w="1965" w:type="dxa"/>
            <w:tcBorders>
              <w:top w:val="single" w:sz="6" w:space="0" w:color="auto"/>
              <w:bottom w:val="single" w:sz="12" w:space="0" w:color="auto"/>
            </w:tcBorders>
          </w:tcPr>
          <w:p w:rsidR="00000000" w:rsidRDefault="00000000">
            <w:pPr>
              <w:pStyle w:val="table"/>
            </w:pPr>
            <w:r>
              <w:t>Общая доля женщин-слушателей в %</w:t>
            </w:r>
          </w:p>
        </w:tc>
      </w:tr>
      <w:tr w:rsidR="00000000">
        <w:tblPrEx>
          <w:tblCellMar>
            <w:top w:w="0" w:type="dxa"/>
            <w:bottom w:w="0" w:type="dxa"/>
          </w:tblCellMar>
        </w:tblPrEx>
        <w:tc>
          <w:tcPr>
            <w:tcW w:w="3913" w:type="dxa"/>
            <w:tcBorders>
              <w:top w:val="single" w:sz="12" w:space="0" w:color="auto"/>
            </w:tcBorders>
          </w:tcPr>
          <w:p w:rsidR="00000000" w:rsidRDefault="00000000">
            <w:pPr>
              <w:pStyle w:val="table"/>
            </w:pPr>
            <w:r>
              <w:t>Автомеханик</w:t>
            </w:r>
          </w:p>
        </w:tc>
        <w:tc>
          <w:tcPr>
            <w:tcW w:w="2026" w:type="dxa"/>
            <w:tcBorders>
              <w:top w:val="single" w:sz="12" w:space="0" w:color="auto"/>
            </w:tcBorders>
            <w:vAlign w:val="bottom"/>
          </w:tcPr>
          <w:p w:rsidR="00000000" w:rsidRDefault="00000000">
            <w:pPr>
              <w:pStyle w:val="table"/>
              <w:tabs>
                <w:tab w:val="decimal" w:pos="799"/>
              </w:tabs>
            </w:pPr>
            <w:r>
              <w:t>6,2</w:t>
            </w:r>
          </w:p>
        </w:tc>
        <w:tc>
          <w:tcPr>
            <w:tcW w:w="478" w:type="dxa"/>
            <w:tcBorders>
              <w:top w:val="single" w:sz="12" w:space="0" w:color="auto"/>
            </w:tcBorders>
          </w:tcPr>
          <w:p w:rsidR="00000000" w:rsidRDefault="00000000">
            <w:pPr>
              <w:pStyle w:val="table"/>
            </w:pPr>
          </w:p>
        </w:tc>
        <w:tc>
          <w:tcPr>
            <w:tcW w:w="3808" w:type="dxa"/>
            <w:tcBorders>
              <w:top w:val="single" w:sz="12" w:space="0" w:color="auto"/>
            </w:tcBorders>
          </w:tcPr>
          <w:p w:rsidR="00000000" w:rsidRDefault="00000000">
            <w:pPr>
              <w:pStyle w:val="table"/>
            </w:pPr>
            <w:r>
              <w:t>Работник о</w:t>
            </w:r>
            <w:r>
              <w:t>б</w:t>
            </w:r>
            <w:r>
              <w:t>щего профиля</w:t>
            </w:r>
          </w:p>
        </w:tc>
        <w:tc>
          <w:tcPr>
            <w:tcW w:w="1965" w:type="dxa"/>
            <w:tcBorders>
              <w:top w:val="single" w:sz="12" w:space="0" w:color="auto"/>
            </w:tcBorders>
            <w:vAlign w:val="bottom"/>
          </w:tcPr>
          <w:p w:rsidR="00000000" w:rsidRDefault="00000000">
            <w:pPr>
              <w:pStyle w:val="table"/>
              <w:tabs>
                <w:tab w:val="decimal" w:pos="866"/>
              </w:tabs>
            </w:pPr>
            <w:r>
              <w:t>7,6</w:t>
            </w:r>
          </w:p>
        </w:tc>
      </w:tr>
      <w:tr w:rsidR="00000000">
        <w:tblPrEx>
          <w:tblCellMar>
            <w:top w:w="0" w:type="dxa"/>
            <w:bottom w:w="0" w:type="dxa"/>
          </w:tblCellMar>
        </w:tblPrEx>
        <w:tc>
          <w:tcPr>
            <w:tcW w:w="3913" w:type="dxa"/>
          </w:tcPr>
          <w:p w:rsidR="00000000" w:rsidRDefault="00000000">
            <w:pPr>
              <w:pStyle w:val="table"/>
            </w:pPr>
            <w:r>
              <w:t>Маляр и лак</w:t>
            </w:r>
            <w:r>
              <w:t>и</w:t>
            </w:r>
            <w:r>
              <w:t>ровщик</w:t>
            </w:r>
          </w:p>
        </w:tc>
        <w:tc>
          <w:tcPr>
            <w:tcW w:w="2026" w:type="dxa"/>
            <w:vAlign w:val="bottom"/>
          </w:tcPr>
          <w:p w:rsidR="00000000" w:rsidRDefault="00000000">
            <w:pPr>
              <w:pStyle w:val="table"/>
              <w:tabs>
                <w:tab w:val="decimal" w:pos="799"/>
              </w:tabs>
            </w:pPr>
            <w:r>
              <w:t>4,1</w:t>
            </w:r>
          </w:p>
        </w:tc>
        <w:tc>
          <w:tcPr>
            <w:tcW w:w="478" w:type="dxa"/>
          </w:tcPr>
          <w:p w:rsidR="00000000" w:rsidRDefault="00000000">
            <w:pPr>
              <w:pStyle w:val="table"/>
            </w:pPr>
          </w:p>
        </w:tc>
        <w:tc>
          <w:tcPr>
            <w:tcW w:w="3808" w:type="dxa"/>
          </w:tcPr>
          <w:p w:rsidR="00000000" w:rsidRDefault="00000000">
            <w:pPr>
              <w:pStyle w:val="table"/>
            </w:pPr>
            <w:r>
              <w:t>Продавец</w:t>
            </w:r>
          </w:p>
        </w:tc>
        <w:tc>
          <w:tcPr>
            <w:tcW w:w="1965" w:type="dxa"/>
            <w:vAlign w:val="bottom"/>
          </w:tcPr>
          <w:p w:rsidR="00000000" w:rsidRDefault="00000000">
            <w:pPr>
              <w:pStyle w:val="table"/>
              <w:tabs>
                <w:tab w:val="decimal" w:pos="866"/>
              </w:tabs>
            </w:pPr>
            <w:r>
              <w:t>7,2</w:t>
            </w:r>
          </w:p>
        </w:tc>
      </w:tr>
      <w:tr w:rsidR="00000000">
        <w:tblPrEx>
          <w:tblCellMar>
            <w:top w:w="0" w:type="dxa"/>
            <w:bottom w:w="0" w:type="dxa"/>
          </w:tblCellMar>
        </w:tblPrEx>
        <w:tc>
          <w:tcPr>
            <w:tcW w:w="3913" w:type="dxa"/>
          </w:tcPr>
          <w:p w:rsidR="00000000" w:rsidRDefault="00000000">
            <w:pPr>
              <w:pStyle w:val="table"/>
            </w:pPr>
            <w:r>
              <w:t>Электрик</w:t>
            </w:r>
          </w:p>
        </w:tc>
        <w:tc>
          <w:tcPr>
            <w:tcW w:w="2026" w:type="dxa"/>
            <w:vAlign w:val="bottom"/>
          </w:tcPr>
          <w:p w:rsidR="00000000" w:rsidRDefault="00000000">
            <w:pPr>
              <w:pStyle w:val="table"/>
              <w:tabs>
                <w:tab w:val="decimal" w:pos="799"/>
              </w:tabs>
            </w:pPr>
            <w:r>
              <w:t>3,8</w:t>
            </w:r>
          </w:p>
        </w:tc>
        <w:tc>
          <w:tcPr>
            <w:tcW w:w="478" w:type="dxa"/>
          </w:tcPr>
          <w:p w:rsidR="00000000" w:rsidRDefault="00000000">
            <w:pPr>
              <w:pStyle w:val="table"/>
            </w:pPr>
          </w:p>
        </w:tc>
        <w:tc>
          <w:tcPr>
            <w:tcW w:w="3808" w:type="dxa"/>
          </w:tcPr>
          <w:p w:rsidR="00000000" w:rsidRDefault="00000000">
            <w:pPr>
              <w:pStyle w:val="table"/>
            </w:pPr>
            <w:r>
              <w:t>Парикмахер</w:t>
            </w:r>
          </w:p>
        </w:tc>
        <w:tc>
          <w:tcPr>
            <w:tcW w:w="1965" w:type="dxa"/>
            <w:vAlign w:val="bottom"/>
          </w:tcPr>
          <w:p w:rsidR="00000000" w:rsidRDefault="00000000">
            <w:pPr>
              <w:pStyle w:val="table"/>
              <w:tabs>
                <w:tab w:val="decimal" w:pos="866"/>
              </w:tabs>
            </w:pPr>
            <w:r>
              <w:t>6,7</w:t>
            </w:r>
          </w:p>
        </w:tc>
      </w:tr>
      <w:tr w:rsidR="00000000">
        <w:tblPrEx>
          <w:tblCellMar>
            <w:top w:w="0" w:type="dxa"/>
            <w:bottom w:w="0" w:type="dxa"/>
          </w:tblCellMar>
        </w:tblPrEx>
        <w:tc>
          <w:tcPr>
            <w:tcW w:w="3913" w:type="dxa"/>
          </w:tcPr>
          <w:p w:rsidR="00000000" w:rsidRDefault="00000000">
            <w:pPr>
              <w:pStyle w:val="table"/>
            </w:pPr>
            <w:r>
              <w:t>Продавец</w:t>
            </w:r>
          </w:p>
        </w:tc>
        <w:tc>
          <w:tcPr>
            <w:tcW w:w="2026" w:type="dxa"/>
            <w:vAlign w:val="bottom"/>
          </w:tcPr>
          <w:p w:rsidR="00000000" w:rsidRDefault="00000000">
            <w:pPr>
              <w:pStyle w:val="table"/>
              <w:tabs>
                <w:tab w:val="decimal" w:pos="799"/>
              </w:tabs>
            </w:pPr>
            <w:r>
              <w:t>3,8</w:t>
            </w:r>
          </w:p>
        </w:tc>
        <w:tc>
          <w:tcPr>
            <w:tcW w:w="478" w:type="dxa"/>
          </w:tcPr>
          <w:p w:rsidR="00000000" w:rsidRDefault="00000000">
            <w:pPr>
              <w:pStyle w:val="table"/>
            </w:pPr>
          </w:p>
        </w:tc>
        <w:tc>
          <w:tcPr>
            <w:tcW w:w="3808" w:type="dxa"/>
          </w:tcPr>
          <w:p w:rsidR="00000000" w:rsidRDefault="00000000">
            <w:pPr>
              <w:pStyle w:val="table"/>
            </w:pPr>
            <w:r>
              <w:t>Секретарь врача</w:t>
            </w:r>
          </w:p>
        </w:tc>
        <w:tc>
          <w:tcPr>
            <w:tcW w:w="1965" w:type="dxa"/>
            <w:vAlign w:val="bottom"/>
          </w:tcPr>
          <w:p w:rsidR="00000000" w:rsidRDefault="00000000">
            <w:pPr>
              <w:pStyle w:val="table"/>
              <w:tabs>
                <w:tab w:val="decimal" w:pos="866"/>
              </w:tabs>
            </w:pPr>
            <w:r>
              <w:t>6,1</w:t>
            </w:r>
          </w:p>
        </w:tc>
      </w:tr>
      <w:tr w:rsidR="00000000">
        <w:tblPrEx>
          <w:tblCellMar>
            <w:top w:w="0" w:type="dxa"/>
            <w:bottom w:w="0" w:type="dxa"/>
          </w:tblCellMar>
        </w:tblPrEx>
        <w:tc>
          <w:tcPr>
            <w:tcW w:w="3913" w:type="dxa"/>
          </w:tcPr>
          <w:p w:rsidR="00000000" w:rsidRDefault="00000000">
            <w:pPr>
              <w:pStyle w:val="table"/>
            </w:pPr>
            <w:r>
              <w:t>Столяр</w:t>
            </w:r>
          </w:p>
        </w:tc>
        <w:tc>
          <w:tcPr>
            <w:tcW w:w="2026" w:type="dxa"/>
            <w:vAlign w:val="bottom"/>
          </w:tcPr>
          <w:p w:rsidR="00000000" w:rsidRDefault="00000000">
            <w:pPr>
              <w:pStyle w:val="table"/>
              <w:tabs>
                <w:tab w:val="decimal" w:pos="799"/>
              </w:tabs>
            </w:pPr>
            <w:r>
              <w:t>3,6</w:t>
            </w:r>
          </w:p>
        </w:tc>
        <w:tc>
          <w:tcPr>
            <w:tcW w:w="478" w:type="dxa"/>
          </w:tcPr>
          <w:p w:rsidR="00000000" w:rsidRDefault="00000000">
            <w:pPr>
              <w:pStyle w:val="table"/>
            </w:pPr>
          </w:p>
        </w:tc>
        <w:tc>
          <w:tcPr>
            <w:tcW w:w="3808" w:type="dxa"/>
          </w:tcPr>
          <w:p w:rsidR="00000000" w:rsidRDefault="00000000">
            <w:pPr>
              <w:pStyle w:val="table"/>
            </w:pPr>
            <w:r>
              <w:t>Работник стоматологического каб</w:t>
            </w:r>
            <w:r>
              <w:t>и</w:t>
            </w:r>
            <w:r>
              <w:t>нета</w:t>
            </w:r>
          </w:p>
        </w:tc>
        <w:tc>
          <w:tcPr>
            <w:tcW w:w="1965" w:type="dxa"/>
            <w:vAlign w:val="bottom"/>
          </w:tcPr>
          <w:p w:rsidR="00000000" w:rsidRDefault="00000000">
            <w:pPr>
              <w:pStyle w:val="table"/>
              <w:tabs>
                <w:tab w:val="decimal" w:pos="866"/>
              </w:tabs>
            </w:pPr>
            <w:r>
              <w:t>5,5</w:t>
            </w:r>
          </w:p>
        </w:tc>
      </w:tr>
      <w:tr w:rsidR="00000000">
        <w:tblPrEx>
          <w:tblCellMar>
            <w:top w:w="0" w:type="dxa"/>
            <w:bottom w:w="0" w:type="dxa"/>
          </w:tblCellMar>
        </w:tblPrEx>
        <w:tc>
          <w:tcPr>
            <w:tcW w:w="3913" w:type="dxa"/>
          </w:tcPr>
          <w:p w:rsidR="00000000" w:rsidRDefault="00000000">
            <w:pPr>
              <w:pStyle w:val="table"/>
            </w:pPr>
            <w:r>
              <w:t>Повар</w:t>
            </w:r>
          </w:p>
        </w:tc>
        <w:tc>
          <w:tcPr>
            <w:tcW w:w="2026" w:type="dxa"/>
            <w:vAlign w:val="bottom"/>
          </w:tcPr>
          <w:p w:rsidR="00000000" w:rsidRDefault="00000000">
            <w:pPr>
              <w:pStyle w:val="table"/>
              <w:tabs>
                <w:tab w:val="decimal" w:pos="799"/>
              </w:tabs>
            </w:pPr>
            <w:r>
              <w:t>3,4</w:t>
            </w:r>
          </w:p>
        </w:tc>
        <w:tc>
          <w:tcPr>
            <w:tcW w:w="478" w:type="dxa"/>
          </w:tcPr>
          <w:p w:rsidR="00000000" w:rsidRDefault="00000000">
            <w:pPr>
              <w:pStyle w:val="table"/>
            </w:pPr>
          </w:p>
        </w:tc>
        <w:tc>
          <w:tcPr>
            <w:tcW w:w="3808" w:type="dxa"/>
          </w:tcPr>
          <w:p w:rsidR="00000000" w:rsidRDefault="00000000">
            <w:pPr>
              <w:pStyle w:val="table"/>
            </w:pPr>
            <w:r>
              <w:t>Квалифицированный административный с</w:t>
            </w:r>
            <w:r>
              <w:t>о</w:t>
            </w:r>
            <w:r>
              <w:t>трудник предпр</w:t>
            </w:r>
            <w:r>
              <w:t>и</w:t>
            </w:r>
            <w:r>
              <w:t>ятия</w:t>
            </w:r>
          </w:p>
        </w:tc>
        <w:tc>
          <w:tcPr>
            <w:tcW w:w="1965" w:type="dxa"/>
            <w:vAlign w:val="bottom"/>
          </w:tcPr>
          <w:p w:rsidR="00000000" w:rsidRDefault="00000000">
            <w:pPr>
              <w:pStyle w:val="table"/>
              <w:tabs>
                <w:tab w:val="decimal" w:pos="866"/>
              </w:tabs>
            </w:pPr>
            <w:r>
              <w:t>5,0</w:t>
            </w:r>
          </w:p>
        </w:tc>
      </w:tr>
      <w:tr w:rsidR="00000000">
        <w:tblPrEx>
          <w:tblCellMar>
            <w:top w:w="0" w:type="dxa"/>
            <w:bottom w:w="0" w:type="dxa"/>
          </w:tblCellMar>
        </w:tblPrEx>
        <w:tc>
          <w:tcPr>
            <w:tcW w:w="3913" w:type="dxa"/>
          </w:tcPr>
          <w:p w:rsidR="00000000" w:rsidRDefault="00000000">
            <w:pPr>
              <w:pStyle w:val="table"/>
            </w:pPr>
            <w:r>
              <w:t>Работник оптовой и внешней то</w:t>
            </w:r>
            <w:r>
              <w:t>р</w:t>
            </w:r>
            <w:r>
              <w:t>говли</w:t>
            </w:r>
          </w:p>
        </w:tc>
        <w:tc>
          <w:tcPr>
            <w:tcW w:w="2026" w:type="dxa"/>
            <w:vAlign w:val="bottom"/>
          </w:tcPr>
          <w:p w:rsidR="00000000" w:rsidRDefault="00000000">
            <w:pPr>
              <w:pStyle w:val="table"/>
              <w:tabs>
                <w:tab w:val="decimal" w:pos="799"/>
              </w:tabs>
            </w:pPr>
            <w:r>
              <w:t>2,7</w:t>
            </w:r>
          </w:p>
        </w:tc>
        <w:tc>
          <w:tcPr>
            <w:tcW w:w="478" w:type="dxa"/>
          </w:tcPr>
          <w:p w:rsidR="00000000" w:rsidRDefault="00000000">
            <w:pPr>
              <w:pStyle w:val="table"/>
            </w:pPr>
          </w:p>
        </w:tc>
        <w:tc>
          <w:tcPr>
            <w:tcW w:w="3808" w:type="dxa"/>
          </w:tcPr>
          <w:p w:rsidR="00000000" w:rsidRDefault="00000000">
            <w:pPr>
              <w:pStyle w:val="table"/>
            </w:pPr>
            <w:r>
              <w:t>Квалифицированный продавец продовольс</w:t>
            </w:r>
            <w:r>
              <w:t>т</w:t>
            </w:r>
            <w:r>
              <w:t>венных т</w:t>
            </w:r>
            <w:r>
              <w:t>о</w:t>
            </w:r>
            <w:r>
              <w:t>варов</w:t>
            </w:r>
          </w:p>
        </w:tc>
        <w:tc>
          <w:tcPr>
            <w:tcW w:w="1965" w:type="dxa"/>
            <w:vAlign w:val="bottom"/>
          </w:tcPr>
          <w:p w:rsidR="00000000" w:rsidRDefault="00000000">
            <w:pPr>
              <w:pStyle w:val="table"/>
              <w:tabs>
                <w:tab w:val="decimal" w:pos="866"/>
              </w:tabs>
            </w:pPr>
            <w:r>
              <w:t>4,0</w:t>
            </w:r>
          </w:p>
        </w:tc>
      </w:tr>
      <w:tr w:rsidR="00000000">
        <w:tblPrEx>
          <w:tblCellMar>
            <w:top w:w="0" w:type="dxa"/>
            <w:bottom w:w="0" w:type="dxa"/>
          </w:tblCellMar>
        </w:tblPrEx>
        <w:tc>
          <w:tcPr>
            <w:tcW w:w="3913" w:type="dxa"/>
          </w:tcPr>
          <w:p w:rsidR="00000000" w:rsidRDefault="00000000">
            <w:pPr>
              <w:pStyle w:val="table"/>
            </w:pPr>
            <w:r>
              <w:t>Специалист по ко</w:t>
            </w:r>
            <w:r>
              <w:t>м</w:t>
            </w:r>
            <w:r>
              <w:t>пьютерам</w:t>
            </w:r>
          </w:p>
        </w:tc>
        <w:tc>
          <w:tcPr>
            <w:tcW w:w="2026" w:type="dxa"/>
            <w:vAlign w:val="bottom"/>
          </w:tcPr>
          <w:p w:rsidR="00000000" w:rsidRDefault="00000000">
            <w:pPr>
              <w:pStyle w:val="table"/>
              <w:tabs>
                <w:tab w:val="decimal" w:pos="799"/>
              </w:tabs>
            </w:pPr>
            <w:r>
              <w:t>2,7</w:t>
            </w:r>
          </w:p>
        </w:tc>
        <w:tc>
          <w:tcPr>
            <w:tcW w:w="478" w:type="dxa"/>
          </w:tcPr>
          <w:p w:rsidR="00000000" w:rsidRDefault="00000000">
            <w:pPr>
              <w:pStyle w:val="table"/>
            </w:pPr>
          </w:p>
        </w:tc>
        <w:tc>
          <w:tcPr>
            <w:tcW w:w="3808" w:type="dxa"/>
          </w:tcPr>
          <w:p w:rsidR="00000000" w:rsidRDefault="00000000">
            <w:pPr>
              <w:pStyle w:val="table"/>
            </w:pPr>
            <w:r>
              <w:t>Административный сотрудник по вопросам связей</w:t>
            </w:r>
          </w:p>
        </w:tc>
        <w:tc>
          <w:tcPr>
            <w:tcW w:w="1965" w:type="dxa"/>
            <w:vAlign w:val="bottom"/>
          </w:tcPr>
          <w:p w:rsidR="00000000" w:rsidRDefault="00000000">
            <w:pPr>
              <w:pStyle w:val="table"/>
              <w:tabs>
                <w:tab w:val="decimal" w:pos="866"/>
              </w:tabs>
            </w:pPr>
            <w:r>
              <w:t>3,9</w:t>
            </w:r>
          </w:p>
        </w:tc>
      </w:tr>
      <w:tr w:rsidR="00000000">
        <w:tblPrEx>
          <w:tblCellMar>
            <w:top w:w="0" w:type="dxa"/>
            <w:bottom w:w="0" w:type="dxa"/>
          </w:tblCellMar>
        </w:tblPrEx>
        <w:tc>
          <w:tcPr>
            <w:tcW w:w="3913" w:type="dxa"/>
          </w:tcPr>
          <w:p w:rsidR="00000000" w:rsidRDefault="00000000">
            <w:pPr>
              <w:pStyle w:val="table"/>
            </w:pPr>
            <w:r>
              <w:t>Слесарь</w:t>
            </w:r>
          </w:p>
        </w:tc>
        <w:tc>
          <w:tcPr>
            <w:tcW w:w="2026" w:type="dxa"/>
            <w:vAlign w:val="bottom"/>
          </w:tcPr>
          <w:p w:rsidR="00000000" w:rsidRDefault="00000000">
            <w:pPr>
              <w:pStyle w:val="table"/>
              <w:tabs>
                <w:tab w:val="decimal" w:pos="799"/>
              </w:tabs>
            </w:pPr>
            <w:r>
              <w:t>2,6</w:t>
            </w:r>
          </w:p>
        </w:tc>
        <w:tc>
          <w:tcPr>
            <w:tcW w:w="478" w:type="dxa"/>
          </w:tcPr>
          <w:p w:rsidR="00000000" w:rsidRDefault="00000000">
            <w:pPr>
              <w:pStyle w:val="table"/>
            </w:pPr>
          </w:p>
        </w:tc>
        <w:tc>
          <w:tcPr>
            <w:tcW w:w="3808" w:type="dxa"/>
          </w:tcPr>
          <w:p w:rsidR="00000000" w:rsidRDefault="00000000">
            <w:pPr>
              <w:pStyle w:val="table"/>
            </w:pPr>
            <w:r>
              <w:t>Продавец</w:t>
            </w:r>
          </w:p>
        </w:tc>
        <w:tc>
          <w:tcPr>
            <w:tcW w:w="1965" w:type="dxa"/>
            <w:vAlign w:val="bottom"/>
          </w:tcPr>
          <w:p w:rsidR="00000000" w:rsidRDefault="00000000">
            <w:pPr>
              <w:pStyle w:val="table"/>
              <w:tabs>
                <w:tab w:val="decimal" w:pos="866"/>
              </w:tabs>
            </w:pPr>
            <w:r>
              <w:t>3,8</w:t>
            </w:r>
          </w:p>
        </w:tc>
      </w:tr>
      <w:tr w:rsidR="00000000">
        <w:tblPrEx>
          <w:tblCellMar>
            <w:top w:w="0" w:type="dxa"/>
            <w:bottom w:w="0" w:type="dxa"/>
          </w:tblCellMar>
        </w:tblPrEx>
        <w:tc>
          <w:tcPr>
            <w:tcW w:w="3913" w:type="dxa"/>
          </w:tcPr>
          <w:p w:rsidR="00000000" w:rsidRDefault="00000000">
            <w:pPr>
              <w:pStyle w:val="table"/>
            </w:pPr>
            <w:r>
              <w:t>Каменщик</w:t>
            </w:r>
          </w:p>
        </w:tc>
        <w:tc>
          <w:tcPr>
            <w:tcW w:w="2026" w:type="dxa"/>
            <w:vAlign w:val="bottom"/>
          </w:tcPr>
          <w:p w:rsidR="00000000" w:rsidRDefault="00000000">
            <w:pPr>
              <w:pStyle w:val="table"/>
              <w:tabs>
                <w:tab w:val="decimal" w:pos="799"/>
              </w:tabs>
            </w:pPr>
            <w:r>
              <w:t>2,2</w:t>
            </w:r>
          </w:p>
        </w:tc>
        <w:tc>
          <w:tcPr>
            <w:tcW w:w="478" w:type="dxa"/>
          </w:tcPr>
          <w:p w:rsidR="00000000" w:rsidRDefault="00000000">
            <w:pPr>
              <w:pStyle w:val="table"/>
            </w:pPr>
          </w:p>
        </w:tc>
        <w:tc>
          <w:tcPr>
            <w:tcW w:w="3808" w:type="dxa"/>
          </w:tcPr>
          <w:p w:rsidR="00000000" w:rsidRDefault="00000000">
            <w:pPr>
              <w:pStyle w:val="table"/>
            </w:pPr>
            <w:r>
              <w:t>Квалифицированный работник гостиничного хозяйс</w:t>
            </w:r>
            <w:r>
              <w:t>т</w:t>
            </w:r>
            <w:r>
              <w:t>ва</w:t>
            </w:r>
          </w:p>
        </w:tc>
        <w:tc>
          <w:tcPr>
            <w:tcW w:w="1965" w:type="dxa"/>
            <w:vAlign w:val="bottom"/>
          </w:tcPr>
          <w:p w:rsidR="00000000" w:rsidRDefault="00000000">
            <w:pPr>
              <w:pStyle w:val="table"/>
              <w:tabs>
                <w:tab w:val="decimal" w:pos="866"/>
              </w:tabs>
            </w:pPr>
            <w:r>
              <w:t>3,8</w:t>
            </w:r>
          </w:p>
        </w:tc>
      </w:tr>
      <w:tr w:rsidR="00000000">
        <w:tblPrEx>
          <w:tblCellMar>
            <w:top w:w="0" w:type="dxa"/>
            <w:bottom w:w="0" w:type="dxa"/>
          </w:tblCellMar>
        </w:tblPrEx>
        <w:tc>
          <w:tcPr>
            <w:tcW w:w="3913" w:type="dxa"/>
            <w:tcBorders>
              <w:bottom w:val="single" w:sz="12" w:space="0" w:color="auto"/>
            </w:tcBorders>
          </w:tcPr>
          <w:p w:rsidR="00000000" w:rsidRDefault="00000000">
            <w:pPr>
              <w:pStyle w:val="table"/>
            </w:pPr>
            <w:r>
              <w:t>Общий показатель по десяти наиболее распр</w:t>
            </w:r>
            <w:r>
              <w:t>о</w:t>
            </w:r>
            <w:r>
              <w:t>страненным видам профессиональной подг</w:t>
            </w:r>
            <w:r>
              <w:t>о</w:t>
            </w:r>
            <w:r>
              <w:t>товки</w:t>
            </w:r>
          </w:p>
        </w:tc>
        <w:tc>
          <w:tcPr>
            <w:tcW w:w="2026" w:type="dxa"/>
            <w:tcBorders>
              <w:bottom w:val="single" w:sz="12" w:space="0" w:color="auto"/>
            </w:tcBorders>
            <w:vAlign w:val="bottom"/>
          </w:tcPr>
          <w:p w:rsidR="00000000" w:rsidRDefault="00000000">
            <w:pPr>
              <w:pStyle w:val="table"/>
              <w:tabs>
                <w:tab w:val="decimal" w:pos="799"/>
              </w:tabs>
            </w:pPr>
            <w:r>
              <w:t>35,2</w:t>
            </w:r>
          </w:p>
        </w:tc>
        <w:tc>
          <w:tcPr>
            <w:tcW w:w="478" w:type="dxa"/>
            <w:tcBorders>
              <w:bottom w:val="single" w:sz="12" w:space="0" w:color="auto"/>
            </w:tcBorders>
          </w:tcPr>
          <w:p w:rsidR="00000000" w:rsidRDefault="00000000">
            <w:pPr>
              <w:pStyle w:val="table"/>
            </w:pPr>
          </w:p>
        </w:tc>
        <w:tc>
          <w:tcPr>
            <w:tcW w:w="3808" w:type="dxa"/>
            <w:tcBorders>
              <w:bottom w:val="single" w:sz="12" w:space="0" w:color="auto"/>
            </w:tcBorders>
          </w:tcPr>
          <w:p w:rsidR="00000000" w:rsidRDefault="00000000">
            <w:pPr>
              <w:pStyle w:val="table"/>
            </w:pPr>
            <w:r>
              <w:t>Общий показатель по десяти наиболее ра</w:t>
            </w:r>
            <w:r>
              <w:t>с</w:t>
            </w:r>
            <w:r>
              <w:t>пространенным видам профессиональной подгото</w:t>
            </w:r>
            <w:r>
              <w:t>в</w:t>
            </w:r>
            <w:r>
              <w:t>ки</w:t>
            </w:r>
          </w:p>
        </w:tc>
        <w:tc>
          <w:tcPr>
            <w:tcW w:w="1965" w:type="dxa"/>
            <w:tcBorders>
              <w:bottom w:val="single" w:sz="12" w:space="0" w:color="auto"/>
            </w:tcBorders>
            <w:vAlign w:val="bottom"/>
          </w:tcPr>
          <w:p w:rsidR="00000000" w:rsidRDefault="00000000">
            <w:pPr>
              <w:pStyle w:val="table"/>
              <w:tabs>
                <w:tab w:val="decimal" w:pos="866"/>
              </w:tabs>
            </w:pPr>
            <w:r>
              <w:t>53,5</w:t>
            </w:r>
          </w:p>
        </w:tc>
      </w:tr>
    </w:tbl>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38" w:name="_Toc44113567"/>
      <w:bookmarkStart w:id="739" w:name="_Toc44113868"/>
      <w:bookmarkStart w:id="740" w:name="_Toc44114376"/>
      <w:bookmarkStart w:id="741" w:name="_Toc44115622"/>
      <w:bookmarkStart w:id="742" w:name="_Toc44116054"/>
      <w:r>
        <w:t>Таблица 4.2.4 Количество слушателей в разбивке по землям (двойная си</w:t>
      </w:r>
      <w:r>
        <w:t>с</w:t>
      </w:r>
      <w:r>
        <w:t>тема)</w:t>
      </w:r>
      <w:bookmarkEnd w:id="738"/>
      <w:bookmarkEnd w:id="739"/>
      <w:bookmarkEnd w:id="740"/>
      <w:bookmarkEnd w:id="741"/>
      <w:bookmarkEnd w:id="742"/>
    </w:p>
    <w:tbl>
      <w:tblPr>
        <w:tblW w:w="0" w:type="auto"/>
        <w:tblInd w:w="-26" w:type="dxa"/>
        <w:tblLayout w:type="fixed"/>
        <w:tblCellMar>
          <w:left w:w="28" w:type="dxa"/>
          <w:right w:w="28" w:type="dxa"/>
        </w:tblCellMar>
        <w:tblLook w:val="0000" w:firstRow="0" w:lastRow="0" w:firstColumn="0" w:lastColumn="0" w:noHBand="0" w:noVBand="0"/>
      </w:tblPr>
      <w:tblGrid>
        <w:gridCol w:w="2088"/>
        <w:gridCol w:w="1130"/>
        <w:gridCol w:w="1130"/>
        <w:gridCol w:w="1130"/>
        <w:gridCol w:w="1130"/>
        <w:gridCol w:w="1130"/>
        <w:gridCol w:w="1130"/>
        <w:gridCol w:w="1130"/>
        <w:gridCol w:w="1130"/>
        <w:gridCol w:w="1128"/>
      </w:tblGrid>
      <w:tr w:rsidR="00000000">
        <w:tblPrEx>
          <w:tblCellMar>
            <w:top w:w="0" w:type="dxa"/>
            <w:bottom w:w="0" w:type="dxa"/>
          </w:tblCellMar>
        </w:tblPrEx>
        <w:trPr>
          <w:cantSplit/>
        </w:trPr>
        <w:tc>
          <w:tcPr>
            <w:tcW w:w="2088" w:type="dxa"/>
            <w:vMerge w:val="restart"/>
            <w:tcBorders>
              <w:top w:val="single" w:sz="6" w:space="0" w:color="auto"/>
            </w:tcBorders>
            <w:vAlign w:val="center"/>
          </w:tcPr>
          <w:p w:rsidR="00000000" w:rsidRDefault="00000000">
            <w:pPr>
              <w:pStyle w:val="table"/>
              <w:jc w:val="center"/>
              <w:rPr>
                <w:i/>
              </w:rPr>
            </w:pPr>
            <w:r>
              <w:rPr>
                <w:i/>
              </w:rPr>
              <w:t>Земля</w:t>
            </w:r>
          </w:p>
        </w:tc>
        <w:tc>
          <w:tcPr>
            <w:tcW w:w="3390" w:type="dxa"/>
            <w:gridSpan w:val="3"/>
            <w:tcBorders>
              <w:top w:val="single" w:sz="6" w:space="0" w:color="auto"/>
              <w:bottom w:val="single" w:sz="6" w:space="0" w:color="auto"/>
            </w:tcBorders>
            <w:vAlign w:val="center"/>
          </w:tcPr>
          <w:p w:rsidR="00000000" w:rsidRDefault="00000000">
            <w:pPr>
              <w:pStyle w:val="table"/>
              <w:jc w:val="center"/>
              <w:rPr>
                <w:i/>
              </w:rPr>
            </w:pPr>
            <w:r>
              <w:rPr>
                <w:i/>
              </w:rPr>
              <w:t>Количес</w:t>
            </w:r>
            <w:r>
              <w:rPr>
                <w:i/>
              </w:rPr>
              <w:t>т</w:t>
            </w:r>
            <w:r>
              <w:rPr>
                <w:i/>
              </w:rPr>
              <w:t>во слушателей в 1994 году</w:t>
            </w:r>
          </w:p>
        </w:tc>
        <w:tc>
          <w:tcPr>
            <w:tcW w:w="3390" w:type="dxa"/>
            <w:gridSpan w:val="3"/>
            <w:tcBorders>
              <w:top w:val="single" w:sz="6" w:space="0" w:color="auto"/>
              <w:bottom w:val="single" w:sz="6" w:space="0" w:color="auto"/>
            </w:tcBorders>
            <w:vAlign w:val="center"/>
          </w:tcPr>
          <w:p w:rsidR="00000000" w:rsidRDefault="00000000">
            <w:pPr>
              <w:pStyle w:val="table"/>
              <w:jc w:val="center"/>
              <w:rPr>
                <w:i/>
              </w:rPr>
            </w:pPr>
            <w:r>
              <w:rPr>
                <w:i/>
              </w:rPr>
              <w:t>Количес</w:t>
            </w:r>
            <w:r>
              <w:rPr>
                <w:i/>
              </w:rPr>
              <w:t>т</w:t>
            </w:r>
            <w:r>
              <w:rPr>
                <w:i/>
              </w:rPr>
              <w:t>во слушателей в 1997 году</w:t>
            </w:r>
          </w:p>
        </w:tc>
        <w:tc>
          <w:tcPr>
            <w:tcW w:w="3388" w:type="dxa"/>
            <w:gridSpan w:val="3"/>
            <w:tcBorders>
              <w:top w:val="single" w:sz="6" w:space="0" w:color="auto"/>
              <w:bottom w:val="single" w:sz="6" w:space="0" w:color="auto"/>
            </w:tcBorders>
            <w:vAlign w:val="center"/>
          </w:tcPr>
          <w:p w:rsidR="00000000" w:rsidRDefault="00000000">
            <w:pPr>
              <w:pStyle w:val="table"/>
              <w:jc w:val="center"/>
              <w:rPr>
                <w:i/>
              </w:rPr>
            </w:pPr>
            <w:r>
              <w:rPr>
                <w:i/>
              </w:rPr>
              <w:t>Количес</w:t>
            </w:r>
            <w:r>
              <w:rPr>
                <w:i/>
              </w:rPr>
              <w:t>т</w:t>
            </w:r>
            <w:r>
              <w:rPr>
                <w:i/>
              </w:rPr>
              <w:t>во слушателей в 2001 году</w:t>
            </w:r>
          </w:p>
        </w:tc>
      </w:tr>
      <w:tr w:rsidR="00000000">
        <w:tblPrEx>
          <w:tblCellMar>
            <w:top w:w="0" w:type="dxa"/>
            <w:bottom w:w="0" w:type="dxa"/>
          </w:tblCellMar>
        </w:tblPrEx>
        <w:trPr>
          <w:cantSplit/>
        </w:trPr>
        <w:tc>
          <w:tcPr>
            <w:tcW w:w="2088" w:type="dxa"/>
            <w:vMerge/>
            <w:tcBorders>
              <w:bottom w:val="single" w:sz="12" w:space="0" w:color="auto"/>
            </w:tcBorders>
            <w:vAlign w:val="center"/>
          </w:tcPr>
          <w:p w:rsidR="00000000" w:rsidRDefault="00000000">
            <w:pPr>
              <w:pStyle w:val="table"/>
              <w:jc w:val="center"/>
              <w:rPr>
                <w:i/>
              </w:rPr>
            </w:pP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Мужчины</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Всего</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Мужчины</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Всего</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Мужчины</w:t>
            </w:r>
          </w:p>
        </w:tc>
        <w:tc>
          <w:tcPr>
            <w:tcW w:w="1130"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c>
          <w:tcPr>
            <w:tcW w:w="1128" w:type="dxa"/>
            <w:tcBorders>
              <w:top w:val="single" w:sz="6" w:space="0" w:color="auto"/>
              <w:bottom w:val="single" w:sz="12"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c>
          <w:tcPr>
            <w:tcW w:w="2088" w:type="dxa"/>
            <w:tcBorders>
              <w:top w:val="single" w:sz="12" w:space="0" w:color="auto"/>
            </w:tcBorders>
          </w:tcPr>
          <w:p w:rsidR="00000000" w:rsidRDefault="00000000">
            <w:pPr>
              <w:pStyle w:val="table"/>
            </w:pPr>
            <w:r>
              <w:t>Баден-Вюртемберг</w:t>
            </w:r>
          </w:p>
        </w:tc>
        <w:tc>
          <w:tcPr>
            <w:tcW w:w="1130" w:type="dxa"/>
            <w:tcBorders>
              <w:top w:val="single" w:sz="12" w:space="0" w:color="auto"/>
            </w:tcBorders>
            <w:vAlign w:val="bottom"/>
          </w:tcPr>
          <w:p w:rsidR="00000000" w:rsidRDefault="00000000">
            <w:pPr>
              <w:pStyle w:val="table"/>
              <w:tabs>
                <w:tab w:val="decimal" w:pos="747"/>
              </w:tabs>
            </w:pPr>
            <w:r>
              <w:t>112 229</w:t>
            </w:r>
          </w:p>
        </w:tc>
        <w:tc>
          <w:tcPr>
            <w:tcW w:w="1130" w:type="dxa"/>
            <w:tcBorders>
              <w:top w:val="single" w:sz="12" w:space="0" w:color="auto"/>
            </w:tcBorders>
            <w:vAlign w:val="bottom"/>
          </w:tcPr>
          <w:p w:rsidR="00000000" w:rsidRDefault="00000000">
            <w:pPr>
              <w:pStyle w:val="table"/>
              <w:tabs>
                <w:tab w:val="decimal" w:pos="747"/>
              </w:tabs>
            </w:pPr>
            <w:r>
              <w:t>78 735</w:t>
            </w:r>
          </w:p>
        </w:tc>
        <w:tc>
          <w:tcPr>
            <w:tcW w:w="1130" w:type="dxa"/>
            <w:tcBorders>
              <w:top w:val="single" w:sz="12" w:space="0" w:color="auto"/>
            </w:tcBorders>
            <w:vAlign w:val="bottom"/>
          </w:tcPr>
          <w:p w:rsidR="00000000" w:rsidRDefault="00000000">
            <w:pPr>
              <w:pStyle w:val="table"/>
              <w:tabs>
                <w:tab w:val="decimal" w:pos="747"/>
              </w:tabs>
            </w:pPr>
            <w:r>
              <w:t>190 964</w:t>
            </w:r>
          </w:p>
        </w:tc>
        <w:tc>
          <w:tcPr>
            <w:tcW w:w="1130" w:type="dxa"/>
            <w:tcBorders>
              <w:top w:val="single" w:sz="12" w:space="0" w:color="auto"/>
            </w:tcBorders>
            <w:vAlign w:val="bottom"/>
          </w:tcPr>
          <w:p w:rsidR="00000000" w:rsidRDefault="00000000">
            <w:pPr>
              <w:pStyle w:val="table"/>
              <w:tabs>
                <w:tab w:val="decimal" w:pos="747"/>
              </w:tabs>
            </w:pPr>
            <w:r>
              <w:t>109 657</w:t>
            </w:r>
          </w:p>
        </w:tc>
        <w:tc>
          <w:tcPr>
            <w:tcW w:w="1130" w:type="dxa"/>
            <w:tcBorders>
              <w:top w:val="single" w:sz="12" w:space="0" w:color="auto"/>
            </w:tcBorders>
            <w:vAlign w:val="bottom"/>
          </w:tcPr>
          <w:p w:rsidR="00000000" w:rsidRDefault="00000000">
            <w:pPr>
              <w:pStyle w:val="table"/>
              <w:tabs>
                <w:tab w:val="decimal" w:pos="747"/>
              </w:tabs>
            </w:pPr>
            <w:r>
              <w:t>76 208</w:t>
            </w:r>
          </w:p>
        </w:tc>
        <w:tc>
          <w:tcPr>
            <w:tcW w:w="1130" w:type="dxa"/>
            <w:tcBorders>
              <w:top w:val="single" w:sz="12" w:space="0" w:color="auto"/>
            </w:tcBorders>
            <w:vAlign w:val="bottom"/>
          </w:tcPr>
          <w:p w:rsidR="00000000" w:rsidRDefault="00000000">
            <w:pPr>
              <w:pStyle w:val="table"/>
              <w:tabs>
                <w:tab w:val="decimal" w:pos="747"/>
              </w:tabs>
            </w:pPr>
            <w:r>
              <w:t>185 865</w:t>
            </w:r>
          </w:p>
        </w:tc>
        <w:tc>
          <w:tcPr>
            <w:tcW w:w="1130" w:type="dxa"/>
            <w:tcBorders>
              <w:top w:val="single" w:sz="12" w:space="0" w:color="auto"/>
            </w:tcBorders>
            <w:vAlign w:val="bottom"/>
          </w:tcPr>
          <w:p w:rsidR="00000000" w:rsidRDefault="00000000">
            <w:pPr>
              <w:pStyle w:val="table"/>
              <w:tabs>
                <w:tab w:val="decimal" w:pos="747"/>
              </w:tabs>
            </w:pPr>
            <w:r>
              <w:t>121 155</w:t>
            </w:r>
          </w:p>
        </w:tc>
        <w:tc>
          <w:tcPr>
            <w:tcW w:w="1130" w:type="dxa"/>
            <w:tcBorders>
              <w:top w:val="single" w:sz="12" w:space="0" w:color="auto"/>
            </w:tcBorders>
            <w:vAlign w:val="bottom"/>
          </w:tcPr>
          <w:p w:rsidR="00000000" w:rsidRDefault="00000000">
            <w:pPr>
              <w:pStyle w:val="table"/>
              <w:tabs>
                <w:tab w:val="decimal" w:pos="747"/>
              </w:tabs>
            </w:pPr>
            <w:r>
              <w:t>87 735</w:t>
            </w:r>
          </w:p>
        </w:tc>
        <w:tc>
          <w:tcPr>
            <w:tcW w:w="1128" w:type="dxa"/>
            <w:tcBorders>
              <w:top w:val="single" w:sz="12" w:space="0" w:color="auto"/>
            </w:tcBorders>
            <w:vAlign w:val="bottom"/>
          </w:tcPr>
          <w:p w:rsidR="00000000" w:rsidRDefault="00000000">
            <w:pPr>
              <w:pStyle w:val="table"/>
              <w:tabs>
                <w:tab w:val="decimal" w:pos="747"/>
              </w:tabs>
            </w:pPr>
            <w:r>
              <w:t>208 890</w:t>
            </w:r>
          </w:p>
        </w:tc>
      </w:tr>
      <w:tr w:rsidR="00000000">
        <w:tblPrEx>
          <w:tblCellMar>
            <w:top w:w="0" w:type="dxa"/>
            <w:bottom w:w="0" w:type="dxa"/>
          </w:tblCellMar>
        </w:tblPrEx>
        <w:tc>
          <w:tcPr>
            <w:tcW w:w="2088" w:type="dxa"/>
          </w:tcPr>
          <w:p w:rsidR="00000000" w:rsidRDefault="00000000">
            <w:pPr>
              <w:pStyle w:val="table"/>
            </w:pPr>
            <w:r>
              <w:t>Бавария</w:t>
            </w:r>
          </w:p>
        </w:tc>
        <w:tc>
          <w:tcPr>
            <w:tcW w:w="1130" w:type="dxa"/>
            <w:vAlign w:val="bottom"/>
          </w:tcPr>
          <w:p w:rsidR="00000000" w:rsidRDefault="00000000">
            <w:pPr>
              <w:pStyle w:val="table"/>
              <w:tabs>
                <w:tab w:val="decimal" w:pos="747"/>
              </w:tabs>
            </w:pPr>
            <w:r>
              <w:t>150 806</w:t>
            </w:r>
          </w:p>
        </w:tc>
        <w:tc>
          <w:tcPr>
            <w:tcW w:w="1130" w:type="dxa"/>
            <w:vAlign w:val="bottom"/>
          </w:tcPr>
          <w:p w:rsidR="00000000" w:rsidRDefault="00000000">
            <w:pPr>
              <w:pStyle w:val="table"/>
              <w:tabs>
                <w:tab w:val="decimal" w:pos="747"/>
              </w:tabs>
            </w:pPr>
            <w:r>
              <w:t>101 686</w:t>
            </w:r>
          </w:p>
        </w:tc>
        <w:tc>
          <w:tcPr>
            <w:tcW w:w="1130" w:type="dxa"/>
            <w:vAlign w:val="bottom"/>
          </w:tcPr>
          <w:p w:rsidR="00000000" w:rsidRDefault="00000000">
            <w:pPr>
              <w:pStyle w:val="table"/>
              <w:tabs>
                <w:tab w:val="decimal" w:pos="747"/>
              </w:tabs>
            </w:pPr>
            <w:r>
              <w:t>252 492</w:t>
            </w:r>
          </w:p>
        </w:tc>
        <w:tc>
          <w:tcPr>
            <w:tcW w:w="1130" w:type="dxa"/>
            <w:vAlign w:val="bottom"/>
          </w:tcPr>
          <w:p w:rsidR="00000000" w:rsidRDefault="00000000">
            <w:pPr>
              <w:pStyle w:val="table"/>
              <w:tabs>
                <w:tab w:val="decimal" w:pos="747"/>
              </w:tabs>
            </w:pPr>
            <w:r>
              <w:t>150 250</w:t>
            </w:r>
          </w:p>
        </w:tc>
        <w:tc>
          <w:tcPr>
            <w:tcW w:w="1130" w:type="dxa"/>
            <w:vAlign w:val="bottom"/>
          </w:tcPr>
          <w:p w:rsidR="00000000" w:rsidRDefault="00000000">
            <w:pPr>
              <w:pStyle w:val="table"/>
              <w:tabs>
                <w:tab w:val="decimal" w:pos="747"/>
              </w:tabs>
            </w:pPr>
            <w:r>
              <w:t>102 589</w:t>
            </w:r>
          </w:p>
        </w:tc>
        <w:tc>
          <w:tcPr>
            <w:tcW w:w="1130" w:type="dxa"/>
            <w:vAlign w:val="bottom"/>
          </w:tcPr>
          <w:p w:rsidR="00000000" w:rsidRDefault="00000000">
            <w:pPr>
              <w:pStyle w:val="table"/>
              <w:tabs>
                <w:tab w:val="decimal" w:pos="747"/>
              </w:tabs>
            </w:pPr>
            <w:r>
              <w:t>252 839</w:t>
            </w:r>
          </w:p>
        </w:tc>
        <w:tc>
          <w:tcPr>
            <w:tcW w:w="1130" w:type="dxa"/>
            <w:vAlign w:val="bottom"/>
          </w:tcPr>
          <w:p w:rsidR="00000000" w:rsidRDefault="00000000">
            <w:pPr>
              <w:pStyle w:val="table"/>
              <w:tabs>
                <w:tab w:val="decimal" w:pos="747"/>
              </w:tabs>
            </w:pPr>
            <w:r>
              <w:t>157 350</w:t>
            </w:r>
          </w:p>
        </w:tc>
        <w:tc>
          <w:tcPr>
            <w:tcW w:w="1130" w:type="dxa"/>
            <w:vAlign w:val="bottom"/>
          </w:tcPr>
          <w:p w:rsidR="00000000" w:rsidRDefault="00000000">
            <w:pPr>
              <w:pStyle w:val="table"/>
              <w:tabs>
                <w:tab w:val="decimal" w:pos="747"/>
              </w:tabs>
            </w:pPr>
            <w:r>
              <w:t>111 894</w:t>
            </w:r>
          </w:p>
        </w:tc>
        <w:tc>
          <w:tcPr>
            <w:tcW w:w="1128" w:type="dxa"/>
            <w:vAlign w:val="bottom"/>
          </w:tcPr>
          <w:p w:rsidR="00000000" w:rsidRDefault="00000000">
            <w:pPr>
              <w:pStyle w:val="table"/>
              <w:tabs>
                <w:tab w:val="decimal" w:pos="747"/>
              </w:tabs>
            </w:pPr>
            <w:r>
              <w:t>269 244</w:t>
            </w:r>
          </w:p>
        </w:tc>
      </w:tr>
      <w:tr w:rsidR="00000000">
        <w:tblPrEx>
          <w:tblCellMar>
            <w:top w:w="0" w:type="dxa"/>
            <w:bottom w:w="0" w:type="dxa"/>
          </w:tblCellMar>
        </w:tblPrEx>
        <w:tc>
          <w:tcPr>
            <w:tcW w:w="2088" w:type="dxa"/>
          </w:tcPr>
          <w:p w:rsidR="00000000" w:rsidRDefault="00000000">
            <w:pPr>
              <w:pStyle w:val="table"/>
            </w:pPr>
            <w:r>
              <w:t>Берлин</w:t>
            </w:r>
          </w:p>
        </w:tc>
        <w:tc>
          <w:tcPr>
            <w:tcW w:w="1130" w:type="dxa"/>
            <w:vAlign w:val="bottom"/>
          </w:tcPr>
          <w:p w:rsidR="00000000" w:rsidRDefault="00000000">
            <w:pPr>
              <w:pStyle w:val="table"/>
              <w:tabs>
                <w:tab w:val="decimal" w:pos="747"/>
              </w:tabs>
            </w:pPr>
            <w:r>
              <w:t>32 162</w:t>
            </w:r>
          </w:p>
        </w:tc>
        <w:tc>
          <w:tcPr>
            <w:tcW w:w="1130" w:type="dxa"/>
            <w:vAlign w:val="bottom"/>
          </w:tcPr>
          <w:p w:rsidR="00000000" w:rsidRDefault="00000000">
            <w:pPr>
              <w:pStyle w:val="table"/>
              <w:tabs>
                <w:tab w:val="decimal" w:pos="747"/>
              </w:tabs>
            </w:pPr>
            <w:r>
              <w:t>22 902</w:t>
            </w:r>
          </w:p>
        </w:tc>
        <w:tc>
          <w:tcPr>
            <w:tcW w:w="1130" w:type="dxa"/>
            <w:vAlign w:val="bottom"/>
          </w:tcPr>
          <w:p w:rsidR="00000000" w:rsidRDefault="00000000">
            <w:pPr>
              <w:pStyle w:val="table"/>
              <w:tabs>
                <w:tab w:val="decimal" w:pos="747"/>
              </w:tabs>
            </w:pPr>
            <w:r>
              <w:t>55 064</w:t>
            </w:r>
          </w:p>
        </w:tc>
        <w:tc>
          <w:tcPr>
            <w:tcW w:w="1130" w:type="dxa"/>
            <w:vAlign w:val="bottom"/>
          </w:tcPr>
          <w:p w:rsidR="00000000" w:rsidRDefault="00000000">
            <w:pPr>
              <w:pStyle w:val="table"/>
              <w:tabs>
                <w:tab w:val="decimal" w:pos="747"/>
              </w:tabs>
            </w:pPr>
            <w:r>
              <w:t>33 341</w:t>
            </w:r>
          </w:p>
        </w:tc>
        <w:tc>
          <w:tcPr>
            <w:tcW w:w="1130" w:type="dxa"/>
            <w:vAlign w:val="bottom"/>
          </w:tcPr>
          <w:p w:rsidR="00000000" w:rsidRDefault="00000000">
            <w:pPr>
              <w:pStyle w:val="table"/>
              <w:tabs>
                <w:tab w:val="decimal" w:pos="747"/>
              </w:tabs>
            </w:pPr>
            <w:r>
              <w:t>26 663</w:t>
            </w:r>
          </w:p>
        </w:tc>
        <w:tc>
          <w:tcPr>
            <w:tcW w:w="1130" w:type="dxa"/>
            <w:vAlign w:val="bottom"/>
          </w:tcPr>
          <w:p w:rsidR="00000000" w:rsidRDefault="00000000">
            <w:pPr>
              <w:pStyle w:val="table"/>
              <w:tabs>
                <w:tab w:val="decimal" w:pos="747"/>
              </w:tabs>
            </w:pPr>
            <w:r>
              <w:t>60 004</w:t>
            </w:r>
          </w:p>
        </w:tc>
        <w:tc>
          <w:tcPr>
            <w:tcW w:w="1130" w:type="dxa"/>
            <w:vAlign w:val="bottom"/>
          </w:tcPr>
          <w:p w:rsidR="00000000" w:rsidRDefault="00000000">
            <w:pPr>
              <w:pStyle w:val="table"/>
              <w:tabs>
                <w:tab w:val="decimal" w:pos="747"/>
              </w:tabs>
            </w:pPr>
            <w:r>
              <w:t>33 648</w:t>
            </w:r>
          </w:p>
        </w:tc>
        <w:tc>
          <w:tcPr>
            <w:tcW w:w="1130" w:type="dxa"/>
            <w:vAlign w:val="bottom"/>
          </w:tcPr>
          <w:p w:rsidR="00000000" w:rsidRDefault="00000000">
            <w:pPr>
              <w:pStyle w:val="table"/>
              <w:tabs>
                <w:tab w:val="decimal" w:pos="747"/>
              </w:tabs>
            </w:pPr>
            <w:r>
              <w:t>28 294</w:t>
            </w:r>
          </w:p>
        </w:tc>
        <w:tc>
          <w:tcPr>
            <w:tcW w:w="1128" w:type="dxa"/>
            <w:vAlign w:val="bottom"/>
          </w:tcPr>
          <w:p w:rsidR="00000000" w:rsidRDefault="00000000">
            <w:pPr>
              <w:pStyle w:val="table"/>
              <w:tabs>
                <w:tab w:val="decimal" w:pos="747"/>
              </w:tabs>
            </w:pPr>
            <w:r>
              <w:t>61 942</w:t>
            </w:r>
          </w:p>
        </w:tc>
      </w:tr>
      <w:tr w:rsidR="00000000">
        <w:tblPrEx>
          <w:tblCellMar>
            <w:top w:w="0" w:type="dxa"/>
            <w:bottom w:w="0" w:type="dxa"/>
          </w:tblCellMar>
        </w:tblPrEx>
        <w:tc>
          <w:tcPr>
            <w:tcW w:w="2088" w:type="dxa"/>
          </w:tcPr>
          <w:p w:rsidR="00000000" w:rsidRDefault="00000000">
            <w:pPr>
              <w:pStyle w:val="table"/>
            </w:pPr>
            <w:r>
              <w:t>Бранденбург</w:t>
            </w:r>
          </w:p>
        </w:tc>
        <w:tc>
          <w:tcPr>
            <w:tcW w:w="1130" w:type="dxa"/>
            <w:vAlign w:val="bottom"/>
          </w:tcPr>
          <w:p w:rsidR="00000000" w:rsidRDefault="00000000">
            <w:pPr>
              <w:pStyle w:val="table"/>
              <w:tabs>
                <w:tab w:val="decimal" w:pos="747"/>
              </w:tabs>
            </w:pPr>
            <w:r>
              <w:t>29 925</w:t>
            </w:r>
          </w:p>
        </w:tc>
        <w:tc>
          <w:tcPr>
            <w:tcW w:w="1130" w:type="dxa"/>
            <w:vAlign w:val="bottom"/>
          </w:tcPr>
          <w:p w:rsidR="00000000" w:rsidRDefault="00000000">
            <w:pPr>
              <w:pStyle w:val="table"/>
              <w:tabs>
                <w:tab w:val="decimal" w:pos="747"/>
              </w:tabs>
            </w:pPr>
            <w:r>
              <w:t>18 381</w:t>
            </w:r>
          </w:p>
        </w:tc>
        <w:tc>
          <w:tcPr>
            <w:tcW w:w="1130" w:type="dxa"/>
            <w:vAlign w:val="bottom"/>
          </w:tcPr>
          <w:p w:rsidR="00000000" w:rsidRDefault="00000000">
            <w:pPr>
              <w:pStyle w:val="table"/>
              <w:tabs>
                <w:tab w:val="decimal" w:pos="747"/>
              </w:tabs>
            </w:pPr>
            <w:r>
              <w:t>48 306</w:t>
            </w:r>
          </w:p>
        </w:tc>
        <w:tc>
          <w:tcPr>
            <w:tcW w:w="1130" w:type="dxa"/>
            <w:vAlign w:val="bottom"/>
          </w:tcPr>
          <w:p w:rsidR="00000000" w:rsidRDefault="00000000">
            <w:pPr>
              <w:pStyle w:val="table"/>
              <w:tabs>
                <w:tab w:val="decimal" w:pos="747"/>
              </w:tabs>
            </w:pPr>
            <w:r>
              <w:t>37 696</w:t>
            </w:r>
          </w:p>
        </w:tc>
        <w:tc>
          <w:tcPr>
            <w:tcW w:w="1130" w:type="dxa"/>
            <w:vAlign w:val="bottom"/>
          </w:tcPr>
          <w:p w:rsidR="00000000" w:rsidRDefault="00000000">
            <w:pPr>
              <w:pStyle w:val="table"/>
              <w:tabs>
                <w:tab w:val="decimal" w:pos="747"/>
              </w:tabs>
            </w:pPr>
            <w:r>
              <w:t>23 462</w:t>
            </w:r>
          </w:p>
        </w:tc>
        <w:tc>
          <w:tcPr>
            <w:tcW w:w="1130" w:type="dxa"/>
            <w:vAlign w:val="bottom"/>
          </w:tcPr>
          <w:p w:rsidR="00000000" w:rsidRDefault="00000000">
            <w:pPr>
              <w:pStyle w:val="table"/>
              <w:tabs>
                <w:tab w:val="decimal" w:pos="747"/>
              </w:tabs>
            </w:pPr>
            <w:r>
              <w:t>61 158</w:t>
            </w:r>
          </w:p>
        </w:tc>
        <w:tc>
          <w:tcPr>
            <w:tcW w:w="1130" w:type="dxa"/>
            <w:vAlign w:val="bottom"/>
          </w:tcPr>
          <w:p w:rsidR="00000000" w:rsidRDefault="00000000">
            <w:pPr>
              <w:pStyle w:val="table"/>
              <w:tabs>
                <w:tab w:val="decimal" w:pos="747"/>
              </w:tabs>
            </w:pPr>
            <w:r>
              <w:t>34 212</w:t>
            </w:r>
          </w:p>
        </w:tc>
        <w:tc>
          <w:tcPr>
            <w:tcW w:w="1130" w:type="dxa"/>
            <w:vAlign w:val="bottom"/>
          </w:tcPr>
          <w:p w:rsidR="00000000" w:rsidRDefault="00000000">
            <w:pPr>
              <w:pStyle w:val="table"/>
              <w:tabs>
                <w:tab w:val="decimal" w:pos="747"/>
              </w:tabs>
            </w:pPr>
            <w:r>
              <w:t>21 166</w:t>
            </w:r>
          </w:p>
        </w:tc>
        <w:tc>
          <w:tcPr>
            <w:tcW w:w="1128" w:type="dxa"/>
            <w:vAlign w:val="bottom"/>
          </w:tcPr>
          <w:p w:rsidR="00000000" w:rsidRDefault="00000000">
            <w:pPr>
              <w:pStyle w:val="table"/>
              <w:tabs>
                <w:tab w:val="decimal" w:pos="747"/>
              </w:tabs>
            </w:pPr>
            <w:r>
              <w:t>55 378</w:t>
            </w:r>
          </w:p>
        </w:tc>
      </w:tr>
      <w:tr w:rsidR="00000000">
        <w:tblPrEx>
          <w:tblCellMar>
            <w:top w:w="0" w:type="dxa"/>
            <w:bottom w:w="0" w:type="dxa"/>
          </w:tblCellMar>
        </w:tblPrEx>
        <w:tc>
          <w:tcPr>
            <w:tcW w:w="2088" w:type="dxa"/>
          </w:tcPr>
          <w:p w:rsidR="00000000" w:rsidRDefault="00000000">
            <w:pPr>
              <w:pStyle w:val="table"/>
            </w:pPr>
            <w:r>
              <w:t>Бремен</w:t>
            </w:r>
          </w:p>
        </w:tc>
        <w:tc>
          <w:tcPr>
            <w:tcW w:w="1130" w:type="dxa"/>
            <w:vAlign w:val="bottom"/>
          </w:tcPr>
          <w:p w:rsidR="00000000" w:rsidRDefault="00000000">
            <w:pPr>
              <w:pStyle w:val="table"/>
              <w:tabs>
                <w:tab w:val="decimal" w:pos="747"/>
              </w:tabs>
            </w:pPr>
            <w:r>
              <w:t>9187</w:t>
            </w:r>
          </w:p>
        </w:tc>
        <w:tc>
          <w:tcPr>
            <w:tcW w:w="1130" w:type="dxa"/>
            <w:vAlign w:val="bottom"/>
          </w:tcPr>
          <w:p w:rsidR="00000000" w:rsidRDefault="00000000">
            <w:pPr>
              <w:pStyle w:val="table"/>
              <w:tabs>
                <w:tab w:val="decimal" w:pos="747"/>
              </w:tabs>
            </w:pPr>
            <w:r>
              <w:t>6976</w:t>
            </w:r>
          </w:p>
        </w:tc>
        <w:tc>
          <w:tcPr>
            <w:tcW w:w="1130" w:type="dxa"/>
            <w:vAlign w:val="bottom"/>
          </w:tcPr>
          <w:p w:rsidR="00000000" w:rsidRDefault="00000000">
            <w:pPr>
              <w:pStyle w:val="table"/>
              <w:tabs>
                <w:tab w:val="decimal" w:pos="747"/>
              </w:tabs>
            </w:pPr>
            <w:r>
              <w:t>16 163</w:t>
            </w:r>
          </w:p>
        </w:tc>
        <w:tc>
          <w:tcPr>
            <w:tcW w:w="1130" w:type="dxa"/>
            <w:vAlign w:val="bottom"/>
          </w:tcPr>
          <w:p w:rsidR="00000000" w:rsidRDefault="00000000">
            <w:pPr>
              <w:pStyle w:val="table"/>
              <w:tabs>
                <w:tab w:val="decimal" w:pos="747"/>
              </w:tabs>
            </w:pPr>
            <w:r>
              <w:t>8405</w:t>
            </w:r>
          </w:p>
        </w:tc>
        <w:tc>
          <w:tcPr>
            <w:tcW w:w="1130" w:type="dxa"/>
            <w:vAlign w:val="bottom"/>
          </w:tcPr>
          <w:p w:rsidR="00000000" w:rsidRDefault="00000000">
            <w:pPr>
              <w:pStyle w:val="table"/>
              <w:tabs>
                <w:tab w:val="decimal" w:pos="747"/>
              </w:tabs>
            </w:pPr>
            <w:r>
              <w:t>6666</w:t>
            </w:r>
          </w:p>
        </w:tc>
        <w:tc>
          <w:tcPr>
            <w:tcW w:w="1130" w:type="dxa"/>
            <w:vAlign w:val="bottom"/>
          </w:tcPr>
          <w:p w:rsidR="00000000" w:rsidRDefault="00000000">
            <w:pPr>
              <w:pStyle w:val="table"/>
              <w:tabs>
                <w:tab w:val="decimal" w:pos="747"/>
              </w:tabs>
            </w:pPr>
            <w:r>
              <w:t>15 071</w:t>
            </w:r>
          </w:p>
        </w:tc>
        <w:tc>
          <w:tcPr>
            <w:tcW w:w="1130" w:type="dxa"/>
            <w:vAlign w:val="bottom"/>
          </w:tcPr>
          <w:p w:rsidR="00000000" w:rsidRDefault="00000000">
            <w:pPr>
              <w:pStyle w:val="table"/>
              <w:tabs>
                <w:tab w:val="decimal" w:pos="747"/>
              </w:tabs>
            </w:pPr>
            <w:r>
              <w:t>8629</w:t>
            </w:r>
          </w:p>
        </w:tc>
        <w:tc>
          <w:tcPr>
            <w:tcW w:w="1130" w:type="dxa"/>
            <w:vAlign w:val="bottom"/>
          </w:tcPr>
          <w:p w:rsidR="00000000" w:rsidRDefault="00000000">
            <w:pPr>
              <w:pStyle w:val="table"/>
              <w:tabs>
                <w:tab w:val="decimal" w:pos="747"/>
              </w:tabs>
            </w:pPr>
            <w:r>
              <w:t>7008</w:t>
            </w:r>
          </w:p>
        </w:tc>
        <w:tc>
          <w:tcPr>
            <w:tcW w:w="1128" w:type="dxa"/>
            <w:vAlign w:val="bottom"/>
          </w:tcPr>
          <w:p w:rsidR="00000000" w:rsidRDefault="00000000">
            <w:pPr>
              <w:pStyle w:val="table"/>
              <w:tabs>
                <w:tab w:val="decimal" w:pos="747"/>
              </w:tabs>
            </w:pPr>
            <w:r>
              <w:t>15 637</w:t>
            </w:r>
          </w:p>
        </w:tc>
      </w:tr>
      <w:tr w:rsidR="00000000">
        <w:tblPrEx>
          <w:tblCellMar>
            <w:top w:w="0" w:type="dxa"/>
            <w:bottom w:w="0" w:type="dxa"/>
          </w:tblCellMar>
        </w:tblPrEx>
        <w:tc>
          <w:tcPr>
            <w:tcW w:w="2088" w:type="dxa"/>
          </w:tcPr>
          <w:p w:rsidR="00000000" w:rsidRDefault="00000000">
            <w:pPr>
              <w:pStyle w:val="table"/>
            </w:pPr>
            <w:r>
              <w:t>Гамбург</w:t>
            </w:r>
          </w:p>
        </w:tc>
        <w:tc>
          <w:tcPr>
            <w:tcW w:w="1130" w:type="dxa"/>
            <w:vAlign w:val="bottom"/>
          </w:tcPr>
          <w:p w:rsidR="00000000" w:rsidRDefault="00000000">
            <w:pPr>
              <w:pStyle w:val="table"/>
              <w:tabs>
                <w:tab w:val="decimal" w:pos="747"/>
              </w:tabs>
            </w:pPr>
            <w:r>
              <w:t>18 294</w:t>
            </w:r>
          </w:p>
        </w:tc>
        <w:tc>
          <w:tcPr>
            <w:tcW w:w="1130" w:type="dxa"/>
            <w:vAlign w:val="bottom"/>
          </w:tcPr>
          <w:p w:rsidR="00000000" w:rsidRDefault="00000000">
            <w:pPr>
              <w:pStyle w:val="table"/>
              <w:tabs>
                <w:tab w:val="decimal" w:pos="747"/>
              </w:tabs>
            </w:pPr>
            <w:r>
              <w:t>13 674</w:t>
            </w:r>
          </w:p>
        </w:tc>
        <w:tc>
          <w:tcPr>
            <w:tcW w:w="1130" w:type="dxa"/>
            <w:vAlign w:val="bottom"/>
          </w:tcPr>
          <w:p w:rsidR="00000000" w:rsidRDefault="00000000">
            <w:pPr>
              <w:pStyle w:val="table"/>
              <w:tabs>
                <w:tab w:val="decimal" w:pos="747"/>
              </w:tabs>
            </w:pPr>
            <w:r>
              <w:t>31 968</w:t>
            </w:r>
          </w:p>
        </w:tc>
        <w:tc>
          <w:tcPr>
            <w:tcW w:w="1130" w:type="dxa"/>
            <w:vAlign w:val="bottom"/>
          </w:tcPr>
          <w:p w:rsidR="00000000" w:rsidRDefault="00000000">
            <w:pPr>
              <w:pStyle w:val="table"/>
              <w:tabs>
                <w:tab w:val="decimal" w:pos="747"/>
              </w:tabs>
            </w:pPr>
            <w:r>
              <w:t>16 875</w:t>
            </w:r>
          </w:p>
        </w:tc>
        <w:tc>
          <w:tcPr>
            <w:tcW w:w="1130" w:type="dxa"/>
            <w:vAlign w:val="bottom"/>
          </w:tcPr>
          <w:p w:rsidR="00000000" w:rsidRDefault="00000000">
            <w:pPr>
              <w:pStyle w:val="table"/>
              <w:tabs>
                <w:tab w:val="decimal" w:pos="747"/>
              </w:tabs>
            </w:pPr>
            <w:r>
              <w:t>12 887</w:t>
            </w:r>
          </w:p>
        </w:tc>
        <w:tc>
          <w:tcPr>
            <w:tcW w:w="1130" w:type="dxa"/>
            <w:vAlign w:val="bottom"/>
          </w:tcPr>
          <w:p w:rsidR="00000000" w:rsidRDefault="00000000">
            <w:pPr>
              <w:pStyle w:val="table"/>
              <w:tabs>
                <w:tab w:val="decimal" w:pos="747"/>
              </w:tabs>
            </w:pPr>
            <w:r>
              <w:t>29 762</w:t>
            </w:r>
          </w:p>
        </w:tc>
        <w:tc>
          <w:tcPr>
            <w:tcW w:w="1130" w:type="dxa"/>
            <w:vAlign w:val="bottom"/>
          </w:tcPr>
          <w:p w:rsidR="00000000" w:rsidRDefault="00000000">
            <w:pPr>
              <w:pStyle w:val="table"/>
              <w:tabs>
                <w:tab w:val="decimal" w:pos="747"/>
              </w:tabs>
            </w:pPr>
            <w:r>
              <w:t>17 865</w:t>
            </w:r>
          </w:p>
        </w:tc>
        <w:tc>
          <w:tcPr>
            <w:tcW w:w="1130" w:type="dxa"/>
            <w:vAlign w:val="bottom"/>
          </w:tcPr>
          <w:p w:rsidR="00000000" w:rsidRDefault="00000000">
            <w:pPr>
              <w:pStyle w:val="table"/>
              <w:tabs>
                <w:tab w:val="decimal" w:pos="747"/>
              </w:tabs>
            </w:pPr>
            <w:r>
              <w:t>15 606</w:t>
            </w:r>
          </w:p>
        </w:tc>
        <w:tc>
          <w:tcPr>
            <w:tcW w:w="1128" w:type="dxa"/>
            <w:vAlign w:val="bottom"/>
          </w:tcPr>
          <w:p w:rsidR="00000000" w:rsidRDefault="00000000">
            <w:pPr>
              <w:pStyle w:val="table"/>
              <w:tabs>
                <w:tab w:val="decimal" w:pos="747"/>
              </w:tabs>
            </w:pPr>
            <w:r>
              <w:t>33 471</w:t>
            </w:r>
          </w:p>
        </w:tc>
      </w:tr>
      <w:tr w:rsidR="00000000">
        <w:tblPrEx>
          <w:tblCellMar>
            <w:top w:w="0" w:type="dxa"/>
            <w:bottom w:w="0" w:type="dxa"/>
          </w:tblCellMar>
        </w:tblPrEx>
        <w:tc>
          <w:tcPr>
            <w:tcW w:w="2088" w:type="dxa"/>
          </w:tcPr>
          <w:p w:rsidR="00000000" w:rsidRDefault="00000000">
            <w:pPr>
              <w:pStyle w:val="table"/>
            </w:pPr>
            <w:r>
              <w:t>Гессен</w:t>
            </w:r>
          </w:p>
        </w:tc>
        <w:tc>
          <w:tcPr>
            <w:tcW w:w="1130" w:type="dxa"/>
            <w:vAlign w:val="bottom"/>
          </w:tcPr>
          <w:p w:rsidR="00000000" w:rsidRDefault="00000000">
            <w:pPr>
              <w:pStyle w:val="table"/>
              <w:tabs>
                <w:tab w:val="decimal" w:pos="747"/>
              </w:tabs>
            </w:pPr>
            <w:r>
              <w:t>63 896</w:t>
            </w:r>
          </w:p>
        </w:tc>
        <w:tc>
          <w:tcPr>
            <w:tcW w:w="1130" w:type="dxa"/>
            <w:vAlign w:val="bottom"/>
          </w:tcPr>
          <w:p w:rsidR="00000000" w:rsidRDefault="00000000">
            <w:pPr>
              <w:pStyle w:val="table"/>
              <w:tabs>
                <w:tab w:val="decimal" w:pos="747"/>
              </w:tabs>
            </w:pPr>
            <w:r>
              <w:t>43 050</w:t>
            </w:r>
          </w:p>
        </w:tc>
        <w:tc>
          <w:tcPr>
            <w:tcW w:w="1130" w:type="dxa"/>
            <w:vAlign w:val="bottom"/>
          </w:tcPr>
          <w:p w:rsidR="00000000" w:rsidRDefault="00000000">
            <w:pPr>
              <w:pStyle w:val="table"/>
              <w:tabs>
                <w:tab w:val="decimal" w:pos="747"/>
              </w:tabs>
            </w:pPr>
            <w:r>
              <w:t>106 946</w:t>
            </w:r>
          </w:p>
        </w:tc>
        <w:tc>
          <w:tcPr>
            <w:tcW w:w="1130" w:type="dxa"/>
            <w:vAlign w:val="bottom"/>
          </w:tcPr>
          <w:p w:rsidR="00000000" w:rsidRDefault="00000000">
            <w:pPr>
              <w:pStyle w:val="table"/>
              <w:tabs>
                <w:tab w:val="decimal" w:pos="747"/>
              </w:tabs>
            </w:pPr>
            <w:r>
              <w:t>63 217</w:t>
            </w:r>
          </w:p>
        </w:tc>
        <w:tc>
          <w:tcPr>
            <w:tcW w:w="1130" w:type="dxa"/>
            <w:vAlign w:val="bottom"/>
          </w:tcPr>
          <w:p w:rsidR="00000000" w:rsidRDefault="00000000">
            <w:pPr>
              <w:pStyle w:val="table"/>
              <w:tabs>
                <w:tab w:val="decimal" w:pos="747"/>
              </w:tabs>
            </w:pPr>
            <w:r>
              <w:t>42 800</w:t>
            </w:r>
          </w:p>
        </w:tc>
        <w:tc>
          <w:tcPr>
            <w:tcW w:w="1130" w:type="dxa"/>
            <w:vAlign w:val="bottom"/>
          </w:tcPr>
          <w:p w:rsidR="00000000" w:rsidRDefault="00000000">
            <w:pPr>
              <w:pStyle w:val="table"/>
              <w:tabs>
                <w:tab w:val="decimal" w:pos="747"/>
              </w:tabs>
            </w:pPr>
            <w:r>
              <w:t>106 017</w:t>
            </w:r>
          </w:p>
        </w:tc>
        <w:tc>
          <w:tcPr>
            <w:tcW w:w="1130" w:type="dxa"/>
            <w:vAlign w:val="bottom"/>
          </w:tcPr>
          <w:p w:rsidR="00000000" w:rsidRDefault="00000000">
            <w:pPr>
              <w:pStyle w:val="table"/>
              <w:tabs>
                <w:tab w:val="decimal" w:pos="747"/>
              </w:tabs>
            </w:pPr>
            <w:r>
              <w:t>65 770</w:t>
            </w:r>
          </w:p>
        </w:tc>
        <w:tc>
          <w:tcPr>
            <w:tcW w:w="1130" w:type="dxa"/>
            <w:vAlign w:val="bottom"/>
          </w:tcPr>
          <w:p w:rsidR="00000000" w:rsidRDefault="00000000">
            <w:pPr>
              <w:pStyle w:val="table"/>
              <w:tabs>
                <w:tab w:val="decimal" w:pos="747"/>
              </w:tabs>
            </w:pPr>
            <w:r>
              <w:t>46 888</w:t>
            </w:r>
          </w:p>
        </w:tc>
        <w:tc>
          <w:tcPr>
            <w:tcW w:w="1128" w:type="dxa"/>
            <w:vAlign w:val="bottom"/>
          </w:tcPr>
          <w:p w:rsidR="00000000" w:rsidRDefault="00000000">
            <w:pPr>
              <w:pStyle w:val="table"/>
              <w:tabs>
                <w:tab w:val="decimal" w:pos="747"/>
              </w:tabs>
            </w:pPr>
            <w:r>
              <w:t>112 658</w:t>
            </w:r>
          </w:p>
        </w:tc>
      </w:tr>
      <w:tr w:rsidR="00000000">
        <w:tblPrEx>
          <w:tblCellMar>
            <w:top w:w="0" w:type="dxa"/>
            <w:bottom w:w="0" w:type="dxa"/>
          </w:tblCellMar>
        </w:tblPrEx>
        <w:tc>
          <w:tcPr>
            <w:tcW w:w="2088" w:type="dxa"/>
          </w:tcPr>
          <w:p w:rsidR="00000000" w:rsidRDefault="00000000">
            <w:pPr>
              <w:pStyle w:val="table"/>
            </w:pPr>
            <w:r>
              <w:t>Мекленбург-Передняя Пом</w:t>
            </w:r>
            <w:r>
              <w:t>е</w:t>
            </w:r>
            <w:r>
              <w:t>рания</w:t>
            </w:r>
          </w:p>
        </w:tc>
        <w:tc>
          <w:tcPr>
            <w:tcW w:w="1130" w:type="dxa"/>
            <w:vAlign w:val="bottom"/>
          </w:tcPr>
          <w:p w:rsidR="00000000" w:rsidRDefault="00000000">
            <w:pPr>
              <w:pStyle w:val="table"/>
              <w:tabs>
                <w:tab w:val="decimal" w:pos="747"/>
              </w:tabs>
            </w:pPr>
            <w:r>
              <w:t>27 233</w:t>
            </w:r>
          </w:p>
        </w:tc>
        <w:tc>
          <w:tcPr>
            <w:tcW w:w="1130" w:type="dxa"/>
            <w:vAlign w:val="bottom"/>
          </w:tcPr>
          <w:p w:rsidR="00000000" w:rsidRDefault="00000000">
            <w:pPr>
              <w:pStyle w:val="table"/>
              <w:tabs>
                <w:tab w:val="decimal" w:pos="747"/>
              </w:tabs>
            </w:pPr>
            <w:r>
              <w:t>16 780</w:t>
            </w:r>
          </w:p>
        </w:tc>
        <w:tc>
          <w:tcPr>
            <w:tcW w:w="1130" w:type="dxa"/>
            <w:vAlign w:val="bottom"/>
          </w:tcPr>
          <w:p w:rsidR="00000000" w:rsidRDefault="00000000">
            <w:pPr>
              <w:pStyle w:val="table"/>
              <w:tabs>
                <w:tab w:val="decimal" w:pos="747"/>
              </w:tabs>
            </w:pPr>
            <w:r>
              <w:t>44 013</w:t>
            </w:r>
          </w:p>
        </w:tc>
        <w:tc>
          <w:tcPr>
            <w:tcW w:w="1130" w:type="dxa"/>
            <w:vAlign w:val="bottom"/>
          </w:tcPr>
          <w:p w:rsidR="00000000" w:rsidRDefault="00000000">
            <w:pPr>
              <w:pStyle w:val="table"/>
              <w:tabs>
                <w:tab w:val="decimal" w:pos="747"/>
              </w:tabs>
            </w:pPr>
            <w:r>
              <w:t>34 156</w:t>
            </w:r>
          </w:p>
        </w:tc>
        <w:tc>
          <w:tcPr>
            <w:tcW w:w="1130" w:type="dxa"/>
            <w:vAlign w:val="bottom"/>
          </w:tcPr>
          <w:p w:rsidR="00000000" w:rsidRDefault="00000000">
            <w:pPr>
              <w:pStyle w:val="table"/>
              <w:tabs>
                <w:tab w:val="decimal" w:pos="747"/>
              </w:tabs>
            </w:pPr>
            <w:r>
              <w:t>21 998</w:t>
            </w:r>
          </w:p>
        </w:tc>
        <w:tc>
          <w:tcPr>
            <w:tcW w:w="1130" w:type="dxa"/>
            <w:vAlign w:val="bottom"/>
          </w:tcPr>
          <w:p w:rsidR="00000000" w:rsidRDefault="00000000">
            <w:pPr>
              <w:pStyle w:val="table"/>
              <w:tabs>
                <w:tab w:val="decimal" w:pos="747"/>
              </w:tabs>
            </w:pPr>
            <w:r>
              <w:t>56 154</w:t>
            </w:r>
          </w:p>
        </w:tc>
        <w:tc>
          <w:tcPr>
            <w:tcW w:w="1130" w:type="dxa"/>
            <w:vAlign w:val="bottom"/>
          </w:tcPr>
          <w:p w:rsidR="00000000" w:rsidRDefault="00000000">
            <w:pPr>
              <w:pStyle w:val="table"/>
              <w:tabs>
                <w:tab w:val="decimal" w:pos="747"/>
              </w:tabs>
            </w:pPr>
            <w:r>
              <w:t>30 097</w:t>
            </w:r>
          </w:p>
        </w:tc>
        <w:tc>
          <w:tcPr>
            <w:tcW w:w="1130" w:type="dxa"/>
            <w:vAlign w:val="bottom"/>
          </w:tcPr>
          <w:p w:rsidR="00000000" w:rsidRDefault="00000000">
            <w:pPr>
              <w:pStyle w:val="table"/>
              <w:tabs>
                <w:tab w:val="decimal" w:pos="747"/>
              </w:tabs>
            </w:pPr>
            <w:r>
              <w:t>18 822</w:t>
            </w:r>
          </w:p>
        </w:tc>
        <w:tc>
          <w:tcPr>
            <w:tcW w:w="1128" w:type="dxa"/>
            <w:vAlign w:val="bottom"/>
          </w:tcPr>
          <w:p w:rsidR="00000000" w:rsidRDefault="00000000">
            <w:pPr>
              <w:pStyle w:val="table"/>
              <w:tabs>
                <w:tab w:val="decimal" w:pos="747"/>
              </w:tabs>
            </w:pPr>
            <w:r>
              <w:t>48 919</w:t>
            </w:r>
          </w:p>
        </w:tc>
      </w:tr>
      <w:tr w:rsidR="00000000">
        <w:tblPrEx>
          <w:tblCellMar>
            <w:top w:w="0" w:type="dxa"/>
            <w:bottom w:w="0" w:type="dxa"/>
          </w:tblCellMar>
        </w:tblPrEx>
        <w:tc>
          <w:tcPr>
            <w:tcW w:w="2088" w:type="dxa"/>
          </w:tcPr>
          <w:p w:rsidR="00000000" w:rsidRDefault="00000000">
            <w:pPr>
              <w:pStyle w:val="table"/>
            </w:pPr>
            <w:r>
              <w:t>Нижняя Саксония</w:t>
            </w:r>
          </w:p>
        </w:tc>
        <w:tc>
          <w:tcPr>
            <w:tcW w:w="1130" w:type="dxa"/>
            <w:vAlign w:val="bottom"/>
          </w:tcPr>
          <w:p w:rsidR="00000000" w:rsidRDefault="00000000">
            <w:pPr>
              <w:pStyle w:val="table"/>
              <w:tabs>
                <w:tab w:val="decimal" w:pos="747"/>
              </w:tabs>
            </w:pPr>
            <w:r>
              <w:t>91 030</w:t>
            </w:r>
          </w:p>
        </w:tc>
        <w:tc>
          <w:tcPr>
            <w:tcW w:w="1130" w:type="dxa"/>
            <w:vAlign w:val="bottom"/>
          </w:tcPr>
          <w:p w:rsidR="00000000" w:rsidRDefault="00000000">
            <w:pPr>
              <w:pStyle w:val="table"/>
              <w:tabs>
                <w:tab w:val="decimal" w:pos="747"/>
              </w:tabs>
            </w:pPr>
            <w:r>
              <w:t>66 604</w:t>
            </w:r>
          </w:p>
        </w:tc>
        <w:tc>
          <w:tcPr>
            <w:tcW w:w="1130" w:type="dxa"/>
            <w:vAlign w:val="bottom"/>
          </w:tcPr>
          <w:p w:rsidR="00000000" w:rsidRDefault="00000000">
            <w:pPr>
              <w:pStyle w:val="table"/>
              <w:tabs>
                <w:tab w:val="decimal" w:pos="747"/>
              </w:tabs>
            </w:pPr>
            <w:r>
              <w:t>157 634</w:t>
            </w:r>
          </w:p>
        </w:tc>
        <w:tc>
          <w:tcPr>
            <w:tcW w:w="1130" w:type="dxa"/>
            <w:vAlign w:val="bottom"/>
          </w:tcPr>
          <w:p w:rsidR="00000000" w:rsidRDefault="00000000">
            <w:pPr>
              <w:pStyle w:val="table"/>
              <w:tabs>
                <w:tab w:val="decimal" w:pos="747"/>
              </w:tabs>
            </w:pPr>
            <w:r>
              <w:t>89 192</w:t>
            </w:r>
          </w:p>
        </w:tc>
        <w:tc>
          <w:tcPr>
            <w:tcW w:w="1130" w:type="dxa"/>
            <w:vAlign w:val="bottom"/>
          </w:tcPr>
          <w:p w:rsidR="00000000" w:rsidRDefault="00000000">
            <w:pPr>
              <w:pStyle w:val="table"/>
              <w:tabs>
                <w:tab w:val="decimal" w:pos="747"/>
              </w:tabs>
            </w:pPr>
            <w:r>
              <w:t>62 835</w:t>
            </w:r>
          </w:p>
        </w:tc>
        <w:tc>
          <w:tcPr>
            <w:tcW w:w="1130" w:type="dxa"/>
            <w:vAlign w:val="bottom"/>
          </w:tcPr>
          <w:p w:rsidR="00000000" w:rsidRDefault="00000000">
            <w:pPr>
              <w:pStyle w:val="table"/>
              <w:tabs>
                <w:tab w:val="decimal" w:pos="747"/>
              </w:tabs>
            </w:pPr>
            <w:r>
              <w:t>152 027</w:t>
            </w:r>
          </w:p>
        </w:tc>
        <w:tc>
          <w:tcPr>
            <w:tcW w:w="1130" w:type="dxa"/>
            <w:vAlign w:val="bottom"/>
          </w:tcPr>
          <w:p w:rsidR="00000000" w:rsidRDefault="00000000">
            <w:pPr>
              <w:pStyle w:val="table"/>
              <w:tabs>
                <w:tab w:val="decimal" w:pos="747"/>
              </w:tabs>
            </w:pPr>
            <w:r>
              <w:t>92 108</w:t>
            </w:r>
          </w:p>
        </w:tc>
        <w:tc>
          <w:tcPr>
            <w:tcW w:w="1130" w:type="dxa"/>
            <w:vAlign w:val="bottom"/>
          </w:tcPr>
          <w:p w:rsidR="00000000" w:rsidRDefault="00000000">
            <w:pPr>
              <w:pStyle w:val="table"/>
              <w:tabs>
                <w:tab w:val="decimal" w:pos="747"/>
              </w:tabs>
            </w:pPr>
            <w:r>
              <w:t>66 242</w:t>
            </w:r>
          </w:p>
        </w:tc>
        <w:tc>
          <w:tcPr>
            <w:tcW w:w="1128" w:type="dxa"/>
            <w:vAlign w:val="bottom"/>
          </w:tcPr>
          <w:p w:rsidR="00000000" w:rsidRDefault="00000000">
            <w:pPr>
              <w:pStyle w:val="table"/>
              <w:tabs>
                <w:tab w:val="decimal" w:pos="747"/>
              </w:tabs>
            </w:pPr>
            <w:r>
              <w:t>158 350</w:t>
            </w:r>
          </w:p>
        </w:tc>
      </w:tr>
      <w:tr w:rsidR="00000000">
        <w:tblPrEx>
          <w:tblCellMar>
            <w:top w:w="0" w:type="dxa"/>
            <w:bottom w:w="0" w:type="dxa"/>
          </w:tblCellMar>
        </w:tblPrEx>
        <w:tc>
          <w:tcPr>
            <w:tcW w:w="2088" w:type="dxa"/>
          </w:tcPr>
          <w:p w:rsidR="00000000" w:rsidRDefault="00000000">
            <w:pPr>
              <w:pStyle w:val="table"/>
            </w:pPr>
            <w:r>
              <w:t>Северный Рейн-Вестфалия</w:t>
            </w:r>
          </w:p>
        </w:tc>
        <w:tc>
          <w:tcPr>
            <w:tcW w:w="1130" w:type="dxa"/>
            <w:vAlign w:val="bottom"/>
          </w:tcPr>
          <w:p w:rsidR="00000000" w:rsidRDefault="00000000">
            <w:pPr>
              <w:pStyle w:val="table"/>
              <w:tabs>
                <w:tab w:val="decimal" w:pos="747"/>
              </w:tabs>
            </w:pPr>
            <w:r>
              <w:t>197 041</w:t>
            </w:r>
          </w:p>
        </w:tc>
        <w:tc>
          <w:tcPr>
            <w:tcW w:w="1130" w:type="dxa"/>
            <w:vAlign w:val="bottom"/>
          </w:tcPr>
          <w:p w:rsidR="00000000" w:rsidRDefault="00000000">
            <w:pPr>
              <w:pStyle w:val="table"/>
              <w:tabs>
                <w:tab w:val="decimal" w:pos="747"/>
              </w:tabs>
            </w:pPr>
            <w:r>
              <w:t>127 859</w:t>
            </w:r>
          </w:p>
        </w:tc>
        <w:tc>
          <w:tcPr>
            <w:tcW w:w="1130" w:type="dxa"/>
            <w:vAlign w:val="bottom"/>
          </w:tcPr>
          <w:p w:rsidR="00000000" w:rsidRDefault="00000000">
            <w:pPr>
              <w:pStyle w:val="table"/>
              <w:tabs>
                <w:tab w:val="decimal" w:pos="747"/>
              </w:tabs>
            </w:pPr>
            <w:r>
              <w:t>324 900</w:t>
            </w:r>
          </w:p>
        </w:tc>
        <w:tc>
          <w:tcPr>
            <w:tcW w:w="1130" w:type="dxa"/>
            <w:vAlign w:val="bottom"/>
          </w:tcPr>
          <w:p w:rsidR="00000000" w:rsidRDefault="00000000">
            <w:pPr>
              <w:pStyle w:val="table"/>
              <w:tabs>
                <w:tab w:val="decimal" w:pos="747"/>
              </w:tabs>
            </w:pPr>
            <w:r>
              <w:t>190 376</w:t>
            </w:r>
          </w:p>
        </w:tc>
        <w:tc>
          <w:tcPr>
            <w:tcW w:w="1130" w:type="dxa"/>
            <w:vAlign w:val="bottom"/>
          </w:tcPr>
          <w:p w:rsidR="00000000" w:rsidRDefault="00000000">
            <w:pPr>
              <w:pStyle w:val="table"/>
              <w:tabs>
                <w:tab w:val="decimal" w:pos="747"/>
              </w:tabs>
            </w:pPr>
            <w:r>
              <w:t>122 157</w:t>
            </w:r>
          </w:p>
        </w:tc>
        <w:tc>
          <w:tcPr>
            <w:tcW w:w="1130" w:type="dxa"/>
            <w:vAlign w:val="bottom"/>
          </w:tcPr>
          <w:p w:rsidR="00000000" w:rsidRDefault="00000000">
            <w:pPr>
              <w:pStyle w:val="table"/>
              <w:tabs>
                <w:tab w:val="decimal" w:pos="747"/>
              </w:tabs>
            </w:pPr>
            <w:r>
              <w:t>312 533</w:t>
            </w:r>
          </w:p>
        </w:tc>
        <w:tc>
          <w:tcPr>
            <w:tcW w:w="1130" w:type="dxa"/>
            <w:vAlign w:val="bottom"/>
          </w:tcPr>
          <w:p w:rsidR="00000000" w:rsidRDefault="00000000">
            <w:pPr>
              <w:pStyle w:val="table"/>
              <w:tabs>
                <w:tab w:val="decimal" w:pos="747"/>
              </w:tabs>
            </w:pPr>
            <w:r>
              <w:t>203 542</w:t>
            </w:r>
          </w:p>
        </w:tc>
        <w:tc>
          <w:tcPr>
            <w:tcW w:w="1130" w:type="dxa"/>
            <w:vAlign w:val="bottom"/>
          </w:tcPr>
          <w:p w:rsidR="00000000" w:rsidRDefault="00000000">
            <w:pPr>
              <w:pStyle w:val="table"/>
              <w:tabs>
                <w:tab w:val="decimal" w:pos="747"/>
              </w:tabs>
            </w:pPr>
            <w:r>
              <w:t>140 035</w:t>
            </w:r>
          </w:p>
        </w:tc>
        <w:tc>
          <w:tcPr>
            <w:tcW w:w="1128" w:type="dxa"/>
            <w:vAlign w:val="bottom"/>
          </w:tcPr>
          <w:p w:rsidR="00000000" w:rsidRDefault="00000000">
            <w:pPr>
              <w:pStyle w:val="table"/>
              <w:tabs>
                <w:tab w:val="decimal" w:pos="747"/>
              </w:tabs>
            </w:pPr>
            <w:r>
              <w:t>343 577</w:t>
            </w:r>
          </w:p>
        </w:tc>
      </w:tr>
      <w:tr w:rsidR="00000000">
        <w:tblPrEx>
          <w:tblCellMar>
            <w:top w:w="0" w:type="dxa"/>
            <w:bottom w:w="0" w:type="dxa"/>
          </w:tblCellMar>
        </w:tblPrEx>
        <w:tc>
          <w:tcPr>
            <w:tcW w:w="2088" w:type="dxa"/>
          </w:tcPr>
          <w:p w:rsidR="00000000" w:rsidRDefault="00000000">
            <w:pPr>
              <w:pStyle w:val="table"/>
            </w:pPr>
            <w:r>
              <w:t>Рейнланд-Пфальц</w:t>
            </w:r>
          </w:p>
        </w:tc>
        <w:tc>
          <w:tcPr>
            <w:tcW w:w="1130" w:type="dxa"/>
            <w:vAlign w:val="bottom"/>
          </w:tcPr>
          <w:p w:rsidR="00000000" w:rsidRDefault="00000000">
            <w:pPr>
              <w:pStyle w:val="table"/>
              <w:tabs>
                <w:tab w:val="decimal" w:pos="747"/>
              </w:tabs>
            </w:pPr>
            <w:r>
              <w:t>43 678</w:t>
            </w:r>
          </w:p>
        </w:tc>
        <w:tc>
          <w:tcPr>
            <w:tcW w:w="1130" w:type="dxa"/>
            <w:vAlign w:val="bottom"/>
          </w:tcPr>
          <w:p w:rsidR="00000000" w:rsidRDefault="00000000">
            <w:pPr>
              <w:pStyle w:val="table"/>
              <w:tabs>
                <w:tab w:val="decimal" w:pos="747"/>
              </w:tabs>
            </w:pPr>
            <w:r>
              <w:t>27 633</w:t>
            </w:r>
          </w:p>
        </w:tc>
        <w:tc>
          <w:tcPr>
            <w:tcW w:w="1130" w:type="dxa"/>
            <w:vAlign w:val="bottom"/>
          </w:tcPr>
          <w:p w:rsidR="00000000" w:rsidRDefault="00000000">
            <w:pPr>
              <w:pStyle w:val="table"/>
              <w:tabs>
                <w:tab w:val="decimal" w:pos="747"/>
              </w:tabs>
            </w:pPr>
            <w:r>
              <w:t>71 311</w:t>
            </w:r>
          </w:p>
        </w:tc>
        <w:tc>
          <w:tcPr>
            <w:tcW w:w="1130" w:type="dxa"/>
            <w:vAlign w:val="bottom"/>
          </w:tcPr>
          <w:p w:rsidR="00000000" w:rsidRDefault="00000000">
            <w:pPr>
              <w:pStyle w:val="table"/>
              <w:tabs>
                <w:tab w:val="decimal" w:pos="747"/>
              </w:tabs>
            </w:pPr>
            <w:r>
              <w:t>45 983</w:t>
            </w:r>
          </w:p>
        </w:tc>
        <w:tc>
          <w:tcPr>
            <w:tcW w:w="1130" w:type="dxa"/>
            <w:vAlign w:val="bottom"/>
          </w:tcPr>
          <w:p w:rsidR="00000000" w:rsidRDefault="00000000">
            <w:pPr>
              <w:pStyle w:val="table"/>
              <w:tabs>
                <w:tab w:val="decimal" w:pos="747"/>
              </w:tabs>
            </w:pPr>
            <w:r>
              <w:t>28 404</w:t>
            </w:r>
          </w:p>
        </w:tc>
        <w:tc>
          <w:tcPr>
            <w:tcW w:w="1130" w:type="dxa"/>
            <w:vAlign w:val="bottom"/>
          </w:tcPr>
          <w:p w:rsidR="00000000" w:rsidRDefault="00000000">
            <w:pPr>
              <w:pStyle w:val="table"/>
              <w:tabs>
                <w:tab w:val="decimal" w:pos="747"/>
              </w:tabs>
            </w:pPr>
            <w:r>
              <w:t>74 387</w:t>
            </w:r>
          </w:p>
        </w:tc>
        <w:tc>
          <w:tcPr>
            <w:tcW w:w="1130" w:type="dxa"/>
            <w:vAlign w:val="bottom"/>
          </w:tcPr>
          <w:p w:rsidR="00000000" w:rsidRDefault="00000000">
            <w:pPr>
              <w:pStyle w:val="table"/>
              <w:tabs>
                <w:tab w:val="decimal" w:pos="747"/>
              </w:tabs>
            </w:pPr>
            <w:r>
              <w:t>48 379</w:t>
            </w:r>
          </w:p>
        </w:tc>
        <w:tc>
          <w:tcPr>
            <w:tcW w:w="1130" w:type="dxa"/>
            <w:vAlign w:val="bottom"/>
          </w:tcPr>
          <w:p w:rsidR="00000000" w:rsidRDefault="00000000">
            <w:pPr>
              <w:pStyle w:val="table"/>
              <w:tabs>
                <w:tab w:val="decimal" w:pos="747"/>
              </w:tabs>
            </w:pPr>
            <w:r>
              <w:t>31 373</w:t>
            </w:r>
          </w:p>
        </w:tc>
        <w:tc>
          <w:tcPr>
            <w:tcW w:w="1128" w:type="dxa"/>
            <w:vAlign w:val="bottom"/>
          </w:tcPr>
          <w:p w:rsidR="00000000" w:rsidRDefault="00000000">
            <w:pPr>
              <w:pStyle w:val="table"/>
              <w:tabs>
                <w:tab w:val="decimal" w:pos="747"/>
              </w:tabs>
            </w:pPr>
            <w:r>
              <w:t>79 752</w:t>
            </w:r>
          </w:p>
        </w:tc>
      </w:tr>
      <w:tr w:rsidR="00000000">
        <w:tblPrEx>
          <w:tblCellMar>
            <w:top w:w="0" w:type="dxa"/>
            <w:bottom w:w="0" w:type="dxa"/>
          </w:tblCellMar>
        </w:tblPrEx>
        <w:tc>
          <w:tcPr>
            <w:tcW w:w="2088" w:type="dxa"/>
          </w:tcPr>
          <w:p w:rsidR="00000000" w:rsidRDefault="00000000">
            <w:pPr>
              <w:pStyle w:val="table"/>
            </w:pPr>
            <w:r>
              <w:t>Саар</w:t>
            </w:r>
          </w:p>
        </w:tc>
        <w:tc>
          <w:tcPr>
            <w:tcW w:w="1130" w:type="dxa"/>
            <w:vAlign w:val="bottom"/>
          </w:tcPr>
          <w:p w:rsidR="00000000" w:rsidRDefault="00000000">
            <w:pPr>
              <w:pStyle w:val="table"/>
              <w:tabs>
                <w:tab w:val="decimal" w:pos="747"/>
              </w:tabs>
            </w:pPr>
            <w:r>
              <w:t>12 224</w:t>
            </w:r>
          </w:p>
        </w:tc>
        <w:tc>
          <w:tcPr>
            <w:tcW w:w="1130" w:type="dxa"/>
            <w:vAlign w:val="bottom"/>
          </w:tcPr>
          <w:p w:rsidR="00000000" w:rsidRDefault="00000000">
            <w:pPr>
              <w:pStyle w:val="table"/>
              <w:tabs>
                <w:tab w:val="decimal" w:pos="747"/>
              </w:tabs>
            </w:pPr>
            <w:r>
              <w:t>7790</w:t>
            </w:r>
          </w:p>
        </w:tc>
        <w:tc>
          <w:tcPr>
            <w:tcW w:w="1130" w:type="dxa"/>
            <w:vAlign w:val="bottom"/>
          </w:tcPr>
          <w:p w:rsidR="00000000" w:rsidRDefault="00000000">
            <w:pPr>
              <w:pStyle w:val="table"/>
              <w:tabs>
                <w:tab w:val="decimal" w:pos="747"/>
              </w:tabs>
            </w:pPr>
            <w:r>
              <w:t>20 014</w:t>
            </w:r>
          </w:p>
        </w:tc>
        <w:tc>
          <w:tcPr>
            <w:tcW w:w="1130" w:type="dxa"/>
            <w:vAlign w:val="bottom"/>
          </w:tcPr>
          <w:p w:rsidR="00000000" w:rsidRDefault="00000000">
            <w:pPr>
              <w:pStyle w:val="table"/>
              <w:tabs>
                <w:tab w:val="decimal" w:pos="747"/>
              </w:tabs>
            </w:pPr>
            <w:r>
              <w:t>12 829</w:t>
            </w:r>
          </w:p>
        </w:tc>
        <w:tc>
          <w:tcPr>
            <w:tcW w:w="1130" w:type="dxa"/>
            <w:vAlign w:val="bottom"/>
          </w:tcPr>
          <w:p w:rsidR="00000000" w:rsidRDefault="00000000">
            <w:pPr>
              <w:pStyle w:val="table"/>
              <w:tabs>
                <w:tab w:val="decimal" w:pos="747"/>
              </w:tabs>
            </w:pPr>
            <w:r>
              <w:t>8007</w:t>
            </w:r>
          </w:p>
        </w:tc>
        <w:tc>
          <w:tcPr>
            <w:tcW w:w="1130" w:type="dxa"/>
            <w:vAlign w:val="bottom"/>
          </w:tcPr>
          <w:p w:rsidR="00000000" w:rsidRDefault="00000000">
            <w:pPr>
              <w:pStyle w:val="table"/>
              <w:tabs>
                <w:tab w:val="decimal" w:pos="747"/>
              </w:tabs>
            </w:pPr>
            <w:r>
              <w:t>20 836</w:t>
            </w:r>
          </w:p>
        </w:tc>
        <w:tc>
          <w:tcPr>
            <w:tcW w:w="1130" w:type="dxa"/>
            <w:vAlign w:val="bottom"/>
          </w:tcPr>
          <w:p w:rsidR="00000000" w:rsidRDefault="00000000">
            <w:pPr>
              <w:pStyle w:val="table"/>
              <w:tabs>
                <w:tab w:val="decimal" w:pos="747"/>
              </w:tabs>
            </w:pPr>
            <w:r>
              <w:t>13 316</w:t>
            </w:r>
          </w:p>
        </w:tc>
        <w:tc>
          <w:tcPr>
            <w:tcW w:w="1130" w:type="dxa"/>
            <w:vAlign w:val="bottom"/>
          </w:tcPr>
          <w:p w:rsidR="00000000" w:rsidRDefault="00000000">
            <w:pPr>
              <w:pStyle w:val="table"/>
              <w:tabs>
                <w:tab w:val="decimal" w:pos="747"/>
              </w:tabs>
            </w:pPr>
            <w:r>
              <w:t>9059</w:t>
            </w:r>
          </w:p>
        </w:tc>
        <w:tc>
          <w:tcPr>
            <w:tcW w:w="1128" w:type="dxa"/>
            <w:vAlign w:val="bottom"/>
          </w:tcPr>
          <w:p w:rsidR="00000000" w:rsidRDefault="00000000">
            <w:pPr>
              <w:pStyle w:val="table"/>
              <w:tabs>
                <w:tab w:val="decimal" w:pos="747"/>
              </w:tabs>
            </w:pPr>
            <w:r>
              <w:t>22 375</w:t>
            </w:r>
          </w:p>
        </w:tc>
      </w:tr>
      <w:tr w:rsidR="00000000">
        <w:tblPrEx>
          <w:tblCellMar>
            <w:top w:w="0" w:type="dxa"/>
            <w:bottom w:w="0" w:type="dxa"/>
          </w:tblCellMar>
        </w:tblPrEx>
        <w:tc>
          <w:tcPr>
            <w:tcW w:w="2088" w:type="dxa"/>
          </w:tcPr>
          <w:p w:rsidR="00000000" w:rsidRDefault="00000000">
            <w:pPr>
              <w:pStyle w:val="table"/>
            </w:pPr>
            <w:r>
              <w:t>Саксония</w:t>
            </w:r>
          </w:p>
        </w:tc>
        <w:tc>
          <w:tcPr>
            <w:tcW w:w="1130" w:type="dxa"/>
            <w:vAlign w:val="bottom"/>
          </w:tcPr>
          <w:p w:rsidR="00000000" w:rsidRDefault="00000000">
            <w:pPr>
              <w:pStyle w:val="table"/>
              <w:tabs>
                <w:tab w:val="decimal" w:pos="747"/>
              </w:tabs>
            </w:pPr>
            <w:r>
              <w:t>59 642</w:t>
            </w:r>
          </w:p>
        </w:tc>
        <w:tc>
          <w:tcPr>
            <w:tcW w:w="1130" w:type="dxa"/>
            <w:vAlign w:val="bottom"/>
          </w:tcPr>
          <w:p w:rsidR="00000000" w:rsidRDefault="00000000">
            <w:pPr>
              <w:pStyle w:val="table"/>
              <w:tabs>
                <w:tab w:val="decimal" w:pos="747"/>
              </w:tabs>
            </w:pPr>
            <w:r>
              <w:t>35 897</w:t>
            </w:r>
          </w:p>
        </w:tc>
        <w:tc>
          <w:tcPr>
            <w:tcW w:w="1130" w:type="dxa"/>
            <w:vAlign w:val="bottom"/>
          </w:tcPr>
          <w:p w:rsidR="00000000" w:rsidRDefault="00000000">
            <w:pPr>
              <w:pStyle w:val="table"/>
              <w:tabs>
                <w:tab w:val="decimal" w:pos="747"/>
              </w:tabs>
            </w:pPr>
            <w:r>
              <w:t>95 539</w:t>
            </w:r>
          </w:p>
        </w:tc>
        <w:tc>
          <w:tcPr>
            <w:tcW w:w="1130" w:type="dxa"/>
            <w:vAlign w:val="bottom"/>
          </w:tcPr>
          <w:p w:rsidR="00000000" w:rsidRDefault="00000000">
            <w:pPr>
              <w:pStyle w:val="table"/>
              <w:tabs>
                <w:tab w:val="decimal" w:pos="747"/>
              </w:tabs>
            </w:pPr>
            <w:r>
              <w:t>70 455</w:t>
            </w:r>
          </w:p>
        </w:tc>
        <w:tc>
          <w:tcPr>
            <w:tcW w:w="1130" w:type="dxa"/>
            <w:vAlign w:val="bottom"/>
          </w:tcPr>
          <w:p w:rsidR="00000000" w:rsidRDefault="00000000">
            <w:pPr>
              <w:pStyle w:val="table"/>
              <w:tabs>
                <w:tab w:val="decimal" w:pos="747"/>
              </w:tabs>
            </w:pPr>
            <w:r>
              <w:t>42 316</w:t>
            </w:r>
          </w:p>
        </w:tc>
        <w:tc>
          <w:tcPr>
            <w:tcW w:w="1130" w:type="dxa"/>
            <w:vAlign w:val="bottom"/>
          </w:tcPr>
          <w:p w:rsidR="00000000" w:rsidRDefault="00000000">
            <w:pPr>
              <w:pStyle w:val="table"/>
              <w:tabs>
                <w:tab w:val="decimal" w:pos="747"/>
              </w:tabs>
            </w:pPr>
            <w:r>
              <w:t>112 771</w:t>
            </w:r>
          </w:p>
        </w:tc>
        <w:tc>
          <w:tcPr>
            <w:tcW w:w="1130" w:type="dxa"/>
            <w:vAlign w:val="bottom"/>
          </w:tcPr>
          <w:p w:rsidR="00000000" w:rsidRDefault="00000000">
            <w:pPr>
              <w:pStyle w:val="table"/>
              <w:tabs>
                <w:tab w:val="decimal" w:pos="747"/>
              </w:tabs>
            </w:pPr>
            <w:r>
              <w:t>62 549</w:t>
            </w:r>
          </w:p>
        </w:tc>
        <w:tc>
          <w:tcPr>
            <w:tcW w:w="1130" w:type="dxa"/>
            <w:vAlign w:val="bottom"/>
          </w:tcPr>
          <w:p w:rsidR="00000000" w:rsidRDefault="00000000">
            <w:pPr>
              <w:pStyle w:val="table"/>
              <w:tabs>
                <w:tab w:val="decimal" w:pos="747"/>
              </w:tabs>
            </w:pPr>
            <w:r>
              <w:t>39 547</w:t>
            </w:r>
          </w:p>
        </w:tc>
        <w:tc>
          <w:tcPr>
            <w:tcW w:w="1128" w:type="dxa"/>
            <w:vAlign w:val="bottom"/>
          </w:tcPr>
          <w:p w:rsidR="00000000" w:rsidRDefault="00000000">
            <w:pPr>
              <w:pStyle w:val="table"/>
              <w:tabs>
                <w:tab w:val="decimal" w:pos="747"/>
              </w:tabs>
            </w:pPr>
            <w:r>
              <w:t>102 096</w:t>
            </w:r>
          </w:p>
        </w:tc>
      </w:tr>
      <w:tr w:rsidR="00000000">
        <w:tblPrEx>
          <w:tblCellMar>
            <w:top w:w="0" w:type="dxa"/>
            <w:bottom w:w="0" w:type="dxa"/>
          </w:tblCellMar>
        </w:tblPrEx>
        <w:tc>
          <w:tcPr>
            <w:tcW w:w="2088" w:type="dxa"/>
          </w:tcPr>
          <w:p w:rsidR="00000000" w:rsidRDefault="00000000">
            <w:pPr>
              <w:pStyle w:val="table"/>
            </w:pPr>
            <w:r>
              <w:t>Саксония-Анхальт</w:t>
            </w:r>
          </w:p>
        </w:tc>
        <w:tc>
          <w:tcPr>
            <w:tcW w:w="1130" w:type="dxa"/>
            <w:vAlign w:val="bottom"/>
          </w:tcPr>
          <w:p w:rsidR="00000000" w:rsidRDefault="00000000">
            <w:pPr>
              <w:pStyle w:val="table"/>
              <w:tabs>
                <w:tab w:val="decimal" w:pos="747"/>
              </w:tabs>
            </w:pPr>
            <w:r>
              <w:t>35 682</w:t>
            </w:r>
          </w:p>
        </w:tc>
        <w:tc>
          <w:tcPr>
            <w:tcW w:w="1130" w:type="dxa"/>
            <w:vAlign w:val="bottom"/>
          </w:tcPr>
          <w:p w:rsidR="00000000" w:rsidRDefault="00000000">
            <w:pPr>
              <w:pStyle w:val="table"/>
              <w:tabs>
                <w:tab w:val="decimal" w:pos="747"/>
              </w:tabs>
            </w:pPr>
            <w:r>
              <w:t>21 916</w:t>
            </w:r>
          </w:p>
        </w:tc>
        <w:tc>
          <w:tcPr>
            <w:tcW w:w="1130" w:type="dxa"/>
            <w:vAlign w:val="bottom"/>
          </w:tcPr>
          <w:p w:rsidR="00000000" w:rsidRDefault="00000000">
            <w:pPr>
              <w:pStyle w:val="table"/>
              <w:tabs>
                <w:tab w:val="decimal" w:pos="747"/>
              </w:tabs>
            </w:pPr>
            <w:r>
              <w:t>57 598</w:t>
            </w:r>
          </w:p>
        </w:tc>
        <w:tc>
          <w:tcPr>
            <w:tcW w:w="1130" w:type="dxa"/>
            <w:vAlign w:val="bottom"/>
          </w:tcPr>
          <w:p w:rsidR="00000000" w:rsidRDefault="00000000">
            <w:pPr>
              <w:pStyle w:val="table"/>
              <w:tabs>
                <w:tab w:val="decimal" w:pos="747"/>
              </w:tabs>
            </w:pPr>
            <w:r>
              <w:t>43 362</w:t>
            </w:r>
          </w:p>
        </w:tc>
        <w:tc>
          <w:tcPr>
            <w:tcW w:w="1130" w:type="dxa"/>
            <w:vAlign w:val="bottom"/>
          </w:tcPr>
          <w:p w:rsidR="00000000" w:rsidRDefault="00000000">
            <w:pPr>
              <w:pStyle w:val="table"/>
              <w:tabs>
                <w:tab w:val="decimal" w:pos="747"/>
              </w:tabs>
            </w:pPr>
            <w:r>
              <w:t>26 436</w:t>
            </w:r>
          </w:p>
        </w:tc>
        <w:tc>
          <w:tcPr>
            <w:tcW w:w="1130" w:type="dxa"/>
            <w:vAlign w:val="bottom"/>
          </w:tcPr>
          <w:p w:rsidR="00000000" w:rsidRDefault="00000000">
            <w:pPr>
              <w:pStyle w:val="table"/>
              <w:tabs>
                <w:tab w:val="decimal" w:pos="747"/>
              </w:tabs>
            </w:pPr>
            <w:r>
              <w:t>69 798</w:t>
            </w:r>
          </w:p>
        </w:tc>
        <w:tc>
          <w:tcPr>
            <w:tcW w:w="1130" w:type="dxa"/>
            <w:vAlign w:val="bottom"/>
          </w:tcPr>
          <w:p w:rsidR="00000000" w:rsidRDefault="00000000">
            <w:pPr>
              <w:pStyle w:val="table"/>
              <w:tabs>
                <w:tab w:val="decimal" w:pos="747"/>
              </w:tabs>
            </w:pPr>
            <w:r>
              <w:t>38 609</w:t>
            </w:r>
          </w:p>
        </w:tc>
        <w:tc>
          <w:tcPr>
            <w:tcW w:w="1130" w:type="dxa"/>
            <w:vAlign w:val="bottom"/>
          </w:tcPr>
          <w:p w:rsidR="00000000" w:rsidRDefault="00000000">
            <w:pPr>
              <w:pStyle w:val="table"/>
              <w:tabs>
                <w:tab w:val="decimal" w:pos="747"/>
              </w:tabs>
            </w:pPr>
            <w:r>
              <w:t>23 509</w:t>
            </w:r>
          </w:p>
        </w:tc>
        <w:tc>
          <w:tcPr>
            <w:tcW w:w="1128" w:type="dxa"/>
            <w:vAlign w:val="bottom"/>
          </w:tcPr>
          <w:p w:rsidR="00000000" w:rsidRDefault="00000000">
            <w:pPr>
              <w:pStyle w:val="table"/>
              <w:tabs>
                <w:tab w:val="decimal" w:pos="747"/>
              </w:tabs>
            </w:pPr>
            <w:r>
              <w:t>62 118</w:t>
            </w:r>
          </w:p>
        </w:tc>
      </w:tr>
      <w:tr w:rsidR="00000000">
        <w:tblPrEx>
          <w:tblCellMar>
            <w:top w:w="0" w:type="dxa"/>
            <w:bottom w:w="0" w:type="dxa"/>
          </w:tblCellMar>
        </w:tblPrEx>
        <w:tc>
          <w:tcPr>
            <w:tcW w:w="2088" w:type="dxa"/>
          </w:tcPr>
          <w:p w:rsidR="00000000" w:rsidRDefault="00000000">
            <w:pPr>
              <w:pStyle w:val="table"/>
            </w:pPr>
            <w:r>
              <w:t>Шлезвиг-Гольштейн</w:t>
            </w:r>
          </w:p>
        </w:tc>
        <w:tc>
          <w:tcPr>
            <w:tcW w:w="1130" w:type="dxa"/>
            <w:vAlign w:val="bottom"/>
          </w:tcPr>
          <w:p w:rsidR="00000000" w:rsidRDefault="00000000">
            <w:pPr>
              <w:pStyle w:val="table"/>
              <w:tabs>
                <w:tab w:val="decimal" w:pos="747"/>
              </w:tabs>
            </w:pPr>
            <w:r>
              <w:t>30 940</w:t>
            </w:r>
          </w:p>
        </w:tc>
        <w:tc>
          <w:tcPr>
            <w:tcW w:w="1130" w:type="dxa"/>
            <w:vAlign w:val="bottom"/>
          </w:tcPr>
          <w:p w:rsidR="00000000" w:rsidRDefault="00000000">
            <w:pPr>
              <w:pStyle w:val="table"/>
              <w:tabs>
                <w:tab w:val="decimal" w:pos="747"/>
              </w:tabs>
            </w:pPr>
            <w:r>
              <w:t>22 929</w:t>
            </w:r>
          </w:p>
        </w:tc>
        <w:tc>
          <w:tcPr>
            <w:tcW w:w="1130" w:type="dxa"/>
            <w:vAlign w:val="bottom"/>
          </w:tcPr>
          <w:p w:rsidR="00000000" w:rsidRDefault="00000000">
            <w:pPr>
              <w:pStyle w:val="table"/>
              <w:tabs>
                <w:tab w:val="decimal" w:pos="747"/>
              </w:tabs>
            </w:pPr>
            <w:r>
              <w:t>53 869</w:t>
            </w:r>
          </w:p>
        </w:tc>
        <w:tc>
          <w:tcPr>
            <w:tcW w:w="1130" w:type="dxa"/>
            <w:vAlign w:val="bottom"/>
          </w:tcPr>
          <w:p w:rsidR="00000000" w:rsidRDefault="00000000">
            <w:pPr>
              <w:pStyle w:val="table"/>
              <w:tabs>
                <w:tab w:val="decimal" w:pos="747"/>
              </w:tabs>
            </w:pPr>
            <w:r>
              <w:t>30 181</w:t>
            </w:r>
          </w:p>
        </w:tc>
        <w:tc>
          <w:tcPr>
            <w:tcW w:w="1130" w:type="dxa"/>
            <w:vAlign w:val="bottom"/>
          </w:tcPr>
          <w:p w:rsidR="00000000" w:rsidRDefault="00000000">
            <w:pPr>
              <w:pStyle w:val="table"/>
              <w:tabs>
                <w:tab w:val="decimal" w:pos="747"/>
              </w:tabs>
            </w:pPr>
            <w:r>
              <w:t>21 877</w:t>
            </w:r>
          </w:p>
        </w:tc>
        <w:tc>
          <w:tcPr>
            <w:tcW w:w="1130" w:type="dxa"/>
            <w:vAlign w:val="bottom"/>
          </w:tcPr>
          <w:p w:rsidR="00000000" w:rsidRDefault="00000000">
            <w:pPr>
              <w:pStyle w:val="table"/>
              <w:tabs>
                <w:tab w:val="decimal" w:pos="747"/>
              </w:tabs>
            </w:pPr>
            <w:r>
              <w:t>52 058</w:t>
            </w:r>
          </w:p>
        </w:tc>
        <w:tc>
          <w:tcPr>
            <w:tcW w:w="1130" w:type="dxa"/>
            <w:vAlign w:val="bottom"/>
          </w:tcPr>
          <w:p w:rsidR="00000000" w:rsidRDefault="00000000">
            <w:pPr>
              <w:pStyle w:val="table"/>
              <w:tabs>
                <w:tab w:val="decimal" w:pos="747"/>
              </w:tabs>
            </w:pPr>
            <w:r>
              <w:t>29 700</w:t>
            </w:r>
          </w:p>
        </w:tc>
        <w:tc>
          <w:tcPr>
            <w:tcW w:w="1130" w:type="dxa"/>
            <w:vAlign w:val="bottom"/>
          </w:tcPr>
          <w:p w:rsidR="00000000" w:rsidRDefault="00000000">
            <w:pPr>
              <w:pStyle w:val="table"/>
              <w:tabs>
                <w:tab w:val="decimal" w:pos="747"/>
              </w:tabs>
            </w:pPr>
            <w:r>
              <w:t>22 673</w:t>
            </w:r>
          </w:p>
        </w:tc>
        <w:tc>
          <w:tcPr>
            <w:tcW w:w="1128" w:type="dxa"/>
            <w:vAlign w:val="bottom"/>
          </w:tcPr>
          <w:p w:rsidR="00000000" w:rsidRDefault="00000000">
            <w:pPr>
              <w:pStyle w:val="table"/>
              <w:tabs>
                <w:tab w:val="decimal" w:pos="747"/>
              </w:tabs>
            </w:pPr>
            <w:r>
              <w:t>52 373</w:t>
            </w:r>
          </w:p>
        </w:tc>
      </w:tr>
      <w:tr w:rsidR="00000000">
        <w:tblPrEx>
          <w:tblCellMar>
            <w:top w:w="0" w:type="dxa"/>
            <w:bottom w:w="0" w:type="dxa"/>
          </w:tblCellMar>
        </w:tblPrEx>
        <w:tc>
          <w:tcPr>
            <w:tcW w:w="2088" w:type="dxa"/>
          </w:tcPr>
          <w:p w:rsidR="00000000" w:rsidRDefault="00000000">
            <w:pPr>
              <w:pStyle w:val="table"/>
            </w:pPr>
            <w:r>
              <w:t>Тюрингия</w:t>
            </w:r>
          </w:p>
        </w:tc>
        <w:tc>
          <w:tcPr>
            <w:tcW w:w="1130" w:type="dxa"/>
            <w:vAlign w:val="bottom"/>
          </w:tcPr>
          <w:p w:rsidR="00000000" w:rsidRDefault="00000000">
            <w:pPr>
              <w:pStyle w:val="table"/>
              <w:tabs>
                <w:tab w:val="decimal" w:pos="747"/>
              </w:tabs>
            </w:pPr>
            <w:r>
              <w:t>33 314</w:t>
            </w:r>
          </w:p>
        </w:tc>
        <w:tc>
          <w:tcPr>
            <w:tcW w:w="1130" w:type="dxa"/>
            <w:vAlign w:val="bottom"/>
          </w:tcPr>
          <w:p w:rsidR="00000000" w:rsidRDefault="00000000">
            <w:pPr>
              <w:pStyle w:val="table"/>
              <w:tabs>
                <w:tab w:val="decimal" w:pos="747"/>
              </w:tabs>
            </w:pPr>
            <w:r>
              <w:t>19 784</w:t>
            </w:r>
          </w:p>
        </w:tc>
        <w:tc>
          <w:tcPr>
            <w:tcW w:w="1130" w:type="dxa"/>
            <w:vAlign w:val="bottom"/>
          </w:tcPr>
          <w:p w:rsidR="00000000" w:rsidRDefault="00000000">
            <w:pPr>
              <w:pStyle w:val="table"/>
              <w:tabs>
                <w:tab w:val="decimal" w:pos="747"/>
              </w:tabs>
            </w:pPr>
            <w:r>
              <w:t>53 098</w:t>
            </w:r>
          </w:p>
        </w:tc>
        <w:tc>
          <w:tcPr>
            <w:tcW w:w="1130" w:type="dxa"/>
            <w:vAlign w:val="bottom"/>
          </w:tcPr>
          <w:p w:rsidR="00000000" w:rsidRDefault="00000000">
            <w:pPr>
              <w:pStyle w:val="table"/>
              <w:tabs>
                <w:tab w:val="decimal" w:pos="747"/>
              </w:tabs>
            </w:pPr>
            <w:r>
              <w:t>38 391</w:t>
            </w:r>
          </w:p>
        </w:tc>
        <w:tc>
          <w:tcPr>
            <w:tcW w:w="1130" w:type="dxa"/>
            <w:vAlign w:val="bottom"/>
          </w:tcPr>
          <w:p w:rsidR="00000000" w:rsidRDefault="00000000">
            <w:pPr>
              <w:pStyle w:val="table"/>
              <w:tabs>
                <w:tab w:val="decimal" w:pos="747"/>
              </w:tabs>
            </w:pPr>
            <w:r>
              <w:t>24 537</w:t>
            </w:r>
          </w:p>
        </w:tc>
        <w:tc>
          <w:tcPr>
            <w:tcW w:w="1130" w:type="dxa"/>
            <w:vAlign w:val="bottom"/>
          </w:tcPr>
          <w:p w:rsidR="00000000" w:rsidRDefault="00000000">
            <w:pPr>
              <w:pStyle w:val="table"/>
              <w:tabs>
                <w:tab w:val="decimal" w:pos="747"/>
              </w:tabs>
            </w:pPr>
            <w:r>
              <w:t>60 928</w:t>
            </w:r>
          </w:p>
        </w:tc>
        <w:tc>
          <w:tcPr>
            <w:tcW w:w="1130" w:type="dxa"/>
            <w:vAlign w:val="bottom"/>
          </w:tcPr>
          <w:p w:rsidR="00000000" w:rsidRDefault="00000000">
            <w:pPr>
              <w:pStyle w:val="table"/>
              <w:tabs>
                <w:tab w:val="decimal" w:pos="747"/>
              </w:tabs>
            </w:pPr>
            <w:r>
              <w:t>36 566</w:t>
            </w:r>
          </w:p>
        </w:tc>
        <w:tc>
          <w:tcPr>
            <w:tcW w:w="1130" w:type="dxa"/>
            <w:vAlign w:val="bottom"/>
          </w:tcPr>
          <w:p w:rsidR="00000000" w:rsidRDefault="00000000">
            <w:pPr>
              <w:pStyle w:val="table"/>
              <w:tabs>
                <w:tab w:val="decimal" w:pos="747"/>
              </w:tabs>
            </w:pPr>
            <w:r>
              <w:t>21 323</w:t>
            </w:r>
          </w:p>
        </w:tc>
        <w:tc>
          <w:tcPr>
            <w:tcW w:w="1128" w:type="dxa"/>
            <w:vAlign w:val="bottom"/>
          </w:tcPr>
          <w:p w:rsidR="00000000" w:rsidRDefault="00000000">
            <w:pPr>
              <w:pStyle w:val="table"/>
              <w:tabs>
                <w:tab w:val="decimal" w:pos="747"/>
              </w:tabs>
            </w:pPr>
            <w:r>
              <w:t>57 889</w:t>
            </w:r>
          </w:p>
        </w:tc>
      </w:tr>
      <w:tr w:rsidR="00000000">
        <w:tblPrEx>
          <w:tblCellMar>
            <w:top w:w="0" w:type="dxa"/>
            <w:bottom w:w="0" w:type="dxa"/>
          </w:tblCellMar>
        </w:tblPrEx>
        <w:tc>
          <w:tcPr>
            <w:tcW w:w="2088" w:type="dxa"/>
          </w:tcPr>
          <w:p w:rsidR="00000000" w:rsidRDefault="00000000">
            <w:pPr>
              <w:pStyle w:val="table"/>
            </w:pPr>
            <w:r>
              <w:t>Германия</w:t>
            </w:r>
          </w:p>
        </w:tc>
        <w:tc>
          <w:tcPr>
            <w:tcW w:w="1130" w:type="dxa"/>
            <w:vAlign w:val="bottom"/>
          </w:tcPr>
          <w:p w:rsidR="00000000" w:rsidRDefault="00000000">
            <w:pPr>
              <w:pStyle w:val="table"/>
              <w:tabs>
                <w:tab w:val="decimal" w:pos="747"/>
              </w:tabs>
            </w:pPr>
            <w:r>
              <w:t>947 283</w:t>
            </w:r>
          </w:p>
        </w:tc>
        <w:tc>
          <w:tcPr>
            <w:tcW w:w="1130" w:type="dxa"/>
            <w:vAlign w:val="bottom"/>
          </w:tcPr>
          <w:p w:rsidR="00000000" w:rsidRDefault="00000000">
            <w:pPr>
              <w:pStyle w:val="table"/>
              <w:tabs>
                <w:tab w:val="decimal" w:pos="747"/>
              </w:tabs>
            </w:pPr>
            <w:r>
              <w:t>632 596</w:t>
            </w:r>
          </w:p>
        </w:tc>
        <w:tc>
          <w:tcPr>
            <w:tcW w:w="1130" w:type="dxa"/>
            <w:vAlign w:val="bottom"/>
          </w:tcPr>
          <w:p w:rsidR="00000000" w:rsidRDefault="00000000">
            <w:pPr>
              <w:pStyle w:val="table"/>
              <w:tabs>
                <w:tab w:val="decimal" w:pos="747"/>
              </w:tabs>
            </w:pPr>
            <w:r>
              <w:t>1 579 879</w:t>
            </w:r>
          </w:p>
        </w:tc>
        <w:tc>
          <w:tcPr>
            <w:tcW w:w="1130" w:type="dxa"/>
            <w:vAlign w:val="bottom"/>
          </w:tcPr>
          <w:p w:rsidR="00000000" w:rsidRDefault="00000000">
            <w:pPr>
              <w:pStyle w:val="table"/>
              <w:tabs>
                <w:tab w:val="decimal" w:pos="747"/>
              </w:tabs>
            </w:pPr>
            <w:r>
              <w:t>974 366</w:t>
            </w:r>
          </w:p>
        </w:tc>
        <w:tc>
          <w:tcPr>
            <w:tcW w:w="1130" w:type="dxa"/>
            <w:vAlign w:val="bottom"/>
          </w:tcPr>
          <w:p w:rsidR="00000000" w:rsidRDefault="00000000">
            <w:pPr>
              <w:pStyle w:val="table"/>
              <w:tabs>
                <w:tab w:val="decimal" w:pos="747"/>
              </w:tabs>
            </w:pPr>
            <w:r>
              <w:t>647 842</w:t>
            </w:r>
          </w:p>
        </w:tc>
        <w:tc>
          <w:tcPr>
            <w:tcW w:w="1130" w:type="dxa"/>
            <w:vAlign w:val="bottom"/>
          </w:tcPr>
          <w:p w:rsidR="00000000" w:rsidRDefault="00000000">
            <w:pPr>
              <w:pStyle w:val="table"/>
              <w:tabs>
                <w:tab w:val="decimal" w:pos="747"/>
              </w:tabs>
            </w:pPr>
            <w:r>
              <w:t>1 622 208</w:t>
            </w:r>
          </w:p>
        </w:tc>
        <w:tc>
          <w:tcPr>
            <w:tcW w:w="1130" w:type="dxa"/>
            <w:vAlign w:val="bottom"/>
          </w:tcPr>
          <w:p w:rsidR="00000000" w:rsidRDefault="00000000">
            <w:pPr>
              <w:pStyle w:val="table"/>
              <w:tabs>
                <w:tab w:val="decimal" w:pos="747"/>
              </w:tabs>
            </w:pPr>
            <w:r>
              <w:t>993 495</w:t>
            </w:r>
          </w:p>
        </w:tc>
        <w:tc>
          <w:tcPr>
            <w:tcW w:w="1130" w:type="dxa"/>
            <w:vAlign w:val="bottom"/>
          </w:tcPr>
          <w:p w:rsidR="00000000" w:rsidRDefault="00000000">
            <w:pPr>
              <w:pStyle w:val="table"/>
              <w:tabs>
                <w:tab w:val="decimal" w:pos="747"/>
              </w:tabs>
            </w:pPr>
            <w:r>
              <w:t>691 174</w:t>
            </w:r>
          </w:p>
        </w:tc>
        <w:tc>
          <w:tcPr>
            <w:tcW w:w="1128" w:type="dxa"/>
            <w:vAlign w:val="bottom"/>
          </w:tcPr>
          <w:p w:rsidR="00000000" w:rsidRDefault="00000000">
            <w:pPr>
              <w:pStyle w:val="table"/>
              <w:tabs>
                <w:tab w:val="decimal" w:pos="747"/>
              </w:tabs>
            </w:pPr>
            <w:r>
              <w:t>1 684 669</w:t>
            </w:r>
          </w:p>
        </w:tc>
      </w:tr>
      <w:tr w:rsidR="00000000">
        <w:tblPrEx>
          <w:tblCellMar>
            <w:top w:w="0" w:type="dxa"/>
            <w:bottom w:w="0" w:type="dxa"/>
          </w:tblCellMar>
        </w:tblPrEx>
        <w:tc>
          <w:tcPr>
            <w:tcW w:w="2088" w:type="dxa"/>
          </w:tcPr>
          <w:p w:rsidR="00000000" w:rsidRDefault="00000000">
            <w:pPr>
              <w:pStyle w:val="table"/>
            </w:pPr>
            <w:r>
              <w:t>Для сведения:</w:t>
            </w:r>
          </w:p>
          <w:p w:rsidR="00000000" w:rsidRDefault="00000000">
            <w:pPr>
              <w:pStyle w:val="table"/>
            </w:pPr>
            <w:r>
              <w:t>Прежняя федеральная территория (исключая Берлин)</w:t>
            </w:r>
          </w:p>
        </w:tc>
        <w:tc>
          <w:tcPr>
            <w:tcW w:w="1130" w:type="dxa"/>
            <w:vAlign w:val="bottom"/>
          </w:tcPr>
          <w:p w:rsidR="00000000" w:rsidRDefault="00000000">
            <w:pPr>
              <w:pStyle w:val="table"/>
              <w:tabs>
                <w:tab w:val="decimal" w:pos="747"/>
              </w:tabs>
            </w:pPr>
            <w:r>
              <w:t>761 487</w:t>
            </w:r>
          </w:p>
        </w:tc>
        <w:tc>
          <w:tcPr>
            <w:tcW w:w="1130" w:type="dxa"/>
            <w:vAlign w:val="bottom"/>
          </w:tcPr>
          <w:p w:rsidR="00000000" w:rsidRDefault="00000000">
            <w:pPr>
              <w:pStyle w:val="table"/>
              <w:tabs>
                <w:tab w:val="decimal" w:pos="747"/>
              </w:tabs>
            </w:pPr>
            <w:r>
              <w:t>519 838</w:t>
            </w:r>
          </w:p>
        </w:tc>
        <w:tc>
          <w:tcPr>
            <w:tcW w:w="1130" w:type="dxa"/>
            <w:vAlign w:val="bottom"/>
          </w:tcPr>
          <w:p w:rsidR="00000000" w:rsidRDefault="00000000">
            <w:pPr>
              <w:pStyle w:val="table"/>
              <w:tabs>
                <w:tab w:val="decimal" w:pos="747"/>
              </w:tabs>
            </w:pPr>
            <w:r>
              <w:t>1 281 325</w:t>
            </w:r>
          </w:p>
        </w:tc>
        <w:tc>
          <w:tcPr>
            <w:tcW w:w="1130" w:type="dxa"/>
            <w:vAlign w:val="bottom"/>
          </w:tcPr>
          <w:p w:rsidR="00000000" w:rsidRDefault="00000000">
            <w:pPr>
              <w:pStyle w:val="table"/>
              <w:tabs>
                <w:tab w:val="decimal" w:pos="747"/>
              </w:tabs>
            </w:pPr>
            <w:r>
              <w:t>750 306</w:t>
            </w:r>
          </w:p>
        </w:tc>
        <w:tc>
          <w:tcPr>
            <w:tcW w:w="1130" w:type="dxa"/>
            <w:vAlign w:val="bottom"/>
          </w:tcPr>
          <w:p w:rsidR="00000000" w:rsidRDefault="00000000">
            <w:pPr>
              <w:pStyle w:val="table"/>
              <w:tabs>
                <w:tab w:val="decimal" w:pos="747"/>
              </w:tabs>
            </w:pPr>
            <w:r>
              <w:t>511 093</w:t>
            </w:r>
          </w:p>
        </w:tc>
        <w:tc>
          <w:tcPr>
            <w:tcW w:w="1130" w:type="dxa"/>
            <w:vAlign w:val="bottom"/>
          </w:tcPr>
          <w:p w:rsidR="00000000" w:rsidRDefault="00000000">
            <w:pPr>
              <w:pStyle w:val="table"/>
              <w:tabs>
                <w:tab w:val="decimal" w:pos="747"/>
              </w:tabs>
            </w:pPr>
            <w:r>
              <w:t>1 261 399</w:t>
            </w:r>
          </w:p>
        </w:tc>
        <w:tc>
          <w:tcPr>
            <w:tcW w:w="1130" w:type="dxa"/>
            <w:vAlign w:val="bottom"/>
          </w:tcPr>
          <w:p w:rsidR="00000000" w:rsidRDefault="00000000">
            <w:pPr>
              <w:pStyle w:val="table"/>
              <w:tabs>
                <w:tab w:val="decimal" w:pos="747"/>
              </w:tabs>
            </w:pPr>
            <w:r>
              <w:t>761 514</w:t>
            </w:r>
          </w:p>
        </w:tc>
        <w:tc>
          <w:tcPr>
            <w:tcW w:w="1130" w:type="dxa"/>
            <w:vAlign w:val="bottom"/>
          </w:tcPr>
          <w:p w:rsidR="00000000" w:rsidRDefault="00000000">
            <w:pPr>
              <w:pStyle w:val="table"/>
              <w:tabs>
                <w:tab w:val="decimal" w:pos="747"/>
              </w:tabs>
            </w:pPr>
            <w:r>
              <w:t>535 688</w:t>
            </w:r>
          </w:p>
        </w:tc>
        <w:tc>
          <w:tcPr>
            <w:tcW w:w="1128" w:type="dxa"/>
            <w:vAlign w:val="bottom"/>
          </w:tcPr>
          <w:p w:rsidR="00000000" w:rsidRDefault="00000000">
            <w:pPr>
              <w:pStyle w:val="table"/>
              <w:tabs>
                <w:tab w:val="decimal" w:pos="747"/>
              </w:tabs>
            </w:pPr>
            <w:r>
              <w:t>1 297 202</w:t>
            </w:r>
          </w:p>
        </w:tc>
      </w:tr>
      <w:tr w:rsidR="00000000">
        <w:tblPrEx>
          <w:tblCellMar>
            <w:top w:w="0" w:type="dxa"/>
            <w:bottom w:w="0" w:type="dxa"/>
          </w:tblCellMar>
        </w:tblPrEx>
        <w:tc>
          <w:tcPr>
            <w:tcW w:w="2088" w:type="dxa"/>
            <w:tcBorders>
              <w:bottom w:val="single" w:sz="12" w:space="0" w:color="auto"/>
            </w:tcBorders>
          </w:tcPr>
          <w:p w:rsidR="00000000" w:rsidRDefault="00000000">
            <w:pPr>
              <w:pStyle w:val="table"/>
            </w:pPr>
            <w:r>
              <w:t>Новая территория (вкл</w:t>
            </w:r>
            <w:r>
              <w:t>ю</w:t>
            </w:r>
            <w:r>
              <w:t>чая Берлин)</w:t>
            </w:r>
          </w:p>
        </w:tc>
        <w:tc>
          <w:tcPr>
            <w:tcW w:w="1130" w:type="dxa"/>
            <w:tcBorders>
              <w:bottom w:val="single" w:sz="12" w:space="0" w:color="auto"/>
            </w:tcBorders>
            <w:vAlign w:val="bottom"/>
          </w:tcPr>
          <w:p w:rsidR="00000000" w:rsidRDefault="00000000">
            <w:pPr>
              <w:pStyle w:val="table"/>
              <w:tabs>
                <w:tab w:val="decimal" w:pos="747"/>
              </w:tabs>
            </w:pPr>
            <w:r>
              <w:t>185 796</w:t>
            </w:r>
          </w:p>
        </w:tc>
        <w:tc>
          <w:tcPr>
            <w:tcW w:w="1130" w:type="dxa"/>
            <w:tcBorders>
              <w:bottom w:val="single" w:sz="12" w:space="0" w:color="auto"/>
            </w:tcBorders>
            <w:vAlign w:val="bottom"/>
          </w:tcPr>
          <w:p w:rsidR="00000000" w:rsidRDefault="00000000">
            <w:pPr>
              <w:pStyle w:val="table"/>
              <w:tabs>
                <w:tab w:val="decimal" w:pos="747"/>
              </w:tabs>
            </w:pPr>
            <w:r>
              <w:t>112 758</w:t>
            </w:r>
          </w:p>
        </w:tc>
        <w:tc>
          <w:tcPr>
            <w:tcW w:w="1130" w:type="dxa"/>
            <w:tcBorders>
              <w:bottom w:val="single" w:sz="12" w:space="0" w:color="auto"/>
            </w:tcBorders>
            <w:vAlign w:val="bottom"/>
          </w:tcPr>
          <w:p w:rsidR="00000000" w:rsidRDefault="00000000">
            <w:pPr>
              <w:pStyle w:val="table"/>
              <w:tabs>
                <w:tab w:val="decimal" w:pos="747"/>
              </w:tabs>
            </w:pPr>
            <w:r>
              <w:t>298 554</w:t>
            </w:r>
          </w:p>
        </w:tc>
        <w:tc>
          <w:tcPr>
            <w:tcW w:w="1130" w:type="dxa"/>
            <w:tcBorders>
              <w:bottom w:val="single" w:sz="12" w:space="0" w:color="auto"/>
            </w:tcBorders>
            <w:vAlign w:val="bottom"/>
          </w:tcPr>
          <w:p w:rsidR="00000000" w:rsidRDefault="00000000">
            <w:pPr>
              <w:pStyle w:val="table"/>
              <w:tabs>
                <w:tab w:val="decimal" w:pos="747"/>
              </w:tabs>
            </w:pPr>
            <w:r>
              <w:t>224 060</w:t>
            </w:r>
          </w:p>
        </w:tc>
        <w:tc>
          <w:tcPr>
            <w:tcW w:w="1130" w:type="dxa"/>
            <w:tcBorders>
              <w:bottom w:val="single" w:sz="12" w:space="0" w:color="auto"/>
            </w:tcBorders>
            <w:vAlign w:val="bottom"/>
          </w:tcPr>
          <w:p w:rsidR="00000000" w:rsidRDefault="00000000">
            <w:pPr>
              <w:pStyle w:val="table"/>
              <w:tabs>
                <w:tab w:val="decimal" w:pos="747"/>
              </w:tabs>
            </w:pPr>
            <w:r>
              <w:t>136 749</w:t>
            </w:r>
          </w:p>
        </w:tc>
        <w:tc>
          <w:tcPr>
            <w:tcW w:w="1130" w:type="dxa"/>
            <w:tcBorders>
              <w:bottom w:val="single" w:sz="12" w:space="0" w:color="auto"/>
            </w:tcBorders>
            <w:vAlign w:val="bottom"/>
          </w:tcPr>
          <w:p w:rsidR="00000000" w:rsidRDefault="00000000">
            <w:pPr>
              <w:pStyle w:val="table"/>
              <w:tabs>
                <w:tab w:val="decimal" w:pos="747"/>
              </w:tabs>
            </w:pPr>
            <w:r>
              <w:t>360 159</w:t>
            </w:r>
          </w:p>
        </w:tc>
        <w:tc>
          <w:tcPr>
            <w:tcW w:w="1130" w:type="dxa"/>
            <w:tcBorders>
              <w:bottom w:val="single" w:sz="12" w:space="0" w:color="auto"/>
            </w:tcBorders>
            <w:vAlign w:val="bottom"/>
          </w:tcPr>
          <w:p w:rsidR="00000000" w:rsidRDefault="00000000">
            <w:pPr>
              <w:pStyle w:val="table"/>
              <w:tabs>
                <w:tab w:val="decimal" w:pos="747"/>
              </w:tabs>
            </w:pPr>
            <w:r>
              <w:t>245 159</w:t>
            </w:r>
          </w:p>
        </w:tc>
        <w:tc>
          <w:tcPr>
            <w:tcW w:w="1130" w:type="dxa"/>
            <w:tcBorders>
              <w:bottom w:val="single" w:sz="12" w:space="0" w:color="auto"/>
            </w:tcBorders>
            <w:vAlign w:val="bottom"/>
          </w:tcPr>
          <w:p w:rsidR="00000000" w:rsidRDefault="00000000">
            <w:pPr>
              <w:pStyle w:val="table"/>
              <w:tabs>
                <w:tab w:val="decimal" w:pos="747"/>
              </w:tabs>
            </w:pPr>
            <w:r>
              <w:t>159 656</w:t>
            </w:r>
          </w:p>
        </w:tc>
        <w:tc>
          <w:tcPr>
            <w:tcW w:w="1128" w:type="dxa"/>
            <w:tcBorders>
              <w:bottom w:val="single" w:sz="12" w:space="0" w:color="auto"/>
            </w:tcBorders>
            <w:vAlign w:val="bottom"/>
          </w:tcPr>
          <w:p w:rsidR="00000000" w:rsidRDefault="00000000">
            <w:pPr>
              <w:pStyle w:val="table"/>
              <w:tabs>
                <w:tab w:val="decimal" w:pos="747"/>
              </w:tabs>
            </w:pPr>
            <w:r>
              <w:t>404 815</w:t>
            </w:r>
          </w:p>
        </w:tc>
      </w:tr>
    </w:tbl>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43" w:name="_Toc44113568"/>
      <w:bookmarkStart w:id="744" w:name="_Toc44113869"/>
      <w:bookmarkStart w:id="745" w:name="_Toc44114377"/>
      <w:bookmarkStart w:id="746" w:name="_Toc44115623"/>
      <w:bookmarkStart w:id="747" w:name="_Toc44116055"/>
      <w:r>
        <w:t>Таблица 4.2.5 Предварительное школьное образование, полученное слушателями, заключившими новые контракты о прохождении профессиональной подготовки в 1996 и 2001 годах</w:t>
      </w:r>
      <w:bookmarkEnd w:id="743"/>
      <w:bookmarkEnd w:id="744"/>
      <w:bookmarkEnd w:id="745"/>
      <w:bookmarkEnd w:id="746"/>
      <w:bookmarkEnd w:id="747"/>
    </w:p>
    <w:tbl>
      <w:tblPr>
        <w:tblW w:w="0" w:type="auto"/>
        <w:tblInd w:w="2" w:type="dxa"/>
        <w:tblLayout w:type="fixed"/>
        <w:tblLook w:val="0000" w:firstRow="0" w:lastRow="0" w:firstColumn="0" w:lastColumn="0" w:noHBand="0" w:noVBand="0"/>
      </w:tblPr>
      <w:tblGrid>
        <w:gridCol w:w="4269"/>
        <w:gridCol w:w="2009"/>
        <w:gridCol w:w="2011"/>
        <w:gridCol w:w="2009"/>
        <w:gridCol w:w="1892"/>
      </w:tblGrid>
      <w:tr w:rsidR="00000000">
        <w:tblPrEx>
          <w:tblCellMar>
            <w:top w:w="0" w:type="dxa"/>
            <w:bottom w:w="0" w:type="dxa"/>
          </w:tblCellMar>
        </w:tblPrEx>
        <w:trPr>
          <w:cantSplit/>
        </w:trPr>
        <w:tc>
          <w:tcPr>
            <w:tcW w:w="4269" w:type="dxa"/>
            <w:vMerge w:val="restart"/>
            <w:tcBorders>
              <w:top w:val="single" w:sz="6" w:space="0" w:color="auto"/>
              <w:bottom w:val="single" w:sz="6" w:space="0" w:color="auto"/>
            </w:tcBorders>
            <w:vAlign w:val="center"/>
          </w:tcPr>
          <w:p w:rsidR="00000000" w:rsidRDefault="00000000">
            <w:pPr>
              <w:pStyle w:val="table"/>
              <w:jc w:val="center"/>
              <w:rPr>
                <w:i/>
              </w:rPr>
            </w:pPr>
            <w:r>
              <w:rPr>
                <w:i/>
              </w:rPr>
              <w:t>Категория школы</w:t>
            </w:r>
            <w:r>
              <w:rPr>
                <w:i/>
                <w:vertAlign w:val="superscript"/>
              </w:rPr>
              <w:t>1)</w:t>
            </w:r>
          </w:p>
        </w:tc>
        <w:tc>
          <w:tcPr>
            <w:tcW w:w="7921" w:type="dxa"/>
            <w:gridSpan w:val="4"/>
            <w:tcBorders>
              <w:top w:val="single" w:sz="6" w:space="0" w:color="auto"/>
              <w:bottom w:val="single" w:sz="6" w:space="0" w:color="auto"/>
            </w:tcBorders>
            <w:vAlign w:val="center"/>
          </w:tcPr>
          <w:p w:rsidR="00000000" w:rsidRDefault="00000000">
            <w:pPr>
              <w:pStyle w:val="table"/>
              <w:jc w:val="center"/>
              <w:rPr>
                <w:i/>
              </w:rPr>
            </w:pPr>
            <w:r>
              <w:rPr>
                <w:i/>
              </w:rPr>
              <w:t>Слушатели</w:t>
            </w:r>
          </w:p>
        </w:tc>
      </w:tr>
      <w:tr w:rsidR="00000000">
        <w:tblPrEx>
          <w:tblCellMar>
            <w:top w:w="0" w:type="dxa"/>
            <w:bottom w:w="0" w:type="dxa"/>
          </w:tblCellMar>
        </w:tblPrEx>
        <w:trPr>
          <w:cantSplit/>
        </w:trPr>
        <w:tc>
          <w:tcPr>
            <w:tcW w:w="4269" w:type="dxa"/>
            <w:vMerge/>
            <w:tcBorders>
              <w:top w:val="single" w:sz="6" w:space="0" w:color="auto"/>
              <w:bottom w:val="single" w:sz="6" w:space="0" w:color="auto"/>
            </w:tcBorders>
            <w:vAlign w:val="center"/>
          </w:tcPr>
          <w:p w:rsidR="00000000" w:rsidRDefault="00000000">
            <w:pPr>
              <w:pStyle w:val="table"/>
              <w:jc w:val="center"/>
              <w:rPr>
                <w:i/>
              </w:rPr>
            </w:pPr>
          </w:p>
        </w:tc>
        <w:tc>
          <w:tcPr>
            <w:tcW w:w="4020" w:type="dxa"/>
            <w:gridSpan w:val="2"/>
            <w:tcBorders>
              <w:top w:val="single" w:sz="6" w:space="0" w:color="auto"/>
              <w:bottom w:val="single" w:sz="6" w:space="0" w:color="auto"/>
            </w:tcBorders>
            <w:vAlign w:val="center"/>
          </w:tcPr>
          <w:p w:rsidR="00000000" w:rsidRDefault="00000000">
            <w:pPr>
              <w:pStyle w:val="table"/>
              <w:jc w:val="center"/>
              <w:rPr>
                <w:i/>
              </w:rPr>
            </w:pPr>
            <w:r>
              <w:rPr>
                <w:i/>
              </w:rPr>
              <w:t>1996 год</w:t>
            </w:r>
          </w:p>
        </w:tc>
        <w:tc>
          <w:tcPr>
            <w:tcW w:w="3901" w:type="dxa"/>
            <w:gridSpan w:val="2"/>
            <w:tcBorders>
              <w:top w:val="single" w:sz="6" w:space="0" w:color="auto"/>
              <w:bottom w:val="single" w:sz="6" w:space="0" w:color="auto"/>
            </w:tcBorders>
            <w:vAlign w:val="center"/>
          </w:tcPr>
          <w:p w:rsidR="00000000" w:rsidRDefault="00000000">
            <w:pPr>
              <w:pStyle w:val="table"/>
              <w:jc w:val="center"/>
              <w:rPr>
                <w:i/>
              </w:rPr>
            </w:pPr>
            <w:r>
              <w:rPr>
                <w:i/>
              </w:rPr>
              <w:t>2001 год</w:t>
            </w:r>
          </w:p>
        </w:tc>
      </w:tr>
      <w:tr w:rsidR="00000000">
        <w:tblPrEx>
          <w:tblCellMar>
            <w:top w:w="0" w:type="dxa"/>
            <w:bottom w:w="0" w:type="dxa"/>
          </w:tblCellMar>
        </w:tblPrEx>
        <w:trPr>
          <w:cantSplit/>
        </w:trPr>
        <w:tc>
          <w:tcPr>
            <w:tcW w:w="4269" w:type="dxa"/>
            <w:vMerge/>
            <w:tcBorders>
              <w:top w:val="single" w:sz="6" w:space="0" w:color="auto"/>
              <w:bottom w:val="single" w:sz="12" w:space="0" w:color="auto"/>
            </w:tcBorders>
            <w:vAlign w:val="center"/>
          </w:tcPr>
          <w:p w:rsidR="00000000" w:rsidRDefault="00000000">
            <w:pPr>
              <w:pStyle w:val="table"/>
              <w:jc w:val="center"/>
              <w:rPr>
                <w:i/>
              </w:rPr>
            </w:pPr>
          </w:p>
        </w:tc>
        <w:tc>
          <w:tcPr>
            <w:tcW w:w="2009" w:type="dxa"/>
            <w:tcBorders>
              <w:top w:val="single" w:sz="6" w:space="0" w:color="auto"/>
              <w:bottom w:val="single" w:sz="12" w:space="0" w:color="auto"/>
            </w:tcBorders>
            <w:vAlign w:val="center"/>
          </w:tcPr>
          <w:p w:rsidR="00000000" w:rsidRDefault="00000000">
            <w:pPr>
              <w:pStyle w:val="table"/>
              <w:jc w:val="center"/>
              <w:rPr>
                <w:i/>
              </w:rPr>
            </w:pPr>
            <w:r>
              <w:rPr>
                <w:i/>
              </w:rPr>
              <w:t>Абсолютная числе</w:t>
            </w:r>
            <w:r>
              <w:rPr>
                <w:i/>
              </w:rPr>
              <w:t>н</w:t>
            </w:r>
            <w:r>
              <w:rPr>
                <w:i/>
              </w:rPr>
              <w:t>ность</w:t>
            </w:r>
          </w:p>
        </w:tc>
        <w:tc>
          <w:tcPr>
            <w:tcW w:w="2011" w:type="dxa"/>
            <w:tcBorders>
              <w:top w:val="single" w:sz="6" w:space="0" w:color="auto"/>
              <w:bottom w:val="single" w:sz="12" w:space="0" w:color="auto"/>
            </w:tcBorders>
            <w:vAlign w:val="center"/>
          </w:tcPr>
          <w:p w:rsidR="00000000" w:rsidRDefault="00000000">
            <w:pPr>
              <w:pStyle w:val="table"/>
              <w:jc w:val="center"/>
              <w:rPr>
                <w:i/>
              </w:rPr>
            </w:pPr>
            <w:r>
              <w:rPr>
                <w:i/>
              </w:rPr>
              <w:t>Доля в процентах</w:t>
            </w:r>
          </w:p>
        </w:tc>
        <w:tc>
          <w:tcPr>
            <w:tcW w:w="2009" w:type="dxa"/>
            <w:tcBorders>
              <w:top w:val="single" w:sz="6" w:space="0" w:color="auto"/>
              <w:bottom w:val="single" w:sz="12" w:space="0" w:color="auto"/>
            </w:tcBorders>
            <w:vAlign w:val="center"/>
          </w:tcPr>
          <w:p w:rsidR="00000000" w:rsidRDefault="00000000">
            <w:pPr>
              <w:pStyle w:val="table"/>
              <w:jc w:val="center"/>
              <w:rPr>
                <w:i/>
              </w:rPr>
            </w:pPr>
            <w:r>
              <w:rPr>
                <w:i/>
              </w:rPr>
              <w:t>Абсолютная числе</w:t>
            </w:r>
            <w:r>
              <w:rPr>
                <w:i/>
              </w:rPr>
              <w:t>н</w:t>
            </w:r>
            <w:r>
              <w:rPr>
                <w:i/>
              </w:rPr>
              <w:t>ность</w:t>
            </w:r>
          </w:p>
        </w:tc>
        <w:tc>
          <w:tcPr>
            <w:tcW w:w="1892" w:type="dxa"/>
            <w:tcBorders>
              <w:top w:val="single" w:sz="6" w:space="0" w:color="auto"/>
              <w:bottom w:val="single" w:sz="12" w:space="0" w:color="auto"/>
            </w:tcBorders>
            <w:vAlign w:val="center"/>
          </w:tcPr>
          <w:p w:rsidR="00000000" w:rsidRDefault="00000000">
            <w:pPr>
              <w:pStyle w:val="table"/>
              <w:jc w:val="center"/>
              <w:rPr>
                <w:i/>
              </w:rPr>
            </w:pPr>
            <w:r>
              <w:rPr>
                <w:i/>
              </w:rPr>
              <w:t>Доля в процентах</w:t>
            </w:r>
          </w:p>
        </w:tc>
      </w:tr>
      <w:tr w:rsidR="00000000">
        <w:tblPrEx>
          <w:tblCellMar>
            <w:top w:w="0" w:type="dxa"/>
            <w:bottom w:w="0" w:type="dxa"/>
          </w:tblCellMar>
        </w:tblPrEx>
        <w:tc>
          <w:tcPr>
            <w:tcW w:w="4269" w:type="dxa"/>
            <w:tcBorders>
              <w:top w:val="single" w:sz="12" w:space="0" w:color="auto"/>
            </w:tcBorders>
          </w:tcPr>
          <w:p w:rsidR="00000000" w:rsidRDefault="00000000">
            <w:pPr>
              <w:pStyle w:val="table"/>
            </w:pPr>
            <w:r>
              <w:t>Общая средняя школа, без аттестата</w:t>
            </w:r>
          </w:p>
        </w:tc>
        <w:tc>
          <w:tcPr>
            <w:tcW w:w="2009" w:type="dxa"/>
            <w:tcBorders>
              <w:top w:val="single" w:sz="12" w:space="0" w:color="auto"/>
            </w:tcBorders>
          </w:tcPr>
          <w:p w:rsidR="00000000" w:rsidRDefault="00000000">
            <w:pPr>
              <w:pStyle w:val="table"/>
              <w:tabs>
                <w:tab w:val="decimal" w:pos="868"/>
              </w:tabs>
            </w:pPr>
            <w:r>
              <w:t>18 021</w:t>
            </w:r>
          </w:p>
        </w:tc>
        <w:tc>
          <w:tcPr>
            <w:tcW w:w="2011" w:type="dxa"/>
            <w:tcBorders>
              <w:top w:val="single" w:sz="12" w:space="0" w:color="auto"/>
            </w:tcBorders>
          </w:tcPr>
          <w:p w:rsidR="00000000" w:rsidRDefault="00000000">
            <w:pPr>
              <w:pStyle w:val="table"/>
              <w:tabs>
                <w:tab w:val="decimal" w:pos="868"/>
              </w:tabs>
            </w:pPr>
            <w:r>
              <w:t>3,1</w:t>
            </w:r>
          </w:p>
        </w:tc>
        <w:tc>
          <w:tcPr>
            <w:tcW w:w="2009" w:type="dxa"/>
            <w:tcBorders>
              <w:top w:val="single" w:sz="12" w:space="0" w:color="auto"/>
            </w:tcBorders>
          </w:tcPr>
          <w:p w:rsidR="00000000" w:rsidRDefault="00000000">
            <w:pPr>
              <w:pStyle w:val="table"/>
              <w:tabs>
                <w:tab w:val="decimal" w:pos="868"/>
              </w:tabs>
            </w:pPr>
            <w:r>
              <w:t>15 829</w:t>
            </w:r>
          </w:p>
        </w:tc>
        <w:tc>
          <w:tcPr>
            <w:tcW w:w="1892" w:type="dxa"/>
            <w:tcBorders>
              <w:top w:val="single" w:sz="12" w:space="0" w:color="auto"/>
            </w:tcBorders>
          </w:tcPr>
          <w:p w:rsidR="00000000" w:rsidRDefault="00000000">
            <w:pPr>
              <w:pStyle w:val="table"/>
              <w:tabs>
                <w:tab w:val="decimal" w:pos="868"/>
              </w:tabs>
            </w:pPr>
            <w:r>
              <w:t>2,6</w:t>
            </w:r>
          </w:p>
        </w:tc>
      </w:tr>
      <w:tr w:rsidR="00000000">
        <w:tblPrEx>
          <w:tblCellMar>
            <w:top w:w="0" w:type="dxa"/>
            <w:bottom w:w="0" w:type="dxa"/>
          </w:tblCellMar>
        </w:tblPrEx>
        <w:tc>
          <w:tcPr>
            <w:tcW w:w="4269" w:type="dxa"/>
          </w:tcPr>
          <w:p w:rsidR="00000000" w:rsidRDefault="00000000">
            <w:pPr>
              <w:pStyle w:val="table"/>
            </w:pPr>
            <w:r>
              <w:t>Общая средняя школа, с аттестатом</w:t>
            </w:r>
          </w:p>
        </w:tc>
        <w:tc>
          <w:tcPr>
            <w:tcW w:w="2009" w:type="dxa"/>
          </w:tcPr>
          <w:p w:rsidR="00000000" w:rsidRDefault="00000000">
            <w:pPr>
              <w:pStyle w:val="table"/>
              <w:tabs>
                <w:tab w:val="decimal" w:pos="868"/>
              </w:tabs>
            </w:pPr>
            <w:r>
              <w:t>195 081</w:t>
            </w:r>
          </w:p>
        </w:tc>
        <w:tc>
          <w:tcPr>
            <w:tcW w:w="2011" w:type="dxa"/>
          </w:tcPr>
          <w:p w:rsidR="00000000" w:rsidRDefault="00000000">
            <w:pPr>
              <w:pStyle w:val="table"/>
              <w:tabs>
                <w:tab w:val="decimal" w:pos="868"/>
              </w:tabs>
            </w:pPr>
            <w:r>
              <w:t>33,7</w:t>
            </w:r>
          </w:p>
        </w:tc>
        <w:tc>
          <w:tcPr>
            <w:tcW w:w="2009" w:type="dxa"/>
          </w:tcPr>
          <w:p w:rsidR="00000000" w:rsidRDefault="00000000">
            <w:pPr>
              <w:pStyle w:val="table"/>
              <w:tabs>
                <w:tab w:val="decimal" w:pos="868"/>
              </w:tabs>
            </w:pPr>
            <w:r>
              <w:t>201 307</w:t>
            </w:r>
          </w:p>
        </w:tc>
        <w:tc>
          <w:tcPr>
            <w:tcW w:w="1892" w:type="dxa"/>
          </w:tcPr>
          <w:p w:rsidR="00000000" w:rsidRDefault="00000000">
            <w:pPr>
              <w:pStyle w:val="table"/>
              <w:tabs>
                <w:tab w:val="decimal" w:pos="868"/>
              </w:tabs>
            </w:pPr>
            <w:r>
              <w:t>33,0</w:t>
            </w:r>
          </w:p>
        </w:tc>
      </w:tr>
      <w:tr w:rsidR="00000000">
        <w:tblPrEx>
          <w:tblCellMar>
            <w:top w:w="0" w:type="dxa"/>
            <w:bottom w:w="0" w:type="dxa"/>
          </w:tblCellMar>
        </w:tblPrEx>
        <w:tc>
          <w:tcPr>
            <w:tcW w:w="4269" w:type="dxa"/>
          </w:tcPr>
          <w:p w:rsidR="00000000" w:rsidRDefault="00000000">
            <w:pPr>
              <w:pStyle w:val="table"/>
            </w:pPr>
            <w:r>
              <w:t>Промежуточная или эквивалентная школа, с атт</w:t>
            </w:r>
            <w:r>
              <w:t>е</w:t>
            </w:r>
            <w:r>
              <w:t>статом</w:t>
            </w:r>
          </w:p>
        </w:tc>
        <w:tc>
          <w:tcPr>
            <w:tcW w:w="2009" w:type="dxa"/>
          </w:tcPr>
          <w:p w:rsidR="00000000" w:rsidRDefault="00000000">
            <w:pPr>
              <w:pStyle w:val="table"/>
              <w:tabs>
                <w:tab w:val="decimal" w:pos="868"/>
              </w:tabs>
            </w:pPr>
            <w:r>
              <w:t>204 713</w:t>
            </w:r>
          </w:p>
        </w:tc>
        <w:tc>
          <w:tcPr>
            <w:tcW w:w="2011" w:type="dxa"/>
          </w:tcPr>
          <w:p w:rsidR="00000000" w:rsidRDefault="00000000">
            <w:pPr>
              <w:pStyle w:val="table"/>
              <w:tabs>
                <w:tab w:val="decimal" w:pos="868"/>
              </w:tabs>
            </w:pPr>
            <w:r>
              <w:t>35,3</w:t>
            </w:r>
          </w:p>
        </w:tc>
        <w:tc>
          <w:tcPr>
            <w:tcW w:w="2009" w:type="dxa"/>
          </w:tcPr>
          <w:p w:rsidR="00000000" w:rsidRDefault="00000000">
            <w:pPr>
              <w:pStyle w:val="table"/>
              <w:tabs>
                <w:tab w:val="decimal" w:pos="868"/>
              </w:tabs>
            </w:pPr>
            <w:r>
              <w:t>222 869</w:t>
            </w:r>
          </w:p>
        </w:tc>
        <w:tc>
          <w:tcPr>
            <w:tcW w:w="1892" w:type="dxa"/>
          </w:tcPr>
          <w:p w:rsidR="00000000" w:rsidRDefault="00000000">
            <w:pPr>
              <w:pStyle w:val="table"/>
              <w:tabs>
                <w:tab w:val="decimal" w:pos="868"/>
              </w:tabs>
            </w:pPr>
            <w:r>
              <w:t>36,6</w:t>
            </w:r>
          </w:p>
        </w:tc>
      </w:tr>
      <w:tr w:rsidR="00000000">
        <w:tblPrEx>
          <w:tblCellMar>
            <w:top w:w="0" w:type="dxa"/>
            <w:bottom w:w="0" w:type="dxa"/>
          </w:tblCellMar>
        </w:tblPrEx>
        <w:tc>
          <w:tcPr>
            <w:tcW w:w="4269" w:type="dxa"/>
          </w:tcPr>
          <w:p w:rsidR="00000000" w:rsidRDefault="00000000">
            <w:pPr>
              <w:pStyle w:val="table"/>
            </w:pPr>
            <w:r>
              <w:t>Наличие подготовки, позволяющей поступить в высшее уче</w:t>
            </w:r>
            <w:r>
              <w:t>б</w:t>
            </w:r>
            <w:r>
              <w:t>ное заведение</w:t>
            </w:r>
          </w:p>
        </w:tc>
        <w:tc>
          <w:tcPr>
            <w:tcW w:w="2009" w:type="dxa"/>
          </w:tcPr>
          <w:p w:rsidR="00000000" w:rsidRDefault="00000000">
            <w:pPr>
              <w:pStyle w:val="table"/>
              <w:tabs>
                <w:tab w:val="decimal" w:pos="868"/>
              </w:tabs>
            </w:pPr>
            <w:r>
              <w:t>88 857</w:t>
            </w:r>
          </w:p>
        </w:tc>
        <w:tc>
          <w:tcPr>
            <w:tcW w:w="2011" w:type="dxa"/>
          </w:tcPr>
          <w:p w:rsidR="00000000" w:rsidRDefault="00000000">
            <w:pPr>
              <w:pStyle w:val="table"/>
              <w:tabs>
                <w:tab w:val="decimal" w:pos="868"/>
              </w:tabs>
            </w:pPr>
            <w:r>
              <w:t>15,3</w:t>
            </w:r>
          </w:p>
        </w:tc>
        <w:tc>
          <w:tcPr>
            <w:tcW w:w="2009" w:type="dxa"/>
          </w:tcPr>
          <w:p w:rsidR="00000000" w:rsidRDefault="00000000">
            <w:pPr>
              <w:pStyle w:val="table"/>
              <w:tabs>
                <w:tab w:val="decimal" w:pos="868"/>
              </w:tabs>
            </w:pPr>
            <w:r>
              <w:t>86 899</w:t>
            </w:r>
          </w:p>
        </w:tc>
        <w:tc>
          <w:tcPr>
            <w:tcW w:w="1892" w:type="dxa"/>
          </w:tcPr>
          <w:p w:rsidR="00000000" w:rsidRDefault="00000000">
            <w:pPr>
              <w:pStyle w:val="table"/>
              <w:tabs>
                <w:tab w:val="decimal" w:pos="868"/>
              </w:tabs>
            </w:pPr>
            <w:r>
              <w:t>14,3</w:t>
            </w:r>
          </w:p>
        </w:tc>
      </w:tr>
      <w:tr w:rsidR="00000000">
        <w:tblPrEx>
          <w:tblCellMar>
            <w:top w:w="0" w:type="dxa"/>
            <w:bottom w:w="0" w:type="dxa"/>
          </w:tblCellMar>
        </w:tblPrEx>
        <w:tc>
          <w:tcPr>
            <w:tcW w:w="4269" w:type="dxa"/>
          </w:tcPr>
          <w:p w:rsidR="00000000" w:rsidRDefault="00000000">
            <w:pPr>
              <w:pStyle w:val="table"/>
            </w:pPr>
            <w:r>
              <w:t>Годичный курс элементарной профессиональной подготовки в школе</w:t>
            </w:r>
          </w:p>
        </w:tc>
        <w:tc>
          <w:tcPr>
            <w:tcW w:w="2009" w:type="dxa"/>
          </w:tcPr>
          <w:p w:rsidR="00000000" w:rsidRDefault="00000000">
            <w:pPr>
              <w:pStyle w:val="table"/>
              <w:tabs>
                <w:tab w:val="decimal" w:pos="868"/>
              </w:tabs>
            </w:pPr>
            <w:r>
              <w:t>19 050</w:t>
            </w:r>
          </w:p>
        </w:tc>
        <w:tc>
          <w:tcPr>
            <w:tcW w:w="2011" w:type="dxa"/>
          </w:tcPr>
          <w:p w:rsidR="00000000" w:rsidRDefault="00000000">
            <w:pPr>
              <w:pStyle w:val="table"/>
              <w:tabs>
                <w:tab w:val="decimal" w:pos="868"/>
              </w:tabs>
            </w:pPr>
            <w:r>
              <w:t>3,3</w:t>
            </w:r>
          </w:p>
        </w:tc>
        <w:tc>
          <w:tcPr>
            <w:tcW w:w="2009" w:type="dxa"/>
          </w:tcPr>
          <w:p w:rsidR="00000000" w:rsidRDefault="00000000">
            <w:pPr>
              <w:pStyle w:val="table"/>
              <w:tabs>
                <w:tab w:val="decimal" w:pos="868"/>
              </w:tabs>
            </w:pPr>
            <w:r>
              <w:t>16 773</w:t>
            </w:r>
          </w:p>
        </w:tc>
        <w:tc>
          <w:tcPr>
            <w:tcW w:w="1892" w:type="dxa"/>
          </w:tcPr>
          <w:p w:rsidR="00000000" w:rsidRDefault="00000000">
            <w:pPr>
              <w:pStyle w:val="table"/>
              <w:tabs>
                <w:tab w:val="decimal" w:pos="868"/>
              </w:tabs>
            </w:pPr>
            <w:r>
              <w:t>2,8</w:t>
            </w:r>
          </w:p>
        </w:tc>
      </w:tr>
      <w:tr w:rsidR="00000000">
        <w:tblPrEx>
          <w:tblCellMar>
            <w:top w:w="0" w:type="dxa"/>
            <w:bottom w:w="0" w:type="dxa"/>
          </w:tblCellMar>
        </w:tblPrEx>
        <w:tc>
          <w:tcPr>
            <w:tcW w:w="4269" w:type="dxa"/>
          </w:tcPr>
          <w:p w:rsidR="00000000" w:rsidRDefault="00000000">
            <w:pPr>
              <w:pStyle w:val="table"/>
            </w:pPr>
            <w:r>
              <w:t>Специализированное пр</w:t>
            </w:r>
            <w:r>
              <w:t>о</w:t>
            </w:r>
            <w:r>
              <w:t>фессионально-техническое училище</w:t>
            </w:r>
          </w:p>
        </w:tc>
        <w:tc>
          <w:tcPr>
            <w:tcW w:w="2009" w:type="dxa"/>
          </w:tcPr>
          <w:p w:rsidR="00000000" w:rsidRDefault="00000000">
            <w:pPr>
              <w:pStyle w:val="table"/>
              <w:tabs>
                <w:tab w:val="decimal" w:pos="868"/>
              </w:tabs>
            </w:pPr>
            <w:r>
              <w:t>44 933</w:t>
            </w:r>
          </w:p>
        </w:tc>
        <w:tc>
          <w:tcPr>
            <w:tcW w:w="2011" w:type="dxa"/>
          </w:tcPr>
          <w:p w:rsidR="00000000" w:rsidRDefault="00000000">
            <w:pPr>
              <w:pStyle w:val="table"/>
              <w:tabs>
                <w:tab w:val="decimal" w:pos="868"/>
              </w:tabs>
            </w:pPr>
            <w:r>
              <w:t>7,8</w:t>
            </w:r>
          </w:p>
        </w:tc>
        <w:tc>
          <w:tcPr>
            <w:tcW w:w="2009" w:type="dxa"/>
          </w:tcPr>
          <w:p w:rsidR="00000000" w:rsidRDefault="00000000">
            <w:pPr>
              <w:pStyle w:val="table"/>
              <w:tabs>
                <w:tab w:val="decimal" w:pos="868"/>
              </w:tabs>
            </w:pPr>
            <w:r>
              <w:t>53 568</w:t>
            </w:r>
          </w:p>
        </w:tc>
        <w:tc>
          <w:tcPr>
            <w:tcW w:w="1892" w:type="dxa"/>
          </w:tcPr>
          <w:p w:rsidR="00000000" w:rsidRDefault="00000000">
            <w:pPr>
              <w:pStyle w:val="table"/>
              <w:tabs>
                <w:tab w:val="decimal" w:pos="868"/>
              </w:tabs>
            </w:pPr>
            <w:r>
              <w:t>8,8</w:t>
            </w:r>
          </w:p>
        </w:tc>
      </w:tr>
      <w:tr w:rsidR="00000000">
        <w:tblPrEx>
          <w:tblCellMar>
            <w:top w:w="0" w:type="dxa"/>
            <w:bottom w:w="0" w:type="dxa"/>
          </w:tblCellMar>
        </w:tblPrEx>
        <w:tc>
          <w:tcPr>
            <w:tcW w:w="4269" w:type="dxa"/>
          </w:tcPr>
          <w:p w:rsidR="00000000" w:rsidRDefault="00000000">
            <w:pPr>
              <w:pStyle w:val="table"/>
            </w:pPr>
            <w:r>
              <w:t>Годичный курс предварительной профессионал</w:t>
            </w:r>
            <w:r>
              <w:t>ь</w:t>
            </w:r>
            <w:r>
              <w:t>ной подгото</w:t>
            </w:r>
            <w:r>
              <w:t>в</w:t>
            </w:r>
            <w:r>
              <w:t>ки</w:t>
            </w:r>
          </w:p>
        </w:tc>
        <w:tc>
          <w:tcPr>
            <w:tcW w:w="2009" w:type="dxa"/>
          </w:tcPr>
          <w:p w:rsidR="00000000" w:rsidRDefault="00000000">
            <w:pPr>
              <w:pStyle w:val="table"/>
              <w:tabs>
                <w:tab w:val="decimal" w:pos="868"/>
              </w:tabs>
            </w:pPr>
            <w:r>
              <w:t>8720</w:t>
            </w:r>
          </w:p>
        </w:tc>
        <w:tc>
          <w:tcPr>
            <w:tcW w:w="2011" w:type="dxa"/>
          </w:tcPr>
          <w:p w:rsidR="00000000" w:rsidRDefault="00000000">
            <w:pPr>
              <w:pStyle w:val="table"/>
              <w:tabs>
                <w:tab w:val="decimal" w:pos="868"/>
              </w:tabs>
            </w:pPr>
            <w:r>
              <w:t>1,5</w:t>
            </w:r>
          </w:p>
        </w:tc>
        <w:tc>
          <w:tcPr>
            <w:tcW w:w="2009" w:type="dxa"/>
          </w:tcPr>
          <w:p w:rsidR="00000000" w:rsidRDefault="00000000">
            <w:pPr>
              <w:pStyle w:val="table"/>
              <w:tabs>
                <w:tab w:val="decimal" w:pos="868"/>
              </w:tabs>
            </w:pPr>
            <w:r>
              <w:t>12 330</w:t>
            </w:r>
          </w:p>
        </w:tc>
        <w:tc>
          <w:tcPr>
            <w:tcW w:w="1892" w:type="dxa"/>
          </w:tcPr>
          <w:p w:rsidR="00000000" w:rsidRDefault="00000000">
            <w:pPr>
              <w:pStyle w:val="table"/>
              <w:tabs>
                <w:tab w:val="decimal" w:pos="868"/>
              </w:tabs>
            </w:pPr>
            <w:r>
              <w:t>2,0</w:t>
            </w:r>
          </w:p>
        </w:tc>
      </w:tr>
      <w:tr w:rsidR="00000000">
        <w:tblPrEx>
          <w:tblCellMar>
            <w:top w:w="0" w:type="dxa"/>
            <w:bottom w:w="0" w:type="dxa"/>
          </w:tblCellMar>
        </w:tblPrEx>
        <w:tc>
          <w:tcPr>
            <w:tcW w:w="4269" w:type="dxa"/>
            <w:tcBorders>
              <w:bottom w:val="single" w:sz="12" w:space="0" w:color="auto"/>
            </w:tcBorders>
          </w:tcPr>
          <w:p w:rsidR="00000000" w:rsidRDefault="00000000">
            <w:pPr>
              <w:pStyle w:val="table"/>
            </w:pPr>
            <w:r>
              <w:t>Всего</w:t>
            </w:r>
          </w:p>
        </w:tc>
        <w:tc>
          <w:tcPr>
            <w:tcW w:w="2009" w:type="dxa"/>
            <w:tcBorders>
              <w:bottom w:val="single" w:sz="12" w:space="0" w:color="auto"/>
            </w:tcBorders>
          </w:tcPr>
          <w:p w:rsidR="00000000" w:rsidRDefault="00000000">
            <w:pPr>
              <w:pStyle w:val="table"/>
              <w:tabs>
                <w:tab w:val="decimal" w:pos="868"/>
              </w:tabs>
            </w:pPr>
            <w:r>
              <w:t>579 375</w:t>
            </w:r>
          </w:p>
        </w:tc>
        <w:tc>
          <w:tcPr>
            <w:tcW w:w="2011" w:type="dxa"/>
            <w:tcBorders>
              <w:bottom w:val="single" w:sz="12" w:space="0" w:color="auto"/>
            </w:tcBorders>
          </w:tcPr>
          <w:p w:rsidR="00000000" w:rsidRDefault="00000000">
            <w:pPr>
              <w:pStyle w:val="table"/>
              <w:tabs>
                <w:tab w:val="decimal" w:pos="868"/>
              </w:tabs>
            </w:pPr>
            <w:r>
              <w:t>100,0</w:t>
            </w:r>
          </w:p>
        </w:tc>
        <w:tc>
          <w:tcPr>
            <w:tcW w:w="2009" w:type="dxa"/>
            <w:tcBorders>
              <w:bottom w:val="single" w:sz="12" w:space="0" w:color="auto"/>
            </w:tcBorders>
          </w:tcPr>
          <w:p w:rsidR="00000000" w:rsidRDefault="00000000">
            <w:pPr>
              <w:pStyle w:val="table"/>
              <w:tabs>
                <w:tab w:val="decimal" w:pos="868"/>
              </w:tabs>
            </w:pPr>
            <w:r>
              <w:t>609 576</w:t>
            </w:r>
          </w:p>
        </w:tc>
        <w:tc>
          <w:tcPr>
            <w:tcW w:w="1892" w:type="dxa"/>
            <w:tcBorders>
              <w:bottom w:val="single" w:sz="12" w:space="0" w:color="auto"/>
            </w:tcBorders>
          </w:tcPr>
          <w:p w:rsidR="00000000" w:rsidRDefault="00000000">
            <w:pPr>
              <w:pStyle w:val="table"/>
              <w:tabs>
                <w:tab w:val="decimal" w:pos="868"/>
              </w:tabs>
            </w:pPr>
            <w:r>
              <w:t>100,0</w:t>
            </w:r>
          </w:p>
        </w:tc>
      </w:tr>
    </w:tbl>
    <w:p w:rsidR="00000000" w:rsidRDefault="00000000">
      <w:pPr>
        <w:pStyle w:val="istochnik"/>
        <w:tabs>
          <w:tab w:val="clear" w:pos="1267"/>
        </w:tabs>
        <w:ind w:left="0"/>
      </w:pPr>
      <w:r>
        <w:t>1) Две трети школ, упомянутых в категории «Прочие учебные заведения», были отнесены к общим средним школам с аттестатам, и одна треть – к специализированным профессионально-техническим уч</w:t>
      </w:r>
      <w:r>
        <w:t>и</w:t>
      </w:r>
      <w:r>
        <w:t>лищам.</w:t>
      </w:r>
    </w:p>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48" w:name="_Toc44113569"/>
      <w:bookmarkStart w:id="749" w:name="_Toc44113870"/>
      <w:bookmarkStart w:id="750" w:name="_Toc44114378"/>
      <w:bookmarkStart w:id="751" w:name="_Toc44115624"/>
      <w:bookmarkStart w:id="752" w:name="_Toc44116056"/>
      <w:r>
        <w:t>Таблица 4.2.6 Учащиеся-мужчины и учащиеся-женщины профессионально-технических училищ в разбивке по возрасту (двойная система)</w:t>
      </w:r>
      <w:bookmarkEnd w:id="748"/>
      <w:bookmarkEnd w:id="749"/>
      <w:bookmarkEnd w:id="750"/>
      <w:bookmarkEnd w:id="751"/>
      <w:bookmarkEnd w:id="752"/>
    </w:p>
    <w:tbl>
      <w:tblPr>
        <w:tblW w:w="0" w:type="auto"/>
        <w:tblInd w:w="18" w:type="dxa"/>
        <w:tblLayout w:type="fixed"/>
        <w:tblLook w:val="0000" w:firstRow="0" w:lastRow="0" w:firstColumn="0" w:lastColumn="0" w:noHBand="0" w:noVBand="0"/>
      </w:tblPr>
      <w:tblGrid>
        <w:gridCol w:w="3063"/>
        <w:gridCol w:w="1536"/>
        <w:gridCol w:w="1538"/>
        <w:gridCol w:w="1543"/>
        <w:gridCol w:w="1536"/>
        <w:gridCol w:w="1538"/>
        <w:gridCol w:w="1436"/>
      </w:tblGrid>
      <w:tr w:rsidR="00000000">
        <w:tblPrEx>
          <w:tblCellMar>
            <w:top w:w="0" w:type="dxa"/>
            <w:bottom w:w="0" w:type="dxa"/>
          </w:tblCellMar>
        </w:tblPrEx>
        <w:trPr>
          <w:cantSplit/>
        </w:trPr>
        <w:tc>
          <w:tcPr>
            <w:tcW w:w="3063" w:type="dxa"/>
            <w:vMerge w:val="restart"/>
            <w:tcBorders>
              <w:top w:val="single" w:sz="6" w:space="0" w:color="auto"/>
            </w:tcBorders>
            <w:vAlign w:val="center"/>
          </w:tcPr>
          <w:p w:rsidR="00000000" w:rsidRDefault="00000000">
            <w:pPr>
              <w:pStyle w:val="table"/>
              <w:jc w:val="center"/>
              <w:rPr>
                <w:i/>
              </w:rPr>
            </w:pPr>
            <w:r>
              <w:rPr>
                <w:i/>
              </w:rPr>
              <w:t>Уч</w:t>
            </w:r>
            <w:r>
              <w:rPr>
                <w:i/>
              </w:rPr>
              <w:t>а</w:t>
            </w:r>
            <w:r>
              <w:rPr>
                <w:i/>
              </w:rPr>
              <w:t>щиеся</w:t>
            </w:r>
          </w:p>
        </w:tc>
        <w:tc>
          <w:tcPr>
            <w:tcW w:w="9127" w:type="dxa"/>
            <w:gridSpan w:val="6"/>
            <w:tcBorders>
              <w:top w:val="single" w:sz="6" w:space="0" w:color="auto"/>
              <w:bottom w:val="single" w:sz="6" w:space="0" w:color="auto"/>
            </w:tcBorders>
            <w:vAlign w:val="center"/>
          </w:tcPr>
          <w:p w:rsidR="00000000" w:rsidRDefault="00000000">
            <w:pPr>
              <w:pStyle w:val="table"/>
              <w:jc w:val="center"/>
              <w:rPr>
                <w:i/>
              </w:rPr>
            </w:pPr>
            <w:r>
              <w:rPr>
                <w:i/>
              </w:rPr>
              <w:t>Учащиеся профессионально-технических училищ, двойная система</w:t>
            </w:r>
          </w:p>
        </w:tc>
      </w:tr>
      <w:tr w:rsidR="00000000">
        <w:tblPrEx>
          <w:tblCellMar>
            <w:top w:w="0" w:type="dxa"/>
            <w:bottom w:w="0" w:type="dxa"/>
          </w:tblCellMar>
        </w:tblPrEx>
        <w:trPr>
          <w:cantSplit/>
        </w:trPr>
        <w:tc>
          <w:tcPr>
            <w:tcW w:w="3063" w:type="dxa"/>
            <w:vMerge/>
            <w:vAlign w:val="center"/>
          </w:tcPr>
          <w:p w:rsidR="00000000" w:rsidRDefault="00000000">
            <w:pPr>
              <w:pStyle w:val="table"/>
              <w:jc w:val="center"/>
              <w:rPr>
                <w:i/>
              </w:rPr>
            </w:pPr>
          </w:p>
        </w:tc>
        <w:tc>
          <w:tcPr>
            <w:tcW w:w="4617" w:type="dxa"/>
            <w:gridSpan w:val="3"/>
            <w:tcBorders>
              <w:top w:val="single" w:sz="6" w:space="0" w:color="auto"/>
              <w:bottom w:val="single" w:sz="6" w:space="0" w:color="auto"/>
            </w:tcBorders>
            <w:vAlign w:val="center"/>
          </w:tcPr>
          <w:p w:rsidR="00000000" w:rsidRDefault="00000000">
            <w:pPr>
              <w:pStyle w:val="table"/>
              <w:jc w:val="center"/>
              <w:rPr>
                <w:i/>
              </w:rPr>
            </w:pPr>
            <w:r>
              <w:rPr>
                <w:i/>
              </w:rPr>
              <w:t>1996/1997 годы</w:t>
            </w:r>
          </w:p>
        </w:tc>
        <w:tc>
          <w:tcPr>
            <w:tcW w:w="4510" w:type="dxa"/>
            <w:gridSpan w:val="3"/>
            <w:tcBorders>
              <w:top w:val="single" w:sz="6" w:space="0" w:color="auto"/>
              <w:bottom w:val="single" w:sz="6" w:space="0" w:color="auto"/>
            </w:tcBorders>
            <w:vAlign w:val="center"/>
          </w:tcPr>
          <w:p w:rsidR="00000000" w:rsidRDefault="00000000">
            <w:pPr>
              <w:pStyle w:val="table"/>
              <w:jc w:val="center"/>
              <w:rPr>
                <w:i/>
              </w:rPr>
            </w:pPr>
            <w:r>
              <w:rPr>
                <w:i/>
              </w:rPr>
              <w:t>2000/2001 годы</w:t>
            </w:r>
          </w:p>
        </w:tc>
      </w:tr>
      <w:tr w:rsidR="00000000">
        <w:tblPrEx>
          <w:tblCellMar>
            <w:top w:w="0" w:type="dxa"/>
            <w:bottom w:w="0" w:type="dxa"/>
          </w:tblCellMar>
        </w:tblPrEx>
        <w:trPr>
          <w:cantSplit/>
        </w:trPr>
        <w:tc>
          <w:tcPr>
            <w:tcW w:w="3063" w:type="dxa"/>
            <w:vMerge/>
            <w:vAlign w:val="center"/>
          </w:tcPr>
          <w:p w:rsidR="00000000" w:rsidRDefault="00000000">
            <w:pPr>
              <w:pStyle w:val="table"/>
              <w:jc w:val="center"/>
              <w:rPr>
                <w:i/>
              </w:rPr>
            </w:pPr>
          </w:p>
        </w:tc>
        <w:tc>
          <w:tcPr>
            <w:tcW w:w="4617" w:type="dxa"/>
            <w:gridSpan w:val="3"/>
            <w:tcBorders>
              <w:top w:val="single" w:sz="6" w:space="0" w:color="auto"/>
              <w:bottom w:val="single" w:sz="6" w:space="0" w:color="auto"/>
            </w:tcBorders>
            <w:vAlign w:val="center"/>
          </w:tcPr>
          <w:p w:rsidR="00000000" w:rsidRDefault="00000000">
            <w:pPr>
              <w:pStyle w:val="table"/>
              <w:jc w:val="center"/>
              <w:rPr>
                <w:i/>
              </w:rPr>
            </w:pPr>
          </w:p>
        </w:tc>
        <w:tc>
          <w:tcPr>
            <w:tcW w:w="4510" w:type="dxa"/>
            <w:gridSpan w:val="3"/>
            <w:tcBorders>
              <w:top w:val="single" w:sz="6" w:space="0" w:color="auto"/>
              <w:bottom w:val="single" w:sz="6" w:space="0" w:color="auto"/>
            </w:tcBorders>
            <w:vAlign w:val="center"/>
          </w:tcPr>
          <w:p w:rsidR="00000000" w:rsidRDefault="00000000">
            <w:pPr>
              <w:pStyle w:val="table"/>
              <w:jc w:val="center"/>
              <w:rPr>
                <w:i/>
              </w:rPr>
            </w:pPr>
          </w:p>
        </w:tc>
      </w:tr>
      <w:tr w:rsidR="00000000">
        <w:tblPrEx>
          <w:tblCellMar>
            <w:top w:w="0" w:type="dxa"/>
            <w:bottom w:w="0" w:type="dxa"/>
          </w:tblCellMar>
        </w:tblPrEx>
        <w:trPr>
          <w:cantSplit/>
        </w:trPr>
        <w:tc>
          <w:tcPr>
            <w:tcW w:w="3063" w:type="dxa"/>
            <w:vMerge/>
            <w:tcBorders>
              <w:bottom w:val="single" w:sz="12" w:space="0" w:color="auto"/>
            </w:tcBorders>
            <w:vAlign w:val="center"/>
          </w:tcPr>
          <w:p w:rsidR="00000000" w:rsidRDefault="00000000">
            <w:pPr>
              <w:pStyle w:val="table"/>
              <w:jc w:val="center"/>
              <w:rPr>
                <w:i/>
              </w:rPr>
            </w:pPr>
          </w:p>
        </w:tc>
        <w:tc>
          <w:tcPr>
            <w:tcW w:w="1536" w:type="dxa"/>
            <w:tcBorders>
              <w:top w:val="single" w:sz="6" w:space="0" w:color="auto"/>
              <w:bottom w:val="single" w:sz="12" w:space="0" w:color="auto"/>
            </w:tcBorders>
            <w:vAlign w:val="center"/>
          </w:tcPr>
          <w:p w:rsidR="00000000" w:rsidRDefault="00000000">
            <w:pPr>
              <w:pStyle w:val="table"/>
              <w:jc w:val="center"/>
              <w:rPr>
                <w:i/>
              </w:rPr>
            </w:pPr>
            <w:r>
              <w:rPr>
                <w:i/>
              </w:rPr>
              <w:t>Всего</w:t>
            </w:r>
          </w:p>
        </w:tc>
        <w:tc>
          <w:tcPr>
            <w:tcW w:w="1538" w:type="dxa"/>
            <w:tcBorders>
              <w:top w:val="single" w:sz="6" w:space="0" w:color="auto"/>
              <w:bottom w:val="single" w:sz="12" w:space="0" w:color="auto"/>
            </w:tcBorders>
            <w:vAlign w:val="center"/>
          </w:tcPr>
          <w:p w:rsidR="00000000" w:rsidRDefault="00000000">
            <w:pPr>
              <w:pStyle w:val="table"/>
              <w:jc w:val="center"/>
              <w:rPr>
                <w:i/>
              </w:rPr>
            </w:pPr>
            <w:r>
              <w:rPr>
                <w:i/>
              </w:rPr>
              <w:t>Мужчины</w:t>
            </w:r>
          </w:p>
        </w:tc>
        <w:tc>
          <w:tcPr>
            <w:tcW w:w="1543"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c>
          <w:tcPr>
            <w:tcW w:w="1536" w:type="dxa"/>
            <w:tcBorders>
              <w:top w:val="single" w:sz="6" w:space="0" w:color="auto"/>
              <w:bottom w:val="single" w:sz="12" w:space="0" w:color="auto"/>
            </w:tcBorders>
            <w:vAlign w:val="center"/>
          </w:tcPr>
          <w:p w:rsidR="00000000" w:rsidRDefault="00000000">
            <w:pPr>
              <w:pStyle w:val="table"/>
              <w:jc w:val="center"/>
              <w:rPr>
                <w:i/>
              </w:rPr>
            </w:pPr>
            <w:r>
              <w:rPr>
                <w:i/>
              </w:rPr>
              <w:t>Всего</w:t>
            </w:r>
          </w:p>
        </w:tc>
        <w:tc>
          <w:tcPr>
            <w:tcW w:w="1538" w:type="dxa"/>
            <w:tcBorders>
              <w:top w:val="single" w:sz="6" w:space="0" w:color="auto"/>
              <w:bottom w:val="single" w:sz="12" w:space="0" w:color="auto"/>
            </w:tcBorders>
            <w:vAlign w:val="center"/>
          </w:tcPr>
          <w:p w:rsidR="00000000" w:rsidRDefault="00000000">
            <w:pPr>
              <w:pStyle w:val="table"/>
              <w:jc w:val="center"/>
              <w:rPr>
                <w:i/>
              </w:rPr>
            </w:pPr>
            <w:r>
              <w:rPr>
                <w:i/>
              </w:rPr>
              <w:t>Мужчины</w:t>
            </w:r>
          </w:p>
        </w:tc>
        <w:tc>
          <w:tcPr>
            <w:tcW w:w="1436" w:type="dxa"/>
            <w:tcBorders>
              <w:top w:val="single" w:sz="6" w:space="0" w:color="auto"/>
              <w:bottom w:val="single" w:sz="12" w:space="0" w:color="auto"/>
            </w:tcBorders>
            <w:vAlign w:val="center"/>
          </w:tcPr>
          <w:p w:rsidR="00000000" w:rsidRDefault="00000000">
            <w:pPr>
              <w:pStyle w:val="table"/>
              <w:jc w:val="center"/>
              <w:rPr>
                <w:i/>
              </w:rPr>
            </w:pPr>
            <w:r>
              <w:rPr>
                <w:i/>
              </w:rPr>
              <w:t>Женщины</w:t>
            </w:r>
          </w:p>
        </w:tc>
      </w:tr>
      <w:tr w:rsidR="00000000">
        <w:tblPrEx>
          <w:tblCellMar>
            <w:top w:w="0" w:type="dxa"/>
            <w:bottom w:w="0" w:type="dxa"/>
          </w:tblCellMar>
        </w:tblPrEx>
        <w:tc>
          <w:tcPr>
            <w:tcW w:w="3063" w:type="dxa"/>
            <w:tcBorders>
              <w:top w:val="single" w:sz="12" w:space="0" w:color="auto"/>
            </w:tcBorders>
          </w:tcPr>
          <w:p w:rsidR="00000000" w:rsidRDefault="00000000">
            <w:pPr>
              <w:pStyle w:val="table"/>
            </w:pPr>
            <w:r>
              <w:t>Всего</w:t>
            </w:r>
          </w:p>
        </w:tc>
        <w:tc>
          <w:tcPr>
            <w:tcW w:w="1536" w:type="dxa"/>
            <w:tcBorders>
              <w:top w:val="single" w:sz="12" w:space="0" w:color="auto"/>
            </w:tcBorders>
          </w:tcPr>
          <w:p w:rsidR="00000000" w:rsidRDefault="00000000">
            <w:pPr>
              <w:pStyle w:val="table"/>
              <w:tabs>
                <w:tab w:val="decimal" w:pos="924"/>
              </w:tabs>
            </w:pPr>
            <w:r>
              <w:t>1 625 426</w:t>
            </w:r>
          </w:p>
        </w:tc>
        <w:tc>
          <w:tcPr>
            <w:tcW w:w="1538" w:type="dxa"/>
            <w:tcBorders>
              <w:top w:val="single" w:sz="12" w:space="0" w:color="auto"/>
            </w:tcBorders>
          </w:tcPr>
          <w:p w:rsidR="00000000" w:rsidRDefault="00000000">
            <w:pPr>
              <w:pStyle w:val="table"/>
              <w:tabs>
                <w:tab w:val="decimal" w:pos="924"/>
              </w:tabs>
            </w:pPr>
            <w:r>
              <w:t>970 617</w:t>
            </w:r>
          </w:p>
        </w:tc>
        <w:tc>
          <w:tcPr>
            <w:tcW w:w="1543" w:type="dxa"/>
            <w:tcBorders>
              <w:top w:val="single" w:sz="12" w:space="0" w:color="auto"/>
            </w:tcBorders>
          </w:tcPr>
          <w:p w:rsidR="00000000" w:rsidRDefault="00000000">
            <w:pPr>
              <w:pStyle w:val="table"/>
              <w:tabs>
                <w:tab w:val="decimal" w:pos="924"/>
              </w:tabs>
            </w:pPr>
            <w:r>
              <w:t>654 809</w:t>
            </w:r>
          </w:p>
        </w:tc>
        <w:tc>
          <w:tcPr>
            <w:tcW w:w="1536" w:type="dxa"/>
            <w:tcBorders>
              <w:top w:val="single" w:sz="12" w:space="0" w:color="auto"/>
            </w:tcBorders>
          </w:tcPr>
          <w:p w:rsidR="00000000" w:rsidRDefault="00000000">
            <w:pPr>
              <w:pStyle w:val="table"/>
              <w:tabs>
                <w:tab w:val="decimal" w:pos="924"/>
              </w:tabs>
            </w:pPr>
            <w:r>
              <w:t>1 796 903</w:t>
            </w:r>
          </w:p>
        </w:tc>
        <w:tc>
          <w:tcPr>
            <w:tcW w:w="1538" w:type="dxa"/>
            <w:tcBorders>
              <w:top w:val="single" w:sz="12" w:space="0" w:color="auto"/>
            </w:tcBorders>
          </w:tcPr>
          <w:p w:rsidR="00000000" w:rsidRDefault="00000000">
            <w:pPr>
              <w:pStyle w:val="table"/>
              <w:tabs>
                <w:tab w:val="decimal" w:pos="924"/>
              </w:tabs>
            </w:pPr>
            <w:r>
              <w:t>1 061 026</w:t>
            </w:r>
          </w:p>
        </w:tc>
        <w:tc>
          <w:tcPr>
            <w:tcW w:w="1436" w:type="dxa"/>
            <w:tcBorders>
              <w:top w:val="single" w:sz="12" w:space="0" w:color="auto"/>
            </w:tcBorders>
          </w:tcPr>
          <w:p w:rsidR="00000000" w:rsidRDefault="00000000">
            <w:pPr>
              <w:pStyle w:val="table"/>
              <w:tabs>
                <w:tab w:val="decimal" w:pos="924"/>
              </w:tabs>
            </w:pPr>
            <w:r>
              <w:t>735 877</w:t>
            </w:r>
          </w:p>
        </w:tc>
      </w:tr>
      <w:tr w:rsidR="00000000">
        <w:tblPrEx>
          <w:tblCellMar>
            <w:top w:w="0" w:type="dxa"/>
            <w:bottom w:w="0" w:type="dxa"/>
          </w:tblCellMar>
        </w:tblPrEx>
        <w:tc>
          <w:tcPr>
            <w:tcW w:w="3063" w:type="dxa"/>
          </w:tcPr>
          <w:p w:rsidR="00000000" w:rsidRDefault="00000000">
            <w:pPr>
              <w:pStyle w:val="table"/>
            </w:pPr>
          </w:p>
        </w:tc>
        <w:tc>
          <w:tcPr>
            <w:tcW w:w="1536" w:type="dxa"/>
          </w:tcPr>
          <w:p w:rsidR="00000000" w:rsidRDefault="00000000">
            <w:pPr>
              <w:pStyle w:val="table"/>
              <w:tabs>
                <w:tab w:val="decimal" w:pos="924"/>
              </w:tabs>
            </w:pPr>
          </w:p>
        </w:tc>
        <w:tc>
          <w:tcPr>
            <w:tcW w:w="1538" w:type="dxa"/>
          </w:tcPr>
          <w:p w:rsidR="00000000" w:rsidRDefault="00000000">
            <w:pPr>
              <w:pStyle w:val="table"/>
              <w:tabs>
                <w:tab w:val="decimal" w:pos="924"/>
              </w:tabs>
            </w:pPr>
          </w:p>
        </w:tc>
        <w:tc>
          <w:tcPr>
            <w:tcW w:w="1543" w:type="dxa"/>
          </w:tcPr>
          <w:p w:rsidR="00000000" w:rsidRDefault="00000000">
            <w:pPr>
              <w:pStyle w:val="table"/>
              <w:tabs>
                <w:tab w:val="decimal" w:pos="924"/>
              </w:tabs>
            </w:pPr>
          </w:p>
        </w:tc>
        <w:tc>
          <w:tcPr>
            <w:tcW w:w="1536" w:type="dxa"/>
          </w:tcPr>
          <w:p w:rsidR="00000000" w:rsidRDefault="00000000">
            <w:pPr>
              <w:pStyle w:val="table"/>
              <w:tabs>
                <w:tab w:val="decimal" w:pos="924"/>
              </w:tabs>
            </w:pPr>
          </w:p>
        </w:tc>
        <w:tc>
          <w:tcPr>
            <w:tcW w:w="1538" w:type="dxa"/>
          </w:tcPr>
          <w:p w:rsidR="00000000" w:rsidRDefault="00000000">
            <w:pPr>
              <w:pStyle w:val="table"/>
              <w:tabs>
                <w:tab w:val="decimal" w:pos="924"/>
              </w:tabs>
            </w:pPr>
          </w:p>
        </w:tc>
        <w:tc>
          <w:tcPr>
            <w:tcW w:w="1436" w:type="dxa"/>
          </w:tcPr>
          <w:p w:rsidR="00000000" w:rsidRDefault="00000000">
            <w:pPr>
              <w:pStyle w:val="table"/>
              <w:tabs>
                <w:tab w:val="decimal" w:pos="924"/>
              </w:tabs>
            </w:pPr>
          </w:p>
        </w:tc>
      </w:tr>
      <w:tr w:rsidR="00000000">
        <w:tblPrEx>
          <w:tblCellMar>
            <w:top w:w="0" w:type="dxa"/>
            <w:bottom w:w="0" w:type="dxa"/>
          </w:tblCellMar>
        </w:tblPrEx>
        <w:tc>
          <w:tcPr>
            <w:tcW w:w="3063" w:type="dxa"/>
          </w:tcPr>
          <w:p w:rsidR="00000000" w:rsidRDefault="00000000">
            <w:pPr>
              <w:pStyle w:val="table"/>
            </w:pPr>
            <w:r>
              <w:t>В том числе учащиеся возра</w:t>
            </w:r>
            <w:r>
              <w:t>с</w:t>
            </w:r>
            <w:r>
              <w:t>том:</w:t>
            </w:r>
          </w:p>
        </w:tc>
        <w:tc>
          <w:tcPr>
            <w:tcW w:w="1536" w:type="dxa"/>
          </w:tcPr>
          <w:p w:rsidR="00000000" w:rsidRDefault="00000000">
            <w:pPr>
              <w:pStyle w:val="table"/>
              <w:tabs>
                <w:tab w:val="decimal" w:pos="924"/>
              </w:tabs>
            </w:pPr>
          </w:p>
        </w:tc>
        <w:tc>
          <w:tcPr>
            <w:tcW w:w="1538" w:type="dxa"/>
          </w:tcPr>
          <w:p w:rsidR="00000000" w:rsidRDefault="00000000">
            <w:pPr>
              <w:pStyle w:val="table"/>
              <w:tabs>
                <w:tab w:val="decimal" w:pos="924"/>
              </w:tabs>
            </w:pPr>
          </w:p>
        </w:tc>
        <w:tc>
          <w:tcPr>
            <w:tcW w:w="1543" w:type="dxa"/>
          </w:tcPr>
          <w:p w:rsidR="00000000" w:rsidRDefault="00000000">
            <w:pPr>
              <w:pStyle w:val="table"/>
              <w:tabs>
                <w:tab w:val="decimal" w:pos="924"/>
              </w:tabs>
            </w:pPr>
          </w:p>
        </w:tc>
        <w:tc>
          <w:tcPr>
            <w:tcW w:w="1536" w:type="dxa"/>
          </w:tcPr>
          <w:p w:rsidR="00000000" w:rsidRDefault="00000000">
            <w:pPr>
              <w:pStyle w:val="table"/>
              <w:tabs>
                <w:tab w:val="decimal" w:pos="924"/>
              </w:tabs>
            </w:pPr>
          </w:p>
        </w:tc>
        <w:tc>
          <w:tcPr>
            <w:tcW w:w="1538" w:type="dxa"/>
          </w:tcPr>
          <w:p w:rsidR="00000000" w:rsidRDefault="00000000">
            <w:pPr>
              <w:pStyle w:val="table"/>
              <w:tabs>
                <w:tab w:val="decimal" w:pos="924"/>
              </w:tabs>
            </w:pPr>
          </w:p>
        </w:tc>
        <w:tc>
          <w:tcPr>
            <w:tcW w:w="1436" w:type="dxa"/>
          </w:tcPr>
          <w:p w:rsidR="00000000" w:rsidRDefault="00000000">
            <w:pPr>
              <w:pStyle w:val="table"/>
              <w:tabs>
                <w:tab w:val="decimal" w:pos="924"/>
              </w:tabs>
            </w:pPr>
          </w:p>
        </w:tc>
      </w:tr>
      <w:tr w:rsidR="00000000">
        <w:tblPrEx>
          <w:tblCellMar>
            <w:top w:w="0" w:type="dxa"/>
            <w:bottom w:w="0" w:type="dxa"/>
          </w:tblCellMar>
        </w:tblPrEx>
        <w:tc>
          <w:tcPr>
            <w:tcW w:w="3063" w:type="dxa"/>
          </w:tcPr>
          <w:p w:rsidR="00000000" w:rsidRDefault="00000000">
            <w:pPr>
              <w:pStyle w:val="table"/>
            </w:pPr>
            <w:r>
              <w:t>15 лет и мла</w:t>
            </w:r>
            <w:r>
              <w:t>д</w:t>
            </w:r>
            <w:r>
              <w:t>ше</w:t>
            </w:r>
          </w:p>
        </w:tc>
        <w:tc>
          <w:tcPr>
            <w:tcW w:w="1536" w:type="dxa"/>
          </w:tcPr>
          <w:p w:rsidR="00000000" w:rsidRDefault="00000000">
            <w:pPr>
              <w:pStyle w:val="table"/>
              <w:tabs>
                <w:tab w:val="decimal" w:pos="924"/>
              </w:tabs>
            </w:pPr>
            <w:r>
              <w:t>22 748</w:t>
            </w:r>
          </w:p>
        </w:tc>
        <w:tc>
          <w:tcPr>
            <w:tcW w:w="1538" w:type="dxa"/>
          </w:tcPr>
          <w:p w:rsidR="00000000" w:rsidRDefault="00000000">
            <w:pPr>
              <w:pStyle w:val="table"/>
              <w:tabs>
                <w:tab w:val="decimal" w:pos="924"/>
              </w:tabs>
            </w:pPr>
            <w:r>
              <w:t>14 524</w:t>
            </w:r>
          </w:p>
        </w:tc>
        <w:tc>
          <w:tcPr>
            <w:tcW w:w="1543" w:type="dxa"/>
          </w:tcPr>
          <w:p w:rsidR="00000000" w:rsidRDefault="00000000">
            <w:pPr>
              <w:pStyle w:val="table"/>
              <w:tabs>
                <w:tab w:val="decimal" w:pos="924"/>
              </w:tabs>
            </w:pPr>
            <w:r>
              <w:t>8224</w:t>
            </w:r>
          </w:p>
        </w:tc>
        <w:tc>
          <w:tcPr>
            <w:tcW w:w="1536" w:type="dxa"/>
          </w:tcPr>
          <w:p w:rsidR="00000000" w:rsidRDefault="00000000">
            <w:pPr>
              <w:pStyle w:val="table"/>
              <w:tabs>
                <w:tab w:val="decimal" w:pos="924"/>
              </w:tabs>
            </w:pPr>
            <w:r>
              <w:t>61 355</w:t>
            </w:r>
          </w:p>
        </w:tc>
        <w:tc>
          <w:tcPr>
            <w:tcW w:w="1538" w:type="dxa"/>
          </w:tcPr>
          <w:p w:rsidR="00000000" w:rsidRDefault="00000000">
            <w:pPr>
              <w:pStyle w:val="table"/>
              <w:tabs>
                <w:tab w:val="decimal" w:pos="924"/>
              </w:tabs>
            </w:pPr>
            <w:r>
              <w:t>37 510</w:t>
            </w:r>
          </w:p>
        </w:tc>
        <w:tc>
          <w:tcPr>
            <w:tcW w:w="1436" w:type="dxa"/>
          </w:tcPr>
          <w:p w:rsidR="00000000" w:rsidRDefault="00000000">
            <w:pPr>
              <w:pStyle w:val="table"/>
              <w:tabs>
                <w:tab w:val="decimal" w:pos="924"/>
              </w:tabs>
            </w:pPr>
            <w:r>
              <w:t>23 845</w:t>
            </w:r>
          </w:p>
        </w:tc>
      </w:tr>
      <w:tr w:rsidR="00000000">
        <w:tblPrEx>
          <w:tblCellMar>
            <w:top w:w="0" w:type="dxa"/>
            <w:bottom w:w="0" w:type="dxa"/>
          </w:tblCellMar>
        </w:tblPrEx>
        <w:tc>
          <w:tcPr>
            <w:tcW w:w="3063" w:type="dxa"/>
          </w:tcPr>
          <w:p w:rsidR="00000000" w:rsidRDefault="00000000">
            <w:pPr>
              <w:pStyle w:val="table"/>
            </w:pPr>
            <w:r>
              <w:t>16 лет</w:t>
            </w:r>
          </w:p>
        </w:tc>
        <w:tc>
          <w:tcPr>
            <w:tcW w:w="1536" w:type="dxa"/>
          </w:tcPr>
          <w:p w:rsidR="00000000" w:rsidRDefault="00000000">
            <w:pPr>
              <w:pStyle w:val="table"/>
              <w:tabs>
                <w:tab w:val="decimal" w:pos="924"/>
              </w:tabs>
            </w:pPr>
            <w:r>
              <w:t>143 517</w:t>
            </w:r>
          </w:p>
        </w:tc>
        <w:tc>
          <w:tcPr>
            <w:tcW w:w="1538" w:type="dxa"/>
          </w:tcPr>
          <w:p w:rsidR="00000000" w:rsidRDefault="00000000">
            <w:pPr>
              <w:pStyle w:val="table"/>
              <w:tabs>
                <w:tab w:val="decimal" w:pos="924"/>
              </w:tabs>
            </w:pPr>
            <w:r>
              <w:t>88 833</w:t>
            </w:r>
          </w:p>
        </w:tc>
        <w:tc>
          <w:tcPr>
            <w:tcW w:w="1543" w:type="dxa"/>
          </w:tcPr>
          <w:p w:rsidR="00000000" w:rsidRDefault="00000000">
            <w:pPr>
              <w:pStyle w:val="table"/>
              <w:tabs>
                <w:tab w:val="decimal" w:pos="924"/>
              </w:tabs>
            </w:pPr>
            <w:r>
              <w:t>54 684</w:t>
            </w:r>
          </w:p>
        </w:tc>
        <w:tc>
          <w:tcPr>
            <w:tcW w:w="1536" w:type="dxa"/>
          </w:tcPr>
          <w:p w:rsidR="00000000" w:rsidRDefault="00000000">
            <w:pPr>
              <w:pStyle w:val="table"/>
              <w:tabs>
                <w:tab w:val="decimal" w:pos="924"/>
              </w:tabs>
            </w:pPr>
            <w:r>
              <w:t>153 540</w:t>
            </w:r>
          </w:p>
        </w:tc>
        <w:tc>
          <w:tcPr>
            <w:tcW w:w="1538" w:type="dxa"/>
          </w:tcPr>
          <w:p w:rsidR="00000000" w:rsidRDefault="00000000">
            <w:pPr>
              <w:pStyle w:val="table"/>
              <w:tabs>
                <w:tab w:val="decimal" w:pos="924"/>
              </w:tabs>
            </w:pPr>
            <w:r>
              <w:t>92 696</w:t>
            </w:r>
          </w:p>
        </w:tc>
        <w:tc>
          <w:tcPr>
            <w:tcW w:w="1436" w:type="dxa"/>
          </w:tcPr>
          <w:p w:rsidR="00000000" w:rsidRDefault="00000000">
            <w:pPr>
              <w:pStyle w:val="table"/>
              <w:tabs>
                <w:tab w:val="decimal" w:pos="924"/>
              </w:tabs>
            </w:pPr>
            <w:r>
              <w:t>60 844</w:t>
            </w:r>
          </w:p>
        </w:tc>
      </w:tr>
      <w:tr w:rsidR="00000000">
        <w:tblPrEx>
          <w:tblCellMar>
            <w:top w:w="0" w:type="dxa"/>
            <w:bottom w:w="0" w:type="dxa"/>
          </w:tblCellMar>
        </w:tblPrEx>
        <w:tc>
          <w:tcPr>
            <w:tcW w:w="3063" w:type="dxa"/>
          </w:tcPr>
          <w:p w:rsidR="00000000" w:rsidRDefault="00000000">
            <w:pPr>
              <w:pStyle w:val="table"/>
            </w:pPr>
            <w:r>
              <w:t>17 лет</w:t>
            </w:r>
          </w:p>
        </w:tc>
        <w:tc>
          <w:tcPr>
            <w:tcW w:w="1536" w:type="dxa"/>
          </w:tcPr>
          <w:p w:rsidR="00000000" w:rsidRDefault="00000000">
            <w:pPr>
              <w:pStyle w:val="table"/>
              <w:tabs>
                <w:tab w:val="decimal" w:pos="924"/>
              </w:tabs>
            </w:pPr>
            <w:r>
              <w:t>297 177</w:t>
            </w:r>
          </w:p>
        </w:tc>
        <w:tc>
          <w:tcPr>
            <w:tcW w:w="1538" w:type="dxa"/>
          </w:tcPr>
          <w:p w:rsidR="00000000" w:rsidRDefault="00000000">
            <w:pPr>
              <w:pStyle w:val="table"/>
              <w:tabs>
                <w:tab w:val="decimal" w:pos="924"/>
              </w:tabs>
            </w:pPr>
            <w:r>
              <w:t>182 696</w:t>
            </w:r>
          </w:p>
        </w:tc>
        <w:tc>
          <w:tcPr>
            <w:tcW w:w="1543" w:type="dxa"/>
          </w:tcPr>
          <w:p w:rsidR="00000000" w:rsidRDefault="00000000">
            <w:pPr>
              <w:pStyle w:val="table"/>
              <w:tabs>
                <w:tab w:val="decimal" w:pos="924"/>
              </w:tabs>
            </w:pPr>
            <w:r>
              <w:t>114 481</w:t>
            </w:r>
          </w:p>
        </w:tc>
        <w:tc>
          <w:tcPr>
            <w:tcW w:w="1536" w:type="dxa"/>
          </w:tcPr>
          <w:p w:rsidR="00000000" w:rsidRDefault="00000000">
            <w:pPr>
              <w:pStyle w:val="table"/>
              <w:tabs>
                <w:tab w:val="decimal" w:pos="924"/>
              </w:tabs>
            </w:pPr>
            <w:r>
              <w:t>296 028</w:t>
            </w:r>
          </w:p>
        </w:tc>
        <w:tc>
          <w:tcPr>
            <w:tcW w:w="1538" w:type="dxa"/>
          </w:tcPr>
          <w:p w:rsidR="00000000" w:rsidRDefault="00000000">
            <w:pPr>
              <w:pStyle w:val="table"/>
              <w:tabs>
                <w:tab w:val="decimal" w:pos="924"/>
              </w:tabs>
            </w:pPr>
            <w:r>
              <w:t>180 635</w:t>
            </w:r>
          </w:p>
        </w:tc>
        <w:tc>
          <w:tcPr>
            <w:tcW w:w="1436" w:type="dxa"/>
          </w:tcPr>
          <w:p w:rsidR="00000000" w:rsidRDefault="00000000">
            <w:pPr>
              <w:pStyle w:val="table"/>
              <w:tabs>
                <w:tab w:val="decimal" w:pos="924"/>
              </w:tabs>
            </w:pPr>
            <w:r>
              <w:t>115 393</w:t>
            </w:r>
          </w:p>
        </w:tc>
      </w:tr>
      <w:tr w:rsidR="00000000">
        <w:tblPrEx>
          <w:tblCellMar>
            <w:top w:w="0" w:type="dxa"/>
            <w:bottom w:w="0" w:type="dxa"/>
          </w:tblCellMar>
        </w:tblPrEx>
        <w:tc>
          <w:tcPr>
            <w:tcW w:w="3063" w:type="dxa"/>
          </w:tcPr>
          <w:p w:rsidR="00000000" w:rsidRDefault="00000000">
            <w:pPr>
              <w:pStyle w:val="table"/>
            </w:pPr>
            <w:r>
              <w:t>18 лет</w:t>
            </w:r>
          </w:p>
        </w:tc>
        <w:tc>
          <w:tcPr>
            <w:tcW w:w="1536" w:type="dxa"/>
          </w:tcPr>
          <w:p w:rsidR="00000000" w:rsidRDefault="00000000">
            <w:pPr>
              <w:pStyle w:val="table"/>
              <w:tabs>
                <w:tab w:val="decimal" w:pos="924"/>
              </w:tabs>
            </w:pPr>
            <w:r>
              <w:t>351 110</w:t>
            </w:r>
          </w:p>
        </w:tc>
        <w:tc>
          <w:tcPr>
            <w:tcW w:w="1538" w:type="dxa"/>
          </w:tcPr>
          <w:p w:rsidR="00000000" w:rsidRDefault="00000000">
            <w:pPr>
              <w:pStyle w:val="table"/>
              <w:tabs>
                <w:tab w:val="decimal" w:pos="924"/>
              </w:tabs>
            </w:pPr>
            <w:r>
              <w:t>212 791</w:t>
            </w:r>
          </w:p>
        </w:tc>
        <w:tc>
          <w:tcPr>
            <w:tcW w:w="1543" w:type="dxa"/>
          </w:tcPr>
          <w:p w:rsidR="00000000" w:rsidRDefault="00000000">
            <w:pPr>
              <w:pStyle w:val="table"/>
              <w:tabs>
                <w:tab w:val="decimal" w:pos="924"/>
              </w:tabs>
            </w:pPr>
            <w:r>
              <w:t>138 319</w:t>
            </w:r>
          </w:p>
        </w:tc>
        <w:tc>
          <w:tcPr>
            <w:tcW w:w="1536" w:type="dxa"/>
          </w:tcPr>
          <w:p w:rsidR="00000000" w:rsidRDefault="00000000">
            <w:pPr>
              <w:pStyle w:val="table"/>
              <w:tabs>
                <w:tab w:val="decimal" w:pos="924"/>
              </w:tabs>
            </w:pPr>
            <w:r>
              <w:t>348 552</w:t>
            </w:r>
          </w:p>
        </w:tc>
        <w:tc>
          <w:tcPr>
            <w:tcW w:w="1538" w:type="dxa"/>
          </w:tcPr>
          <w:p w:rsidR="00000000" w:rsidRDefault="00000000">
            <w:pPr>
              <w:pStyle w:val="table"/>
              <w:tabs>
                <w:tab w:val="decimal" w:pos="924"/>
              </w:tabs>
            </w:pPr>
            <w:r>
              <w:t>212 242</w:t>
            </w:r>
          </w:p>
        </w:tc>
        <w:tc>
          <w:tcPr>
            <w:tcW w:w="1436" w:type="dxa"/>
          </w:tcPr>
          <w:p w:rsidR="00000000" w:rsidRDefault="00000000">
            <w:pPr>
              <w:pStyle w:val="table"/>
              <w:tabs>
                <w:tab w:val="decimal" w:pos="924"/>
              </w:tabs>
            </w:pPr>
            <w:r>
              <w:t>136 310</w:t>
            </w:r>
          </w:p>
        </w:tc>
      </w:tr>
      <w:tr w:rsidR="00000000">
        <w:tblPrEx>
          <w:tblCellMar>
            <w:top w:w="0" w:type="dxa"/>
            <w:bottom w:w="0" w:type="dxa"/>
          </w:tblCellMar>
        </w:tblPrEx>
        <w:tc>
          <w:tcPr>
            <w:tcW w:w="3063" w:type="dxa"/>
          </w:tcPr>
          <w:p w:rsidR="00000000" w:rsidRDefault="00000000">
            <w:pPr>
              <w:pStyle w:val="table"/>
            </w:pPr>
            <w:r>
              <w:t>19 лет</w:t>
            </w:r>
          </w:p>
        </w:tc>
        <w:tc>
          <w:tcPr>
            <w:tcW w:w="1536" w:type="dxa"/>
          </w:tcPr>
          <w:p w:rsidR="00000000" w:rsidRDefault="00000000">
            <w:pPr>
              <w:pStyle w:val="table"/>
              <w:tabs>
                <w:tab w:val="decimal" w:pos="924"/>
              </w:tabs>
            </w:pPr>
            <w:r>
              <w:t>302 779</w:t>
            </w:r>
          </w:p>
        </w:tc>
        <w:tc>
          <w:tcPr>
            <w:tcW w:w="1538" w:type="dxa"/>
          </w:tcPr>
          <w:p w:rsidR="00000000" w:rsidRDefault="00000000">
            <w:pPr>
              <w:pStyle w:val="table"/>
              <w:tabs>
                <w:tab w:val="decimal" w:pos="924"/>
              </w:tabs>
            </w:pPr>
            <w:r>
              <w:t>179 080</w:t>
            </w:r>
          </w:p>
        </w:tc>
        <w:tc>
          <w:tcPr>
            <w:tcW w:w="1543" w:type="dxa"/>
          </w:tcPr>
          <w:p w:rsidR="00000000" w:rsidRDefault="00000000">
            <w:pPr>
              <w:pStyle w:val="table"/>
              <w:tabs>
                <w:tab w:val="decimal" w:pos="924"/>
              </w:tabs>
            </w:pPr>
            <w:r>
              <w:t>123 699</w:t>
            </w:r>
          </w:p>
        </w:tc>
        <w:tc>
          <w:tcPr>
            <w:tcW w:w="1536" w:type="dxa"/>
          </w:tcPr>
          <w:p w:rsidR="00000000" w:rsidRDefault="00000000">
            <w:pPr>
              <w:pStyle w:val="table"/>
              <w:tabs>
                <w:tab w:val="decimal" w:pos="924"/>
              </w:tabs>
            </w:pPr>
            <w:r>
              <w:t>312 075</w:t>
            </w:r>
          </w:p>
        </w:tc>
        <w:tc>
          <w:tcPr>
            <w:tcW w:w="1538" w:type="dxa"/>
          </w:tcPr>
          <w:p w:rsidR="00000000" w:rsidRDefault="00000000">
            <w:pPr>
              <w:pStyle w:val="table"/>
              <w:tabs>
                <w:tab w:val="decimal" w:pos="924"/>
              </w:tabs>
            </w:pPr>
            <w:r>
              <w:t>182 513</w:t>
            </w:r>
          </w:p>
        </w:tc>
        <w:tc>
          <w:tcPr>
            <w:tcW w:w="1436" w:type="dxa"/>
          </w:tcPr>
          <w:p w:rsidR="00000000" w:rsidRDefault="00000000">
            <w:pPr>
              <w:pStyle w:val="table"/>
              <w:tabs>
                <w:tab w:val="decimal" w:pos="924"/>
              </w:tabs>
            </w:pPr>
            <w:r>
              <w:t>129 562</w:t>
            </w:r>
          </w:p>
        </w:tc>
      </w:tr>
      <w:tr w:rsidR="00000000">
        <w:tblPrEx>
          <w:tblCellMar>
            <w:top w:w="0" w:type="dxa"/>
            <w:bottom w:w="0" w:type="dxa"/>
          </w:tblCellMar>
        </w:tblPrEx>
        <w:tc>
          <w:tcPr>
            <w:tcW w:w="3063" w:type="dxa"/>
          </w:tcPr>
          <w:p w:rsidR="00000000" w:rsidRDefault="00000000">
            <w:pPr>
              <w:pStyle w:val="table"/>
            </w:pPr>
            <w:r>
              <w:t>20 лет</w:t>
            </w:r>
          </w:p>
        </w:tc>
        <w:tc>
          <w:tcPr>
            <w:tcW w:w="1536" w:type="dxa"/>
          </w:tcPr>
          <w:p w:rsidR="00000000" w:rsidRDefault="00000000">
            <w:pPr>
              <w:pStyle w:val="table"/>
              <w:tabs>
                <w:tab w:val="decimal" w:pos="924"/>
              </w:tabs>
            </w:pPr>
            <w:r>
              <w:t>198 977</w:t>
            </w:r>
          </w:p>
        </w:tc>
        <w:tc>
          <w:tcPr>
            <w:tcW w:w="1538" w:type="dxa"/>
          </w:tcPr>
          <w:p w:rsidR="00000000" w:rsidRDefault="00000000">
            <w:pPr>
              <w:pStyle w:val="table"/>
              <w:tabs>
                <w:tab w:val="decimal" w:pos="924"/>
              </w:tabs>
            </w:pPr>
            <w:r>
              <w:t>112 167</w:t>
            </w:r>
          </w:p>
        </w:tc>
        <w:tc>
          <w:tcPr>
            <w:tcW w:w="1543" w:type="dxa"/>
          </w:tcPr>
          <w:p w:rsidR="00000000" w:rsidRDefault="00000000">
            <w:pPr>
              <w:pStyle w:val="table"/>
              <w:tabs>
                <w:tab w:val="decimal" w:pos="924"/>
              </w:tabs>
            </w:pPr>
            <w:r>
              <w:t>86 810</w:t>
            </w:r>
          </w:p>
        </w:tc>
        <w:tc>
          <w:tcPr>
            <w:tcW w:w="1536" w:type="dxa"/>
          </w:tcPr>
          <w:p w:rsidR="00000000" w:rsidRDefault="00000000">
            <w:pPr>
              <w:pStyle w:val="table"/>
              <w:tabs>
                <w:tab w:val="decimal" w:pos="924"/>
              </w:tabs>
            </w:pPr>
            <w:r>
              <w:t>233 903</w:t>
            </w:r>
          </w:p>
        </w:tc>
        <w:tc>
          <w:tcPr>
            <w:tcW w:w="1538" w:type="dxa"/>
          </w:tcPr>
          <w:p w:rsidR="00000000" w:rsidRDefault="00000000">
            <w:pPr>
              <w:pStyle w:val="table"/>
              <w:tabs>
                <w:tab w:val="decimal" w:pos="924"/>
              </w:tabs>
            </w:pPr>
            <w:r>
              <w:t>129 207</w:t>
            </w:r>
          </w:p>
        </w:tc>
        <w:tc>
          <w:tcPr>
            <w:tcW w:w="1436" w:type="dxa"/>
          </w:tcPr>
          <w:p w:rsidR="00000000" w:rsidRDefault="00000000">
            <w:pPr>
              <w:pStyle w:val="table"/>
              <w:tabs>
                <w:tab w:val="decimal" w:pos="924"/>
              </w:tabs>
            </w:pPr>
            <w:r>
              <w:t>104 696</w:t>
            </w:r>
          </w:p>
        </w:tc>
      </w:tr>
      <w:tr w:rsidR="00000000">
        <w:tblPrEx>
          <w:tblCellMar>
            <w:top w:w="0" w:type="dxa"/>
            <w:bottom w:w="0" w:type="dxa"/>
          </w:tblCellMar>
        </w:tblPrEx>
        <w:tc>
          <w:tcPr>
            <w:tcW w:w="3063" w:type="dxa"/>
          </w:tcPr>
          <w:p w:rsidR="00000000" w:rsidRDefault="00000000">
            <w:pPr>
              <w:pStyle w:val="table"/>
            </w:pPr>
            <w:r>
              <w:t>21 год</w:t>
            </w:r>
          </w:p>
        </w:tc>
        <w:tc>
          <w:tcPr>
            <w:tcW w:w="1536" w:type="dxa"/>
          </w:tcPr>
          <w:p w:rsidR="00000000" w:rsidRDefault="00000000">
            <w:pPr>
              <w:pStyle w:val="table"/>
              <w:tabs>
                <w:tab w:val="decimal" w:pos="924"/>
              </w:tabs>
            </w:pPr>
            <w:r>
              <w:t>115 728</w:t>
            </w:r>
          </w:p>
        </w:tc>
        <w:tc>
          <w:tcPr>
            <w:tcW w:w="1538" w:type="dxa"/>
          </w:tcPr>
          <w:p w:rsidR="00000000" w:rsidRDefault="00000000">
            <w:pPr>
              <w:pStyle w:val="table"/>
              <w:tabs>
                <w:tab w:val="decimal" w:pos="924"/>
              </w:tabs>
            </w:pPr>
            <w:r>
              <w:t>61 298</w:t>
            </w:r>
          </w:p>
        </w:tc>
        <w:tc>
          <w:tcPr>
            <w:tcW w:w="1543" w:type="dxa"/>
          </w:tcPr>
          <w:p w:rsidR="00000000" w:rsidRDefault="00000000">
            <w:pPr>
              <w:pStyle w:val="table"/>
              <w:tabs>
                <w:tab w:val="decimal" w:pos="924"/>
              </w:tabs>
            </w:pPr>
            <w:r>
              <w:t>54 430</w:t>
            </w:r>
          </w:p>
        </w:tc>
        <w:tc>
          <w:tcPr>
            <w:tcW w:w="1536" w:type="dxa"/>
          </w:tcPr>
          <w:p w:rsidR="00000000" w:rsidRDefault="00000000">
            <w:pPr>
              <w:pStyle w:val="table"/>
              <w:tabs>
                <w:tab w:val="decimal" w:pos="924"/>
              </w:tabs>
            </w:pPr>
            <w:r>
              <w:t>149 640</w:t>
            </w:r>
          </w:p>
        </w:tc>
        <w:tc>
          <w:tcPr>
            <w:tcW w:w="1538" w:type="dxa"/>
          </w:tcPr>
          <w:p w:rsidR="00000000" w:rsidRDefault="00000000">
            <w:pPr>
              <w:pStyle w:val="table"/>
              <w:tabs>
                <w:tab w:val="decimal" w:pos="924"/>
              </w:tabs>
            </w:pPr>
            <w:r>
              <w:t>78 503</w:t>
            </w:r>
          </w:p>
        </w:tc>
        <w:tc>
          <w:tcPr>
            <w:tcW w:w="1436" w:type="dxa"/>
          </w:tcPr>
          <w:p w:rsidR="00000000" w:rsidRDefault="00000000">
            <w:pPr>
              <w:pStyle w:val="table"/>
              <w:tabs>
                <w:tab w:val="decimal" w:pos="924"/>
              </w:tabs>
            </w:pPr>
            <w:r>
              <w:t>71 137</w:t>
            </w:r>
          </w:p>
        </w:tc>
      </w:tr>
      <w:tr w:rsidR="00000000">
        <w:tblPrEx>
          <w:tblCellMar>
            <w:top w:w="0" w:type="dxa"/>
            <w:bottom w:w="0" w:type="dxa"/>
          </w:tblCellMar>
        </w:tblPrEx>
        <w:tc>
          <w:tcPr>
            <w:tcW w:w="3063" w:type="dxa"/>
            <w:tcBorders>
              <w:bottom w:val="single" w:sz="12" w:space="0" w:color="auto"/>
            </w:tcBorders>
          </w:tcPr>
          <w:p w:rsidR="00000000" w:rsidRDefault="00000000">
            <w:pPr>
              <w:pStyle w:val="table"/>
            </w:pPr>
            <w:r>
              <w:t>22 года и старше</w:t>
            </w:r>
          </w:p>
        </w:tc>
        <w:tc>
          <w:tcPr>
            <w:tcW w:w="1536" w:type="dxa"/>
            <w:tcBorders>
              <w:bottom w:val="single" w:sz="12" w:space="0" w:color="auto"/>
            </w:tcBorders>
          </w:tcPr>
          <w:p w:rsidR="00000000" w:rsidRDefault="00000000">
            <w:pPr>
              <w:pStyle w:val="table"/>
              <w:tabs>
                <w:tab w:val="decimal" w:pos="924"/>
              </w:tabs>
            </w:pPr>
            <w:r>
              <w:t>193 390</w:t>
            </w:r>
          </w:p>
        </w:tc>
        <w:tc>
          <w:tcPr>
            <w:tcW w:w="1538" w:type="dxa"/>
            <w:tcBorders>
              <w:bottom w:val="single" w:sz="12" w:space="0" w:color="auto"/>
            </w:tcBorders>
          </w:tcPr>
          <w:p w:rsidR="00000000" w:rsidRDefault="00000000">
            <w:pPr>
              <w:pStyle w:val="table"/>
              <w:tabs>
                <w:tab w:val="decimal" w:pos="924"/>
              </w:tabs>
            </w:pPr>
            <w:r>
              <w:t>119 228</w:t>
            </w:r>
          </w:p>
        </w:tc>
        <w:tc>
          <w:tcPr>
            <w:tcW w:w="1543" w:type="dxa"/>
            <w:tcBorders>
              <w:bottom w:val="single" w:sz="12" w:space="0" w:color="auto"/>
            </w:tcBorders>
          </w:tcPr>
          <w:p w:rsidR="00000000" w:rsidRDefault="00000000">
            <w:pPr>
              <w:pStyle w:val="table"/>
              <w:tabs>
                <w:tab w:val="decimal" w:pos="924"/>
              </w:tabs>
            </w:pPr>
            <w:r>
              <w:t>74 162</w:t>
            </w:r>
          </w:p>
        </w:tc>
        <w:tc>
          <w:tcPr>
            <w:tcW w:w="1536" w:type="dxa"/>
            <w:tcBorders>
              <w:bottom w:val="single" w:sz="12" w:space="0" w:color="auto"/>
            </w:tcBorders>
          </w:tcPr>
          <w:p w:rsidR="00000000" w:rsidRDefault="00000000">
            <w:pPr>
              <w:pStyle w:val="table"/>
              <w:tabs>
                <w:tab w:val="decimal" w:pos="924"/>
              </w:tabs>
            </w:pPr>
            <w:r>
              <w:t>241 805</w:t>
            </w:r>
          </w:p>
        </w:tc>
        <w:tc>
          <w:tcPr>
            <w:tcW w:w="1538" w:type="dxa"/>
            <w:tcBorders>
              <w:bottom w:val="single" w:sz="12" w:space="0" w:color="auto"/>
            </w:tcBorders>
          </w:tcPr>
          <w:p w:rsidR="00000000" w:rsidRDefault="00000000">
            <w:pPr>
              <w:pStyle w:val="table"/>
              <w:tabs>
                <w:tab w:val="decimal" w:pos="924"/>
              </w:tabs>
            </w:pPr>
            <w:r>
              <w:t>147 716</w:t>
            </w:r>
          </w:p>
        </w:tc>
        <w:tc>
          <w:tcPr>
            <w:tcW w:w="1436" w:type="dxa"/>
            <w:tcBorders>
              <w:bottom w:val="single" w:sz="12" w:space="0" w:color="auto"/>
            </w:tcBorders>
          </w:tcPr>
          <w:p w:rsidR="00000000" w:rsidRDefault="00000000">
            <w:pPr>
              <w:pStyle w:val="table"/>
              <w:tabs>
                <w:tab w:val="decimal" w:pos="924"/>
              </w:tabs>
            </w:pPr>
            <w:r>
              <w:t>94 089</w:t>
            </w:r>
          </w:p>
        </w:tc>
      </w:tr>
    </w:tbl>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53" w:name="_Toc44113570"/>
      <w:bookmarkStart w:id="754" w:name="_Toc44113871"/>
      <w:bookmarkStart w:id="755" w:name="_Toc44114379"/>
      <w:bookmarkStart w:id="756" w:name="_Toc44115625"/>
      <w:bookmarkStart w:id="757" w:name="_Toc44116057"/>
      <w:r>
        <w:t>Таблица 4.3.1 Доля учащихся-женщин среди студентов первого курса высших уче</w:t>
      </w:r>
      <w:r>
        <w:t>б</w:t>
      </w:r>
      <w:r>
        <w:t>ных заведений</w:t>
      </w:r>
      <w:bookmarkEnd w:id="753"/>
      <w:bookmarkEnd w:id="754"/>
      <w:bookmarkEnd w:id="755"/>
      <w:bookmarkEnd w:id="756"/>
      <w:bookmarkEnd w:id="757"/>
    </w:p>
    <w:tbl>
      <w:tblPr>
        <w:tblW w:w="0" w:type="auto"/>
        <w:tblInd w:w="2" w:type="dxa"/>
        <w:tblLayout w:type="fixed"/>
        <w:tblLook w:val="0000" w:firstRow="0" w:lastRow="0" w:firstColumn="0" w:lastColumn="0" w:noHBand="0" w:noVBand="0"/>
      </w:tblPr>
      <w:tblGrid>
        <w:gridCol w:w="2242"/>
        <w:gridCol w:w="911"/>
        <w:gridCol w:w="914"/>
        <w:gridCol w:w="917"/>
        <w:gridCol w:w="917"/>
        <w:gridCol w:w="917"/>
        <w:gridCol w:w="917"/>
        <w:gridCol w:w="917"/>
        <w:gridCol w:w="917"/>
        <w:gridCol w:w="917"/>
        <w:gridCol w:w="917"/>
        <w:gridCol w:w="787"/>
      </w:tblGrid>
      <w:tr w:rsidR="00000000">
        <w:tblPrEx>
          <w:tblCellMar>
            <w:top w:w="0" w:type="dxa"/>
            <w:bottom w:w="0" w:type="dxa"/>
          </w:tblCellMar>
        </w:tblPrEx>
        <w:trPr>
          <w:cantSplit/>
        </w:trPr>
        <w:tc>
          <w:tcPr>
            <w:tcW w:w="2242" w:type="dxa"/>
            <w:vMerge w:val="restart"/>
            <w:tcBorders>
              <w:top w:val="single" w:sz="6" w:space="0" w:color="auto"/>
              <w:bottom w:val="single" w:sz="6" w:space="0" w:color="auto"/>
            </w:tcBorders>
            <w:vAlign w:val="center"/>
          </w:tcPr>
          <w:p w:rsidR="00000000" w:rsidRDefault="00000000">
            <w:pPr>
              <w:pStyle w:val="table"/>
              <w:jc w:val="center"/>
              <w:rPr>
                <w:i/>
              </w:rPr>
            </w:pPr>
          </w:p>
        </w:tc>
        <w:tc>
          <w:tcPr>
            <w:tcW w:w="9948" w:type="dxa"/>
            <w:gridSpan w:val="11"/>
            <w:tcBorders>
              <w:top w:val="single" w:sz="6" w:space="0" w:color="auto"/>
              <w:bottom w:val="single" w:sz="6" w:space="0" w:color="auto"/>
            </w:tcBorders>
            <w:vAlign w:val="center"/>
          </w:tcPr>
          <w:p w:rsidR="00000000" w:rsidRDefault="00000000">
            <w:pPr>
              <w:pStyle w:val="table"/>
              <w:jc w:val="center"/>
              <w:rPr>
                <w:i/>
              </w:rPr>
            </w:pPr>
            <w:r>
              <w:rPr>
                <w:i/>
              </w:rPr>
              <w:t xml:space="preserve">Учебный год </w:t>
            </w:r>
            <w:r>
              <w:rPr>
                <w:i/>
                <w:vertAlign w:val="superscript"/>
              </w:rPr>
              <w:t>*)</w:t>
            </w:r>
          </w:p>
        </w:tc>
      </w:tr>
      <w:tr w:rsidR="00000000">
        <w:tblPrEx>
          <w:tblCellMar>
            <w:top w:w="0" w:type="dxa"/>
            <w:bottom w:w="0" w:type="dxa"/>
          </w:tblCellMar>
        </w:tblPrEx>
        <w:trPr>
          <w:cantSplit/>
        </w:trPr>
        <w:tc>
          <w:tcPr>
            <w:tcW w:w="2242" w:type="dxa"/>
            <w:vMerge/>
            <w:tcBorders>
              <w:top w:val="single" w:sz="6" w:space="0" w:color="auto"/>
              <w:bottom w:val="single" w:sz="12" w:space="0" w:color="auto"/>
            </w:tcBorders>
            <w:vAlign w:val="center"/>
          </w:tcPr>
          <w:p w:rsidR="00000000" w:rsidRDefault="00000000">
            <w:pPr>
              <w:pStyle w:val="table"/>
              <w:jc w:val="center"/>
              <w:rPr>
                <w:i/>
              </w:rPr>
            </w:pPr>
          </w:p>
        </w:tc>
        <w:tc>
          <w:tcPr>
            <w:tcW w:w="911" w:type="dxa"/>
            <w:tcBorders>
              <w:top w:val="single" w:sz="6" w:space="0" w:color="auto"/>
              <w:bottom w:val="single" w:sz="12" w:space="0" w:color="auto"/>
            </w:tcBorders>
            <w:vAlign w:val="center"/>
          </w:tcPr>
          <w:p w:rsidR="00000000" w:rsidRDefault="00000000">
            <w:pPr>
              <w:pStyle w:val="table"/>
              <w:jc w:val="center"/>
              <w:rPr>
                <w:i/>
              </w:rPr>
            </w:pPr>
            <w:r>
              <w:rPr>
                <w:i/>
              </w:rPr>
              <w:t>1970</w:t>
            </w:r>
            <w:r>
              <w:rPr>
                <w:i/>
                <w:vertAlign w:val="superscript"/>
              </w:rPr>
              <w:t>1)</w:t>
            </w:r>
          </w:p>
        </w:tc>
        <w:tc>
          <w:tcPr>
            <w:tcW w:w="914" w:type="dxa"/>
            <w:tcBorders>
              <w:top w:val="single" w:sz="6" w:space="0" w:color="auto"/>
              <w:bottom w:val="single" w:sz="12" w:space="0" w:color="auto"/>
            </w:tcBorders>
            <w:vAlign w:val="center"/>
          </w:tcPr>
          <w:p w:rsidR="00000000" w:rsidRDefault="00000000">
            <w:pPr>
              <w:pStyle w:val="table"/>
              <w:jc w:val="center"/>
              <w:rPr>
                <w:i/>
              </w:rPr>
            </w:pPr>
            <w:r>
              <w:rPr>
                <w:i/>
              </w:rPr>
              <w:t>1980</w:t>
            </w:r>
            <w:r>
              <w:rPr>
                <w:i/>
                <w:vertAlign w:val="superscript"/>
              </w:rPr>
              <w:t>1)</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1985</w:t>
            </w:r>
            <w:r>
              <w:rPr>
                <w:i/>
                <w:vertAlign w:val="superscript"/>
              </w:rPr>
              <w:t>1)</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1991</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1993</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1995</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1997</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1998</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1999</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2000</w:t>
            </w:r>
          </w:p>
        </w:tc>
        <w:tc>
          <w:tcPr>
            <w:tcW w:w="787" w:type="dxa"/>
            <w:tcBorders>
              <w:top w:val="single" w:sz="6" w:space="0" w:color="auto"/>
              <w:bottom w:val="single" w:sz="12" w:space="0" w:color="auto"/>
            </w:tcBorders>
            <w:vAlign w:val="center"/>
          </w:tcPr>
          <w:p w:rsidR="00000000" w:rsidRDefault="00000000">
            <w:pPr>
              <w:pStyle w:val="table"/>
              <w:jc w:val="center"/>
              <w:rPr>
                <w:i/>
              </w:rPr>
            </w:pPr>
            <w:r>
              <w:rPr>
                <w:i/>
              </w:rPr>
              <w:t>2001</w:t>
            </w:r>
            <w:r>
              <w:rPr>
                <w:i/>
                <w:vertAlign w:val="superscript"/>
              </w:rPr>
              <w:t>2)</w:t>
            </w:r>
          </w:p>
        </w:tc>
      </w:tr>
      <w:tr w:rsidR="00000000">
        <w:tblPrEx>
          <w:tblCellMar>
            <w:top w:w="0" w:type="dxa"/>
            <w:bottom w:w="0" w:type="dxa"/>
          </w:tblCellMar>
        </w:tblPrEx>
        <w:tc>
          <w:tcPr>
            <w:tcW w:w="2242" w:type="dxa"/>
            <w:tcBorders>
              <w:top w:val="single" w:sz="12" w:space="0" w:color="auto"/>
            </w:tcBorders>
          </w:tcPr>
          <w:p w:rsidR="00000000" w:rsidRDefault="00000000">
            <w:pPr>
              <w:pStyle w:val="table"/>
            </w:pPr>
            <w:r>
              <w:t>Высшие учебные завед</w:t>
            </w:r>
            <w:r>
              <w:t>е</w:t>
            </w:r>
            <w:r>
              <w:t>ния, всего</w:t>
            </w:r>
          </w:p>
        </w:tc>
        <w:tc>
          <w:tcPr>
            <w:tcW w:w="911" w:type="dxa"/>
            <w:tcBorders>
              <w:top w:val="single" w:sz="12" w:space="0" w:color="auto"/>
            </w:tcBorders>
            <w:vAlign w:val="bottom"/>
          </w:tcPr>
          <w:p w:rsidR="00000000" w:rsidRDefault="00000000">
            <w:pPr>
              <w:pStyle w:val="table"/>
              <w:tabs>
                <w:tab w:val="decimal" w:pos="344"/>
              </w:tabs>
            </w:pPr>
            <w:r>
              <w:t>37,8</w:t>
            </w:r>
          </w:p>
        </w:tc>
        <w:tc>
          <w:tcPr>
            <w:tcW w:w="914" w:type="dxa"/>
            <w:tcBorders>
              <w:top w:val="single" w:sz="12" w:space="0" w:color="auto"/>
            </w:tcBorders>
            <w:vAlign w:val="bottom"/>
          </w:tcPr>
          <w:p w:rsidR="00000000" w:rsidRDefault="00000000">
            <w:pPr>
              <w:pStyle w:val="table"/>
              <w:tabs>
                <w:tab w:val="decimal" w:pos="344"/>
              </w:tabs>
            </w:pPr>
            <w:r>
              <w:t>40,2</w:t>
            </w:r>
          </w:p>
        </w:tc>
        <w:tc>
          <w:tcPr>
            <w:tcW w:w="917" w:type="dxa"/>
            <w:tcBorders>
              <w:top w:val="single" w:sz="12" w:space="0" w:color="auto"/>
            </w:tcBorders>
            <w:vAlign w:val="bottom"/>
          </w:tcPr>
          <w:p w:rsidR="00000000" w:rsidRDefault="00000000">
            <w:pPr>
              <w:pStyle w:val="table"/>
              <w:tabs>
                <w:tab w:val="decimal" w:pos="344"/>
              </w:tabs>
            </w:pPr>
            <w:r>
              <w:t>39,8</w:t>
            </w:r>
          </w:p>
        </w:tc>
        <w:tc>
          <w:tcPr>
            <w:tcW w:w="917" w:type="dxa"/>
            <w:tcBorders>
              <w:top w:val="single" w:sz="12" w:space="0" w:color="auto"/>
            </w:tcBorders>
            <w:vAlign w:val="bottom"/>
          </w:tcPr>
          <w:p w:rsidR="00000000" w:rsidRDefault="00000000">
            <w:pPr>
              <w:pStyle w:val="table"/>
              <w:tabs>
                <w:tab w:val="decimal" w:pos="344"/>
              </w:tabs>
            </w:pPr>
            <w:r>
              <w:t>41,2</w:t>
            </w:r>
          </w:p>
        </w:tc>
        <w:tc>
          <w:tcPr>
            <w:tcW w:w="917" w:type="dxa"/>
            <w:tcBorders>
              <w:top w:val="single" w:sz="12" w:space="0" w:color="auto"/>
            </w:tcBorders>
            <w:vAlign w:val="bottom"/>
          </w:tcPr>
          <w:p w:rsidR="00000000" w:rsidRDefault="00000000">
            <w:pPr>
              <w:pStyle w:val="table"/>
              <w:tabs>
                <w:tab w:val="decimal" w:pos="344"/>
              </w:tabs>
            </w:pPr>
            <w:r>
              <w:t>44,4</w:t>
            </w:r>
          </w:p>
        </w:tc>
        <w:tc>
          <w:tcPr>
            <w:tcW w:w="917" w:type="dxa"/>
            <w:tcBorders>
              <w:top w:val="single" w:sz="12" w:space="0" w:color="auto"/>
            </w:tcBorders>
            <w:vAlign w:val="bottom"/>
          </w:tcPr>
          <w:p w:rsidR="00000000" w:rsidRDefault="00000000">
            <w:pPr>
              <w:pStyle w:val="table"/>
              <w:tabs>
                <w:tab w:val="decimal" w:pos="344"/>
              </w:tabs>
            </w:pPr>
            <w:r>
              <w:t>47,8</w:t>
            </w:r>
          </w:p>
        </w:tc>
        <w:tc>
          <w:tcPr>
            <w:tcW w:w="917" w:type="dxa"/>
            <w:tcBorders>
              <w:top w:val="single" w:sz="12" w:space="0" w:color="auto"/>
            </w:tcBorders>
            <w:vAlign w:val="bottom"/>
          </w:tcPr>
          <w:p w:rsidR="00000000" w:rsidRDefault="00000000">
            <w:pPr>
              <w:pStyle w:val="table"/>
              <w:tabs>
                <w:tab w:val="decimal" w:pos="344"/>
              </w:tabs>
            </w:pPr>
            <w:r>
              <w:t>48,6</w:t>
            </w:r>
          </w:p>
        </w:tc>
        <w:tc>
          <w:tcPr>
            <w:tcW w:w="917" w:type="dxa"/>
            <w:tcBorders>
              <w:top w:val="single" w:sz="12" w:space="0" w:color="auto"/>
            </w:tcBorders>
            <w:vAlign w:val="bottom"/>
          </w:tcPr>
          <w:p w:rsidR="00000000" w:rsidRDefault="00000000">
            <w:pPr>
              <w:pStyle w:val="table"/>
              <w:tabs>
                <w:tab w:val="decimal" w:pos="344"/>
              </w:tabs>
            </w:pPr>
            <w:r>
              <w:t>48,5</w:t>
            </w:r>
          </w:p>
        </w:tc>
        <w:tc>
          <w:tcPr>
            <w:tcW w:w="917" w:type="dxa"/>
            <w:tcBorders>
              <w:top w:val="single" w:sz="12" w:space="0" w:color="auto"/>
            </w:tcBorders>
            <w:vAlign w:val="bottom"/>
          </w:tcPr>
          <w:p w:rsidR="00000000" w:rsidRDefault="00000000">
            <w:pPr>
              <w:pStyle w:val="table"/>
              <w:tabs>
                <w:tab w:val="decimal" w:pos="344"/>
              </w:tabs>
            </w:pPr>
            <w:r>
              <w:t>49,3</w:t>
            </w:r>
          </w:p>
        </w:tc>
        <w:tc>
          <w:tcPr>
            <w:tcW w:w="917" w:type="dxa"/>
            <w:tcBorders>
              <w:top w:val="single" w:sz="12" w:space="0" w:color="auto"/>
            </w:tcBorders>
            <w:vAlign w:val="bottom"/>
          </w:tcPr>
          <w:p w:rsidR="00000000" w:rsidRDefault="00000000">
            <w:pPr>
              <w:pStyle w:val="table"/>
              <w:tabs>
                <w:tab w:val="decimal" w:pos="344"/>
              </w:tabs>
            </w:pPr>
            <w:r>
              <w:t>49,0</w:t>
            </w:r>
          </w:p>
        </w:tc>
        <w:tc>
          <w:tcPr>
            <w:tcW w:w="787" w:type="dxa"/>
            <w:tcBorders>
              <w:top w:val="single" w:sz="12" w:space="0" w:color="auto"/>
            </w:tcBorders>
            <w:vAlign w:val="bottom"/>
          </w:tcPr>
          <w:p w:rsidR="00000000" w:rsidRDefault="00000000">
            <w:pPr>
              <w:pStyle w:val="table"/>
              <w:tabs>
                <w:tab w:val="decimal" w:pos="344"/>
              </w:tabs>
            </w:pPr>
            <w:r>
              <w:t>48,8</w:t>
            </w:r>
          </w:p>
        </w:tc>
      </w:tr>
      <w:tr w:rsidR="00000000">
        <w:tblPrEx>
          <w:tblCellMar>
            <w:top w:w="0" w:type="dxa"/>
            <w:bottom w:w="0" w:type="dxa"/>
          </w:tblCellMar>
        </w:tblPrEx>
        <w:tc>
          <w:tcPr>
            <w:tcW w:w="2242" w:type="dxa"/>
          </w:tcPr>
          <w:p w:rsidR="00000000" w:rsidRDefault="00000000">
            <w:pPr>
              <w:pStyle w:val="table"/>
            </w:pPr>
            <w:r>
              <w:t>включая:</w:t>
            </w:r>
          </w:p>
        </w:tc>
        <w:tc>
          <w:tcPr>
            <w:tcW w:w="911" w:type="dxa"/>
            <w:vAlign w:val="bottom"/>
          </w:tcPr>
          <w:p w:rsidR="00000000" w:rsidRDefault="00000000">
            <w:pPr>
              <w:pStyle w:val="table"/>
              <w:tabs>
                <w:tab w:val="decimal" w:pos="344"/>
              </w:tabs>
            </w:pPr>
          </w:p>
        </w:tc>
        <w:tc>
          <w:tcPr>
            <w:tcW w:w="914"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917" w:type="dxa"/>
            <w:vAlign w:val="bottom"/>
          </w:tcPr>
          <w:p w:rsidR="00000000" w:rsidRDefault="00000000">
            <w:pPr>
              <w:pStyle w:val="table"/>
              <w:tabs>
                <w:tab w:val="decimal" w:pos="344"/>
              </w:tabs>
            </w:pPr>
          </w:p>
        </w:tc>
        <w:tc>
          <w:tcPr>
            <w:tcW w:w="787" w:type="dxa"/>
            <w:vAlign w:val="bottom"/>
          </w:tcPr>
          <w:p w:rsidR="00000000" w:rsidRDefault="00000000">
            <w:pPr>
              <w:pStyle w:val="table"/>
              <w:tabs>
                <w:tab w:val="decimal" w:pos="344"/>
              </w:tabs>
            </w:pPr>
          </w:p>
        </w:tc>
      </w:tr>
      <w:tr w:rsidR="00000000">
        <w:tblPrEx>
          <w:tblCellMar>
            <w:top w:w="0" w:type="dxa"/>
            <w:bottom w:w="0" w:type="dxa"/>
          </w:tblCellMar>
        </w:tblPrEx>
        <w:tc>
          <w:tcPr>
            <w:tcW w:w="2242" w:type="dxa"/>
          </w:tcPr>
          <w:p w:rsidR="00000000" w:rsidRDefault="00000000">
            <w:pPr>
              <w:pStyle w:val="table"/>
            </w:pPr>
            <w:r>
              <w:t>Университеты</w:t>
            </w:r>
          </w:p>
        </w:tc>
        <w:tc>
          <w:tcPr>
            <w:tcW w:w="911" w:type="dxa"/>
            <w:vAlign w:val="bottom"/>
          </w:tcPr>
          <w:p w:rsidR="00000000" w:rsidRDefault="00000000">
            <w:pPr>
              <w:pStyle w:val="table"/>
              <w:tabs>
                <w:tab w:val="decimal" w:pos="344"/>
              </w:tabs>
            </w:pPr>
            <w:r>
              <w:t>37,7</w:t>
            </w:r>
          </w:p>
        </w:tc>
        <w:tc>
          <w:tcPr>
            <w:tcW w:w="914" w:type="dxa"/>
            <w:vAlign w:val="bottom"/>
          </w:tcPr>
          <w:p w:rsidR="00000000" w:rsidRDefault="00000000">
            <w:pPr>
              <w:pStyle w:val="table"/>
              <w:tabs>
                <w:tab w:val="decimal" w:pos="344"/>
              </w:tabs>
            </w:pPr>
            <w:r>
              <w:t>44,2</w:t>
            </w:r>
          </w:p>
        </w:tc>
        <w:tc>
          <w:tcPr>
            <w:tcW w:w="917" w:type="dxa"/>
            <w:vAlign w:val="bottom"/>
          </w:tcPr>
          <w:p w:rsidR="00000000" w:rsidRDefault="00000000">
            <w:pPr>
              <w:pStyle w:val="table"/>
              <w:tabs>
                <w:tab w:val="decimal" w:pos="344"/>
              </w:tabs>
            </w:pPr>
            <w:r>
              <w:t>44,3</w:t>
            </w:r>
          </w:p>
        </w:tc>
        <w:tc>
          <w:tcPr>
            <w:tcW w:w="917" w:type="dxa"/>
            <w:vAlign w:val="bottom"/>
          </w:tcPr>
          <w:p w:rsidR="00000000" w:rsidRDefault="00000000">
            <w:pPr>
              <w:pStyle w:val="table"/>
              <w:tabs>
                <w:tab w:val="decimal" w:pos="344"/>
              </w:tabs>
            </w:pPr>
            <w:r>
              <w:t>45,5</w:t>
            </w:r>
          </w:p>
        </w:tc>
        <w:tc>
          <w:tcPr>
            <w:tcW w:w="917" w:type="dxa"/>
            <w:vAlign w:val="bottom"/>
          </w:tcPr>
          <w:p w:rsidR="00000000" w:rsidRDefault="00000000">
            <w:pPr>
              <w:pStyle w:val="table"/>
              <w:tabs>
                <w:tab w:val="decimal" w:pos="344"/>
              </w:tabs>
            </w:pPr>
            <w:r>
              <w:t>49,5</w:t>
            </w:r>
          </w:p>
        </w:tc>
        <w:tc>
          <w:tcPr>
            <w:tcW w:w="917" w:type="dxa"/>
            <w:vAlign w:val="bottom"/>
          </w:tcPr>
          <w:p w:rsidR="00000000" w:rsidRDefault="00000000">
            <w:pPr>
              <w:pStyle w:val="table"/>
              <w:tabs>
                <w:tab w:val="decimal" w:pos="344"/>
              </w:tabs>
            </w:pPr>
            <w:r>
              <w:t>53,1</w:t>
            </w:r>
          </w:p>
        </w:tc>
        <w:tc>
          <w:tcPr>
            <w:tcW w:w="917" w:type="dxa"/>
            <w:vAlign w:val="bottom"/>
          </w:tcPr>
          <w:p w:rsidR="00000000" w:rsidRDefault="00000000">
            <w:pPr>
              <w:pStyle w:val="table"/>
              <w:tabs>
                <w:tab w:val="decimal" w:pos="344"/>
              </w:tabs>
            </w:pPr>
            <w:r>
              <w:t>52,9</w:t>
            </w:r>
          </w:p>
        </w:tc>
        <w:tc>
          <w:tcPr>
            <w:tcW w:w="917" w:type="dxa"/>
            <w:vAlign w:val="bottom"/>
          </w:tcPr>
          <w:p w:rsidR="00000000" w:rsidRDefault="00000000">
            <w:pPr>
              <w:pStyle w:val="table"/>
              <w:tabs>
                <w:tab w:val="decimal" w:pos="344"/>
              </w:tabs>
            </w:pPr>
            <w:r>
              <w:t>52,7</w:t>
            </w:r>
          </w:p>
        </w:tc>
        <w:tc>
          <w:tcPr>
            <w:tcW w:w="917" w:type="dxa"/>
            <w:vAlign w:val="bottom"/>
          </w:tcPr>
          <w:p w:rsidR="00000000" w:rsidRDefault="00000000">
            <w:pPr>
              <w:pStyle w:val="table"/>
              <w:tabs>
                <w:tab w:val="decimal" w:pos="344"/>
              </w:tabs>
            </w:pPr>
            <w:r>
              <w:t>53,7</w:t>
            </w:r>
          </w:p>
        </w:tc>
        <w:tc>
          <w:tcPr>
            <w:tcW w:w="917" w:type="dxa"/>
            <w:vAlign w:val="bottom"/>
          </w:tcPr>
          <w:p w:rsidR="00000000" w:rsidRDefault="00000000">
            <w:pPr>
              <w:pStyle w:val="table"/>
              <w:tabs>
                <w:tab w:val="decimal" w:pos="344"/>
              </w:tabs>
            </w:pPr>
            <w:r>
              <w:t>53,4</w:t>
            </w:r>
          </w:p>
        </w:tc>
        <w:tc>
          <w:tcPr>
            <w:tcW w:w="787" w:type="dxa"/>
            <w:vAlign w:val="bottom"/>
          </w:tcPr>
          <w:p w:rsidR="00000000" w:rsidRDefault="00000000">
            <w:pPr>
              <w:pStyle w:val="table"/>
              <w:tabs>
                <w:tab w:val="decimal" w:pos="344"/>
              </w:tabs>
            </w:pPr>
            <w:r>
              <w:t>53,4</w:t>
            </w:r>
          </w:p>
        </w:tc>
      </w:tr>
      <w:tr w:rsidR="00000000">
        <w:tblPrEx>
          <w:tblCellMar>
            <w:top w:w="0" w:type="dxa"/>
            <w:bottom w:w="0" w:type="dxa"/>
          </w:tblCellMar>
        </w:tblPrEx>
        <w:tc>
          <w:tcPr>
            <w:tcW w:w="2242" w:type="dxa"/>
          </w:tcPr>
          <w:p w:rsidR="00000000" w:rsidRDefault="00000000">
            <w:pPr>
              <w:pStyle w:val="table"/>
            </w:pPr>
            <w:r>
              <w:t>Гуманитарные учебные завед</w:t>
            </w:r>
            <w:r>
              <w:t>е</w:t>
            </w:r>
            <w:r>
              <w:t>ния</w:t>
            </w:r>
          </w:p>
        </w:tc>
        <w:tc>
          <w:tcPr>
            <w:tcW w:w="911" w:type="dxa"/>
            <w:vAlign w:val="bottom"/>
          </w:tcPr>
          <w:p w:rsidR="00000000" w:rsidRDefault="00000000">
            <w:pPr>
              <w:pStyle w:val="table"/>
              <w:tabs>
                <w:tab w:val="decimal" w:pos="344"/>
              </w:tabs>
            </w:pPr>
            <w:r>
              <w:t>40,9</w:t>
            </w:r>
          </w:p>
        </w:tc>
        <w:tc>
          <w:tcPr>
            <w:tcW w:w="914" w:type="dxa"/>
            <w:vAlign w:val="bottom"/>
          </w:tcPr>
          <w:p w:rsidR="00000000" w:rsidRDefault="00000000">
            <w:pPr>
              <w:pStyle w:val="table"/>
              <w:tabs>
                <w:tab w:val="decimal" w:pos="344"/>
              </w:tabs>
            </w:pPr>
            <w:r>
              <w:t>45,6</w:t>
            </w:r>
          </w:p>
        </w:tc>
        <w:tc>
          <w:tcPr>
            <w:tcW w:w="917" w:type="dxa"/>
            <w:vAlign w:val="bottom"/>
          </w:tcPr>
          <w:p w:rsidR="00000000" w:rsidRDefault="00000000">
            <w:pPr>
              <w:pStyle w:val="table"/>
              <w:tabs>
                <w:tab w:val="decimal" w:pos="344"/>
              </w:tabs>
            </w:pPr>
            <w:r>
              <w:t>50,5</w:t>
            </w:r>
          </w:p>
        </w:tc>
        <w:tc>
          <w:tcPr>
            <w:tcW w:w="917" w:type="dxa"/>
            <w:vAlign w:val="bottom"/>
          </w:tcPr>
          <w:p w:rsidR="00000000" w:rsidRDefault="00000000">
            <w:pPr>
              <w:pStyle w:val="table"/>
              <w:tabs>
                <w:tab w:val="decimal" w:pos="344"/>
              </w:tabs>
            </w:pPr>
            <w:r>
              <w:t>50,6</w:t>
            </w:r>
          </w:p>
        </w:tc>
        <w:tc>
          <w:tcPr>
            <w:tcW w:w="917" w:type="dxa"/>
            <w:vAlign w:val="bottom"/>
          </w:tcPr>
          <w:p w:rsidR="00000000" w:rsidRDefault="00000000">
            <w:pPr>
              <w:pStyle w:val="table"/>
              <w:tabs>
                <w:tab w:val="decimal" w:pos="344"/>
              </w:tabs>
            </w:pPr>
            <w:r>
              <w:t>53,5</w:t>
            </w:r>
          </w:p>
        </w:tc>
        <w:tc>
          <w:tcPr>
            <w:tcW w:w="917" w:type="dxa"/>
            <w:vAlign w:val="bottom"/>
          </w:tcPr>
          <w:p w:rsidR="00000000" w:rsidRDefault="00000000">
            <w:pPr>
              <w:pStyle w:val="table"/>
              <w:tabs>
                <w:tab w:val="decimal" w:pos="344"/>
              </w:tabs>
            </w:pPr>
            <w:r>
              <w:t>57,6</w:t>
            </w:r>
          </w:p>
        </w:tc>
        <w:tc>
          <w:tcPr>
            <w:tcW w:w="917" w:type="dxa"/>
            <w:vAlign w:val="bottom"/>
          </w:tcPr>
          <w:p w:rsidR="00000000" w:rsidRDefault="00000000">
            <w:pPr>
              <w:pStyle w:val="table"/>
              <w:tabs>
                <w:tab w:val="decimal" w:pos="344"/>
              </w:tabs>
            </w:pPr>
            <w:r>
              <w:t>57,6</w:t>
            </w:r>
          </w:p>
        </w:tc>
        <w:tc>
          <w:tcPr>
            <w:tcW w:w="917" w:type="dxa"/>
            <w:vAlign w:val="bottom"/>
          </w:tcPr>
          <w:p w:rsidR="00000000" w:rsidRDefault="00000000">
            <w:pPr>
              <w:pStyle w:val="table"/>
              <w:tabs>
                <w:tab w:val="decimal" w:pos="344"/>
              </w:tabs>
            </w:pPr>
            <w:r>
              <w:t>56,7</w:t>
            </w:r>
          </w:p>
        </w:tc>
        <w:tc>
          <w:tcPr>
            <w:tcW w:w="917" w:type="dxa"/>
            <w:vAlign w:val="bottom"/>
          </w:tcPr>
          <w:p w:rsidR="00000000" w:rsidRDefault="00000000">
            <w:pPr>
              <w:pStyle w:val="table"/>
              <w:tabs>
                <w:tab w:val="decimal" w:pos="344"/>
              </w:tabs>
            </w:pPr>
            <w:r>
              <w:t>58,3</w:t>
            </w:r>
          </w:p>
        </w:tc>
        <w:tc>
          <w:tcPr>
            <w:tcW w:w="917" w:type="dxa"/>
            <w:vAlign w:val="bottom"/>
          </w:tcPr>
          <w:p w:rsidR="00000000" w:rsidRDefault="00000000">
            <w:pPr>
              <w:pStyle w:val="table"/>
              <w:tabs>
                <w:tab w:val="decimal" w:pos="344"/>
              </w:tabs>
            </w:pPr>
            <w:r>
              <w:t>56,7</w:t>
            </w:r>
          </w:p>
        </w:tc>
        <w:tc>
          <w:tcPr>
            <w:tcW w:w="787" w:type="dxa"/>
            <w:vAlign w:val="bottom"/>
          </w:tcPr>
          <w:p w:rsidR="00000000" w:rsidRDefault="00000000">
            <w:pPr>
              <w:pStyle w:val="table"/>
              <w:tabs>
                <w:tab w:val="decimal" w:pos="344"/>
              </w:tabs>
            </w:pPr>
            <w:r>
              <w:t>56,6</w:t>
            </w:r>
          </w:p>
        </w:tc>
      </w:tr>
      <w:tr w:rsidR="00000000">
        <w:tblPrEx>
          <w:tblCellMar>
            <w:top w:w="0" w:type="dxa"/>
            <w:bottom w:w="0" w:type="dxa"/>
          </w:tblCellMar>
        </w:tblPrEx>
        <w:tc>
          <w:tcPr>
            <w:tcW w:w="2242" w:type="dxa"/>
            <w:tcBorders>
              <w:bottom w:val="single" w:sz="12" w:space="0" w:color="auto"/>
            </w:tcBorders>
          </w:tcPr>
          <w:p w:rsidR="00000000" w:rsidRDefault="00000000">
            <w:pPr>
              <w:pStyle w:val="table"/>
            </w:pPr>
            <w:r>
              <w:t>Технические колледжи</w:t>
            </w:r>
          </w:p>
        </w:tc>
        <w:tc>
          <w:tcPr>
            <w:tcW w:w="911" w:type="dxa"/>
            <w:tcBorders>
              <w:bottom w:val="single" w:sz="12" w:space="0" w:color="auto"/>
            </w:tcBorders>
            <w:vAlign w:val="bottom"/>
          </w:tcPr>
          <w:p w:rsidR="00000000" w:rsidRDefault="00000000">
            <w:pPr>
              <w:pStyle w:val="table"/>
              <w:tabs>
                <w:tab w:val="decimal" w:pos="344"/>
              </w:tabs>
            </w:pPr>
            <w:r>
              <w:t>-</w:t>
            </w:r>
          </w:p>
        </w:tc>
        <w:tc>
          <w:tcPr>
            <w:tcW w:w="914" w:type="dxa"/>
            <w:tcBorders>
              <w:bottom w:val="single" w:sz="12" w:space="0" w:color="auto"/>
            </w:tcBorders>
            <w:vAlign w:val="bottom"/>
          </w:tcPr>
          <w:p w:rsidR="00000000" w:rsidRDefault="00000000">
            <w:pPr>
              <w:pStyle w:val="table"/>
              <w:tabs>
                <w:tab w:val="decimal" w:pos="344"/>
              </w:tabs>
            </w:pPr>
            <w:r>
              <w:t>30,7</w:t>
            </w:r>
          </w:p>
        </w:tc>
        <w:tc>
          <w:tcPr>
            <w:tcW w:w="917" w:type="dxa"/>
            <w:tcBorders>
              <w:bottom w:val="single" w:sz="12" w:space="0" w:color="auto"/>
            </w:tcBorders>
            <w:vAlign w:val="bottom"/>
          </w:tcPr>
          <w:p w:rsidR="00000000" w:rsidRDefault="00000000">
            <w:pPr>
              <w:pStyle w:val="table"/>
              <w:tabs>
                <w:tab w:val="decimal" w:pos="344"/>
              </w:tabs>
            </w:pPr>
            <w:r>
              <w:t>28,9</w:t>
            </w:r>
          </w:p>
        </w:tc>
        <w:tc>
          <w:tcPr>
            <w:tcW w:w="917" w:type="dxa"/>
            <w:tcBorders>
              <w:bottom w:val="single" w:sz="12" w:space="0" w:color="auto"/>
            </w:tcBorders>
            <w:vAlign w:val="bottom"/>
          </w:tcPr>
          <w:p w:rsidR="00000000" w:rsidRDefault="00000000">
            <w:pPr>
              <w:pStyle w:val="table"/>
              <w:tabs>
                <w:tab w:val="decimal" w:pos="344"/>
              </w:tabs>
            </w:pPr>
            <w:r>
              <w:t>29,4</w:t>
            </w:r>
          </w:p>
        </w:tc>
        <w:tc>
          <w:tcPr>
            <w:tcW w:w="917" w:type="dxa"/>
            <w:tcBorders>
              <w:bottom w:val="single" w:sz="12" w:space="0" w:color="auto"/>
            </w:tcBorders>
            <w:vAlign w:val="bottom"/>
          </w:tcPr>
          <w:p w:rsidR="00000000" w:rsidRDefault="00000000">
            <w:pPr>
              <w:pStyle w:val="table"/>
              <w:tabs>
                <w:tab w:val="decimal" w:pos="344"/>
              </w:tabs>
            </w:pPr>
            <w:r>
              <w:t>33,0</w:t>
            </w:r>
          </w:p>
        </w:tc>
        <w:tc>
          <w:tcPr>
            <w:tcW w:w="917" w:type="dxa"/>
            <w:tcBorders>
              <w:bottom w:val="single" w:sz="12" w:space="0" w:color="auto"/>
            </w:tcBorders>
            <w:vAlign w:val="bottom"/>
          </w:tcPr>
          <w:p w:rsidR="00000000" w:rsidRDefault="00000000">
            <w:pPr>
              <w:pStyle w:val="table"/>
              <w:tabs>
                <w:tab w:val="decimal" w:pos="344"/>
              </w:tabs>
            </w:pPr>
            <w:r>
              <w:t>36,2</w:t>
            </w:r>
          </w:p>
        </w:tc>
        <w:tc>
          <w:tcPr>
            <w:tcW w:w="917" w:type="dxa"/>
            <w:tcBorders>
              <w:bottom w:val="single" w:sz="12" w:space="0" w:color="auto"/>
            </w:tcBorders>
            <w:vAlign w:val="bottom"/>
          </w:tcPr>
          <w:p w:rsidR="00000000" w:rsidRDefault="00000000">
            <w:pPr>
              <w:pStyle w:val="table"/>
              <w:tabs>
                <w:tab w:val="decimal" w:pos="344"/>
              </w:tabs>
            </w:pPr>
            <w:r>
              <w:t>39,2</w:t>
            </w:r>
          </w:p>
        </w:tc>
        <w:tc>
          <w:tcPr>
            <w:tcW w:w="917" w:type="dxa"/>
            <w:tcBorders>
              <w:bottom w:val="single" w:sz="12" w:space="0" w:color="auto"/>
            </w:tcBorders>
            <w:vAlign w:val="bottom"/>
          </w:tcPr>
          <w:p w:rsidR="00000000" w:rsidRDefault="00000000">
            <w:pPr>
              <w:pStyle w:val="table"/>
              <w:tabs>
                <w:tab w:val="decimal" w:pos="344"/>
              </w:tabs>
            </w:pPr>
            <w:r>
              <w:t>39,6</w:t>
            </w:r>
          </w:p>
        </w:tc>
        <w:tc>
          <w:tcPr>
            <w:tcW w:w="917" w:type="dxa"/>
            <w:tcBorders>
              <w:bottom w:val="single" w:sz="12" w:space="0" w:color="auto"/>
            </w:tcBorders>
            <w:vAlign w:val="bottom"/>
          </w:tcPr>
          <w:p w:rsidR="00000000" w:rsidRDefault="00000000">
            <w:pPr>
              <w:pStyle w:val="table"/>
              <w:tabs>
                <w:tab w:val="decimal" w:pos="344"/>
              </w:tabs>
            </w:pPr>
            <w:r>
              <w:t>39,8</w:t>
            </w:r>
          </w:p>
        </w:tc>
        <w:tc>
          <w:tcPr>
            <w:tcW w:w="917" w:type="dxa"/>
            <w:tcBorders>
              <w:bottom w:val="single" w:sz="12" w:space="0" w:color="auto"/>
            </w:tcBorders>
            <w:vAlign w:val="bottom"/>
          </w:tcPr>
          <w:p w:rsidR="00000000" w:rsidRDefault="00000000">
            <w:pPr>
              <w:pStyle w:val="table"/>
              <w:tabs>
                <w:tab w:val="decimal" w:pos="344"/>
              </w:tabs>
            </w:pPr>
            <w:r>
              <w:t>38,9</w:t>
            </w:r>
          </w:p>
        </w:tc>
        <w:tc>
          <w:tcPr>
            <w:tcW w:w="787" w:type="dxa"/>
            <w:tcBorders>
              <w:bottom w:val="single" w:sz="12" w:space="0" w:color="auto"/>
            </w:tcBorders>
            <w:vAlign w:val="bottom"/>
          </w:tcPr>
          <w:p w:rsidR="00000000" w:rsidRDefault="00000000">
            <w:pPr>
              <w:pStyle w:val="table"/>
              <w:tabs>
                <w:tab w:val="decimal" w:pos="344"/>
              </w:tabs>
            </w:pPr>
            <w:r>
              <w:t>38,0</w:t>
            </w:r>
          </w:p>
        </w:tc>
      </w:tr>
    </w:tbl>
    <w:p w:rsidR="00000000" w:rsidRDefault="00000000">
      <w:pPr>
        <w:pStyle w:val="istochnik"/>
        <w:tabs>
          <w:tab w:val="clear" w:pos="1267"/>
        </w:tabs>
        <w:spacing w:after="0"/>
        <w:ind w:left="0"/>
      </w:pPr>
      <w:r>
        <w:t>*) до 1985 года включительно — прежняя федеральная территория, после 1991 года – все территории Федеративной Ре</w:t>
      </w:r>
      <w:r>
        <w:t>с</w:t>
      </w:r>
      <w:r>
        <w:t>публики Германии</w:t>
      </w:r>
    </w:p>
    <w:p w:rsidR="00000000" w:rsidRDefault="00000000">
      <w:pPr>
        <w:pStyle w:val="istochnik"/>
        <w:tabs>
          <w:tab w:val="clear" w:pos="1267"/>
        </w:tabs>
        <w:spacing w:after="0"/>
        <w:ind w:left="0"/>
      </w:pPr>
      <w:r>
        <w:t>1) летний семестр и последующие зимние семестры</w:t>
      </w:r>
    </w:p>
    <w:p w:rsidR="00000000" w:rsidRDefault="00000000">
      <w:pPr>
        <w:pStyle w:val="istochnik"/>
        <w:tabs>
          <w:tab w:val="clear" w:pos="1267"/>
        </w:tabs>
        <w:spacing w:after="0"/>
        <w:ind w:left="0"/>
      </w:pPr>
      <w:r>
        <w:t>2) предварительные результаты</w:t>
      </w:r>
    </w:p>
    <w:p w:rsidR="00000000" w:rsidRDefault="00000000">
      <w:pPr>
        <w:pStyle w:val="H23"/>
        <w:ind w:left="0" w:firstLine="0"/>
      </w:pPr>
      <w:bookmarkStart w:id="758" w:name="_Toc44115626"/>
      <w:bookmarkStart w:id="759" w:name="_Toc44116058"/>
      <w:r>
        <w:t xml:space="preserve">Таблица 4.3.2 Доля учащихся-женщин среди студентов высших учебных заведений </w:t>
      </w:r>
      <w:r>
        <w:rPr>
          <w:vertAlign w:val="superscript"/>
        </w:rPr>
        <w:t>*)</w:t>
      </w:r>
      <w:bookmarkEnd w:id="758"/>
      <w:bookmarkEnd w:id="759"/>
    </w:p>
    <w:tbl>
      <w:tblPr>
        <w:tblW w:w="0" w:type="auto"/>
        <w:tblInd w:w="2" w:type="dxa"/>
        <w:tblLayout w:type="fixed"/>
        <w:tblLook w:val="0000" w:firstRow="0" w:lastRow="0" w:firstColumn="0" w:lastColumn="0" w:noHBand="0" w:noVBand="0"/>
      </w:tblPr>
      <w:tblGrid>
        <w:gridCol w:w="2244"/>
        <w:gridCol w:w="914"/>
        <w:gridCol w:w="912"/>
        <w:gridCol w:w="912"/>
        <w:gridCol w:w="917"/>
        <w:gridCol w:w="912"/>
        <w:gridCol w:w="912"/>
        <w:gridCol w:w="912"/>
        <w:gridCol w:w="917"/>
        <w:gridCol w:w="912"/>
        <w:gridCol w:w="912"/>
        <w:gridCol w:w="814"/>
      </w:tblGrid>
      <w:tr w:rsidR="00000000">
        <w:tblPrEx>
          <w:tblCellMar>
            <w:top w:w="0" w:type="dxa"/>
            <w:bottom w:w="0" w:type="dxa"/>
          </w:tblCellMar>
        </w:tblPrEx>
        <w:trPr>
          <w:cantSplit/>
        </w:trPr>
        <w:tc>
          <w:tcPr>
            <w:tcW w:w="2244" w:type="dxa"/>
            <w:vMerge w:val="restart"/>
            <w:tcBorders>
              <w:top w:val="single" w:sz="6" w:space="0" w:color="auto"/>
              <w:bottom w:val="single" w:sz="6" w:space="0" w:color="auto"/>
            </w:tcBorders>
            <w:vAlign w:val="center"/>
          </w:tcPr>
          <w:p w:rsidR="00000000" w:rsidRDefault="00000000">
            <w:pPr>
              <w:pStyle w:val="table"/>
              <w:jc w:val="center"/>
              <w:rPr>
                <w:i/>
              </w:rPr>
            </w:pPr>
          </w:p>
        </w:tc>
        <w:tc>
          <w:tcPr>
            <w:tcW w:w="9946" w:type="dxa"/>
            <w:gridSpan w:val="11"/>
            <w:tcBorders>
              <w:top w:val="single" w:sz="6" w:space="0" w:color="auto"/>
              <w:bottom w:val="single" w:sz="6" w:space="0" w:color="auto"/>
            </w:tcBorders>
            <w:vAlign w:val="center"/>
          </w:tcPr>
          <w:p w:rsidR="00000000" w:rsidRDefault="00000000">
            <w:pPr>
              <w:pStyle w:val="table"/>
              <w:jc w:val="center"/>
              <w:rPr>
                <w:i/>
              </w:rPr>
            </w:pPr>
            <w:r>
              <w:rPr>
                <w:i/>
              </w:rPr>
              <w:t>Год</w:t>
            </w:r>
          </w:p>
        </w:tc>
      </w:tr>
      <w:tr w:rsidR="00000000">
        <w:tblPrEx>
          <w:tblCellMar>
            <w:top w:w="0" w:type="dxa"/>
            <w:bottom w:w="0" w:type="dxa"/>
          </w:tblCellMar>
        </w:tblPrEx>
        <w:trPr>
          <w:cantSplit/>
        </w:trPr>
        <w:tc>
          <w:tcPr>
            <w:tcW w:w="2244" w:type="dxa"/>
            <w:vMerge/>
            <w:tcBorders>
              <w:top w:val="single" w:sz="6" w:space="0" w:color="auto"/>
              <w:bottom w:val="single" w:sz="12" w:space="0" w:color="auto"/>
            </w:tcBorders>
            <w:vAlign w:val="center"/>
          </w:tcPr>
          <w:p w:rsidR="00000000" w:rsidRDefault="00000000">
            <w:pPr>
              <w:pStyle w:val="table"/>
              <w:jc w:val="center"/>
              <w:rPr>
                <w:i/>
              </w:rPr>
            </w:pPr>
          </w:p>
        </w:tc>
        <w:tc>
          <w:tcPr>
            <w:tcW w:w="914" w:type="dxa"/>
            <w:tcBorders>
              <w:top w:val="single" w:sz="6" w:space="0" w:color="auto"/>
              <w:bottom w:val="single" w:sz="12" w:space="0" w:color="auto"/>
            </w:tcBorders>
            <w:vAlign w:val="center"/>
          </w:tcPr>
          <w:p w:rsidR="00000000" w:rsidRDefault="00000000">
            <w:pPr>
              <w:pStyle w:val="table"/>
              <w:jc w:val="center"/>
              <w:rPr>
                <w:i/>
              </w:rPr>
            </w:pPr>
            <w:r>
              <w:rPr>
                <w:i/>
              </w:rPr>
              <w:t>1970</w:t>
            </w:r>
            <w:r>
              <w:rPr>
                <w:i/>
                <w:vertAlign w:val="superscript"/>
              </w:rPr>
              <w:t>1)</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1980</w:t>
            </w:r>
            <w:r>
              <w:rPr>
                <w:i/>
                <w:vertAlign w:val="superscript"/>
              </w:rPr>
              <w:t>1)</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1985</w:t>
            </w:r>
            <w:r>
              <w:rPr>
                <w:i/>
                <w:vertAlign w:val="superscript"/>
              </w:rPr>
              <w:t>1)</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1991</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1993</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1995</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1997</w:t>
            </w:r>
          </w:p>
        </w:tc>
        <w:tc>
          <w:tcPr>
            <w:tcW w:w="917" w:type="dxa"/>
            <w:tcBorders>
              <w:top w:val="single" w:sz="6" w:space="0" w:color="auto"/>
              <w:bottom w:val="single" w:sz="12" w:space="0" w:color="auto"/>
            </w:tcBorders>
            <w:vAlign w:val="center"/>
          </w:tcPr>
          <w:p w:rsidR="00000000" w:rsidRDefault="00000000">
            <w:pPr>
              <w:pStyle w:val="table"/>
              <w:jc w:val="center"/>
              <w:rPr>
                <w:i/>
              </w:rPr>
            </w:pPr>
            <w:r>
              <w:rPr>
                <w:i/>
              </w:rPr>
              <w:t>1998</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1999</w:t>
            </w:r>
          </w:p>
        </w:tc>
        <w:tc>
          <w:tcPr>
            <w:tcW w:w="912" w:type="dxa"/>
            <w:tcBorders>
              <w:top w:val="single" w:sz="6" w:space="0" w:color="auto"/>
              <w:bottom w:val="single" w:sz="12" w:space="0" w:color="auto"/>
            </w:tcBorders>
            <w:vAlign w:val="center"/>
          </w:tcPr>
          <w:p w:rsidR="00000000" w:rsidRDefault="00000000">
            <w:pPr>
              <w:pStyle w:val="table"/>
              <w:jc w:val="center"/>
              <w:rPr>
                <w:i/>
              </w:rPr>
            </w:pPr>
            <w:r>
              <w:rPr>
                <w:i/>
              </w:rPr>
              <w:t>2000</w:t>
            </w:r>
          </w:p>
        </w:tc>
        <w:tc>
          <w:tcPr>
            <w:tcW w:w="814" w:type="dxa"/>
            <w:tcBorders>
              <w:top w:val="single" w:sz="6" w:space="0" w:color="auto"/>
              <w:bottom w:val="single" w:sz="12" w:space="0" w:color="auto"/>
            </w:tcBorders>
            <w:vAlign w:val="center"/>
          </w:tcPr>
          <w:p w:rsidR="00000000" w:rsidRDefault="00000000">
            <w:pPr>
              <w:pStyle w:val="table"/>
              <w:jc w:val="center"/>
              <w:rPr>
                <w:i/>
              </w:rPr>
            </w:pPr>
            <w:r>
              <w:rPr>
                <w:i/>
              </w:rPr>
              <w:t>2001</w:t>
            </w:r>
            <w:r>
              <w:rPr>
                <w:i/>
                <w:vertAlign w:val="superscript"/>
              </w:rPr>
              <w:t>2)</w:t>
            </w:r>
          </w:p>
        </w:tc>
      </w:tr>
      <w:tr w:rsidR="00000000">
        <w:tblPrEx>
          <w:tblCellMar>
            <w:top w:w="0" w:type="dxa"/>
            <w:bottom w:w="0" w:type="dxa"/>
          </w:tblCellMar>
        </w:tblPrEx>
        <w:tc>
          <w:tcPr>
            <w:tcW w:w="2244" w:type="dxa"/>
            <w:tcBorders>
              <w:top w:val="single" w:sz="12" w:space="0" w:color="auto"/>
            </w:tcBorders>
          </w:tcPr>
          <w:p w:rsidR="00000000" w:rsidRDefault="00000000">
            <w:pPr>
              <w:pStyle w:val="table"/>
            </w:pPr>
            <w:r>
              <w:t>Высшие учебные завед</w:t>
            </w:r>
            <w:r>
              <w:t>е</w:t>
            </w:r>
            <w:r>
              <w:t>ния, всего</w:t>
            </w:r>
          </w:p>
        </w:tc>
        <w:tc>
          <w:tcPr>
            <w:tcW w:w="914" w:type="dxa"/>
            <w:tcBorders>
              <w:top w:val="single" w:sz="12" w:space="0" w:color="auto"/>
            </w:tcBorders>
            <w:vAlign w:val="bottom"/>
          </w:tcPr>
          <w:p w:rsidR="00000000" w:rsidRDefault="00000000">
            <w:pPr>
              <w:pStyle w:val="table"/>
              <w:tabs>
                <w:tab w:val="decimal" w:pos="351"/>
              </w:tabs>
            </w:pPr>
            <w:r>
              <w:t>30,9</w:t>
            </w:r>
          </w:p>
        </w:tc>
        <w:tc>
          <w:tcPr>
            <w:tcW w:w="912" w:type="dxa"/>
            <w:tcBorders>
              <w:top w:val="single" w:sz="12" w:space="0" w:color="auto"/>
            </w:tcBorders>
            <w:vAlign w:val="bottom"/>
          </w:tcPr>
          <w:p w:rsidR="00000000" w:rsidRDefault="00000000">
            <w:pPr>
              <w:pStyle w:val="table"/>
              <w:tabs>
                <w:tab w:val="decimal" w:pos="351"/>
              </w:tabs>
            </w:pPr>
            <w:r>
              <w:t>36,7</w:t>
            </w:r>
          </w:p>
        </w:tc>
        <w:tc>
          <w:tcPr>
            <w:tcW w:w="912" w:type="dxa"/>
            <w:tcBorders>
              <w:top w:val="single" w:sz="12" w:space="0" w:color="auto"/>
            </w:tcBorders>
            <w:vAlign w:val="bottom"/>
          </w:tcPr>
          <w:p w:rsidR="00000000" w:rsidRDefault="00000000">
            <w:pPr>
              <w:pStyle w:val="table"/>
              <w:tabs>
                <w:tab w:val="decimal" w:pos="351"/>
              </w:tabs>
            </w:pPr>
            <w:r>
              <w:t>37,8</w:t>
            </w:r>
          </w:p>
        </w:tc>
        <w:tc>
          <w:tcPr>
            <w:tcW w:w="917" w:type="dxa"/>
            <w:tcBorders>
              <w:top w:val="single" w:sz="12" w:space="0" w:color="auto"/>
            </w:tcBorders>
            <w:vAlign w:val="bottom"/>
          </w:tcPr>
          <w:p w:rsidR="00000000" w:rsidRDefault="00000000">
            <w:pPr>
              <w:pStyle w:val="table"/>
              <w:tabs>
                <w:tab w:val="decimal" w:pos="351"/>
              </w:tabs>
            </w:pPr>
            <w:r>
              <w:t>39,2</w:t>
            </w:r>
          </w:p>
        </w:tc>
        <w:tc>
          <w:tcPr>
            <w:tcW w:w="912" w:type="dxa"/>
            <w:tcBorders>
              <w:top w:val="single" w:sz="12" w:space="0" w:color="auto"/>
            </w:tcBorders>
            <w:vAlign w:val="bottom"/>
          </w:tcPr>
          <w:p w:rsidR="00000000" w:rsidRDefault="00000000">
            <w:pPr>
              <w:pStyle w:val="table"/>
              <w:tabs>
                <w:tab w:val="decimal" w:pos="351"/>
              </w:tabs>
            </w:pPr>
            <w:r>
              <w:t>40,2</w:t>
            </w:r>
          </w:p>
        </w:tc>
        <w:tc>
          <w:tcPr>
            <w:tcW w:w="912" w:type="dxa"/>
            <w:tcBorders>
              <w:top w:val="single" w:sz="12" w:space="0" w:color="auto"/>
            </w:tcBorders>
            <w:vAlign w:val="bottom"/>
          </w:tcPr>
          <w:p w:rsidR="00000000" w:rsidRDefault="00000000">
            <w:pPr>
              <w:pStyle w:val="table"/>
              <w:tabs>
                <w:tab w:val="decimal" w:pos="351"/>
              </w:tabs>
            </w:pPr>
            <w:r>
              <w:t>41,7</w:t>
            </w:r>
          </w:p>
        </w:tc>
        <w:tc>
          <w:tcPr>
            <w:tcW w:w="912" w:type="dxa"/>
            <w:tcBorders>
              <w:top w:val="single" w:sz="12" w:space="0" w:color="auto"/>
            </w:tcBorders>
            <w:vAlign w:val="bottom"/>
          </w:tcPr>
          <w:p w:rsidR="00000000" w:rsidRDefault="00000000">
            <w:pPr>
              <w:pStyle w:val="table"/>
              <w:tabs>
                <w:tab w:val="decimal" w:pos="351"/>
              </w:tabs>
            </w:pPr>
            <w:r>
              <w:t>43,6</w:t>
            </w:r>
          </w:p>
        </w:tc>
        <w:tc>
          <w:tcPr>
            <w:tcW w:w="917" w:type="dxa"/>
            <w:tcBorders>
              <w:top w:val="single" w:sz="12" w:space="0" w:color="auto"/>
            </w:tcBorders>
            <w:vAlign w:val="bottom"/>
          </w:tcPr>
          <w:p w:rsidR="00000000" w:rsidRDefault="00000000">
            <w:pPr>
              <w:pStyle w:val="table"/>
              <w:tabs>
                <w:tab w:val="decimal" w:pos="351"/>
              </w:tabs>
            </w:pPr>
            <w:r>
              <w:t>44,5</w:t>
            </w:r>
          </w:p>
        </w:tc>
        <w:tc>
          <w:tcPr>
            <w:tcW w:w="912" w:type="dxa"/>
            <w:tcBorders>
              <w:top w:val="single" w:sz="12" w:space="0" w:color="auto"/>
            </w:tcBorders>
            <w:vAlign w:val="bottom"/>
          </w:tcPr>
          <w:p w:rsidR="00000000" w:rsidRDefault="00000000">
            <w:pPr>
              <w:pStyle w:val="table"/>
              <w:tabs>
                <w:tab w:val="decimal" w:pos="351"/>
              </w:tabs>
            </w:pPr>
            <w:r>
              <w:t>45,3</w:t>
            </w:r>
          </w:p>
        </w:tc>
        <w:tc>
          <w:tcPr>
            <w:tcW w:w="912" w:type="dxa"/>
            <w:tcBorders>
              <w:top w:val="single" w:sz="12" w:space="0" w:color="auto"/>
            </w:tcBorders>
            <w:vAlign w:val="bottom"/>
          </w:tcPr>
          <w:p w:rsidR="00000000" w:rsidRDefault="00000000">
            <w:pPr>
              <w:pStyle w:val="table"/>
              <w:tabs>
                <w:tab w:val="decimal" w:pos="351"/>
              </w:tabs>
            </w:pPr>
            <w:r>
              <w:t>46,1</w:t>
            </w:r>
          </w:p>
        </w:tc>
        <w:tc>
          <w:tcPr>
            <w:tcW w:w="814" w:type="dxa"/>
            <w:tcBorders>
              <w:top w:val="single" w:sz="12" w:space="0" w:color="auto"/>
            </w:tcBorders>
            <w:vAlign w:val="bottom"/>
          </w:tcPr>
          <w:p w:rsidR="00000000" w:rsidRDefault="00000000">
            <w:pPr>
              <w:pStyle w:val="table"/>
              <w:tabs>
                <w:tab w:val="decimal" w:pos="351"/>
              </w:tabs>
            </w:pPr>
            <w:r>
              <w:t>46,7</w:t>
            </w:r>
          </w:p>
        </w:tc>
      </w:tr>
      <w:tr w:rsidR="00000000">
        <w:tblPrEx>
          <w:tblCellMar>
            <w:top w:w="0" w:type="dxa"/>
            <w:bottom w:w="0" w:type="dxa"/>
          </w:tblCellMar>
        </w:tblPrEx>
        <w:tc>
          <w:tcPr>
            <w:tcW w:w="2244" w:type="dxa"/>
          </w:tcPr>
          <w:p w:rsidR="00000000" w:rsidRDefault="00000000">
            <w:pPr>
              <w:pStyle w:val="table"/>
            </w:pPr>
            <w:r>
              <w:t>включая:</w:t>
            </w:r>
          </w:p>
        </w:tc>
        <w:tc>
          <w:tcPr>
            <w:tcW w:w="914"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917"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917"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912" w:type="dxa"/>
            <w:vAlign w:val="bottom"/>
          </w:tcPr>
          <w:p w:rsidR="00000000" w:rsidRDefault="00000000">
            <w:pPr>
              <w:pStyle w:val="table"/>
              <w:tabs>
                <w:tab w:val="decimal" w:pos="351"/>
              </w:tabs>
            </w:pPr>
          </w:p>
        </w:tc>
        <w:tc>
          <w:tcPr>
            <w:tcW w:w="814" w:type="dxa"/>
            <w:vAlign w:val="bottom"/>
          </w:tcPr>
          <w:p w:rsidR="00000000" w:rsidRDefault="00000000">
            <w:pPr>
              <w:pStyle w:val="table"/>
              <w:tabs>
                <w:tab w:val="decimal" w:pos="351"/>
              </w:tabs>
            </w:pPr>
          </w:p>
        </w:tc>
      </w:tr>
      <w:tr w:rsidR="00000000">
        <w:tblPrEx>
          <w:tblCellMar>
            <w:top w:w="0" w:type="dxa"/>
            <w:bottom w:w="0" w:type="dxa"/>
          </w:tblCellMar>
        </w:tblPrEx>
        <w:tc>
          <w:tcPr>
            <w:tcW w:w="2244" w:type="dxa"/>
          </w:tcPr>
          <w:p w:rsidR="00000000" w:rsidRDefault="00000000">
            <w:pPr>
              <w:pStyle w:val="table"/>
            </w:pPr>
            <w:r>
              <w:t>Университеты</w:t>
            </w:r>
          </w:p>
        </w:tc>
        <w:tc>
          <w:tcPr>
            <w:tcW w:w="914" w:type="dxa"/>
            <w:vAlign w:val="bottom"/>
          </w:tcPr>
          <w:p w:rsidR="00000000" w:rsidRDefault="00000000">
            <w:pPr>
              <w:pStyle w:val="table"/>
              <w:tabs>
                <w:tab w:val="decimal" w:pos="351"/>
              </w:tabs>
            </w:pPr>
            <w:r>
              <w:t>30,7</w:t>
            </w:r>
          </w:p>
        </w:tc>
        <w:tc>
          <w:tcPr>
            <w:tcW w:w="912" w:type="dxa"/>
            <w:vAlign w:val="bottom"/>
          </w:tcPr>
          <w:p w:rsidR="00000000" w:rsidRDefault="00000000">
            <w:pPr>
              <w:pStyle w:val="table"/>
              <w:tabs>
                <w:tab w:val="decimal" w:pos="351"/>
              </w:tabs>
            </w:pPr>
            <w:r>
              <w:t>38,9</w:t>
            </w:r>
          </w:p>
        </w:tc>
        <w:tc>
          <w:tcPr>
            <w:tcW w:w="912" w:type="dxa"/>
            <w:vAlign w:val="bottom"/>
          </w:tcPr>
          <w:p w:rsidR="00000000" w:rsidRDefault="00000000">
            <w:pPr>
              <w:pStyle w:val="table"/>
              <w:tabs>
                <w:tab w:val="decimal" w:pos="351"/>
              </w:tabs>
            </w:pPr>
            <w:r>
              <w:t>41,1</w:t>
            </w:r>
          </w:p>
        </w:tc>
        <w:tc>
          <w:tcPr>
            <w:tcW w:w="917" w:type="dxa"/>
            <w:vAlign w:val="bottom"/>
          </w:tcPr>
          <w:p w:rsidR="00000000" w:rsidRDefault="00000000">
            <w:pPr>
              <w:pStyle w:val="table"/>
              <w:tabs>
                <w:tab w:val="decimal" w:pos="351"/>
              </w:tabs>
            </w:pPr>
            <w:r>
              <w:t>42,6</w:t>
            </w:r>
          </w:p>
        </w:tc>
        <w:tc>
          <w:tcPr>
            <w:tcW w:w="912" w:type="dxa"/>
            <w:vAlign w:val="bottom"/>
          </w:tcPr>
          <w:p w:rsidR="00000000" w:rsidRDefault="00000000">
            <w:pPr>
              <w:pStyle w:val="table"/>
              <w:tabs>
                <w:tab w:val="decimal" w:pos="351"/>
              </w:tabs>
            </w:pPr>
            <w:r>
              <w:t>43,8</w:t>
            </w:r>
          </w:p>
        </w:tc>
        <w:tc>
          <w:tcPr>
            <w:tcW w:w="912" w:type="dxa"/>
            <w:vAlign w:val="bottom"/>
          </w:tcPr>
          <w:p w:rsidR="00000000" w:rsidRDefault="00000000">
            <w:pPr>
              <w:pStyle w:val="table"/>
              <w:tabs>
                <w:tab w:val="decimal" w:pos="351"/>
              </w:tabs>
            </w:pPr>
            <w:r>
              <w:t>45,5</w:t>
            </w:r>
          </w:p>
        </w:tc>
        <w:tc>
          <w:tcPr>
            <w:tcW w:w="912" w:type="dxa"/>
            <w:vAlign w:val="bottom"/>
          </w:tcPr>
          <w:p w:rsidR="00000000" w:rsidRDefault="00000000">
            <w:pPr>
              <w:pStyle w:val="table"/>
              <w:tabs>
                <w:tab w:val="decimal" w:pos="351"/>
              </w:tabs>
            </w:pPr>
            <w:r>
              <w:t>47,3</w:t>
            </w:r>
          </w:p>
        </w:tc>
        <w:tc>
          <w:tcPr>
            <w:tcW w:w="917" w:type="dxa"/>
            <w:vAlign w:val="bottom"/>
          </w:tcPr>
          <w:p w:rsidR="00000000" w:rsidRDefault="00000000">
            <w:pPr>
              <w:pStyle w:val="table"/>
              <w:tabs>
                <w:tab w:val="decimal" w:pos="351"/>
              </w:tabs>
            </w:pPr>
            <w:r>
              <w:t>48,1</w:t>
            </w:r>
          </w:p>
        </w:tc>
        <w:tc>
          <w:tcPr>
            <w:tcW w:w="912" w:type="dxa"/>
            <w:vAlign w:val="bottom"/>
          </w:tcPr>
          <w:p w:rsidR="00000000" w:rsidRDefault="00000000">
            <w:pPr>
              <w:pStyle w:val="table"/>
              <w:tabs>
                <w:tab w:val="decimal" w:pos="351"/>
              </w:tabs>
            </w:pPr>
            <w:r>
              <w:t>48,9</w:t>
            </w:r>
          </w:p>
        </w:tc>
        <w:tc>
          <w:tcPr>
            <w:tcW w:w="912" w:type="dxa"/>
            <w:vAlign w:val="bottom"/>
          </w:tcPr>
          <w:p w:rsidR="00000000" w:rsidRDefault="00000000">
            <w:pPr>
              <w:pStyle w:val="table"/>
              <w:tabs>
                <w:tab w:val="decimal" w:pos="351"/>
              </w:tabs>
            </w:pPr>
            <w:r>
              <w:t>49,7</w:t>
            </w:r>
          </w:p>
        </w:tc>
        <w:tc>
          <w:tcPr>
            <w:tcW w:w="814" w:type="dxa"/>
            <w:vAlign w:val="bottom"/>
          </w:tcPr>
          <w:p w:rsidR="00000000" w:rsidRDefault="00000000">
            <w:pPr>
              <w:pStyle w:val="table"/>
              <w:tabs>
                <w:tab w:val="decimal" w:pos="351"/>
              </w:tabs>
            </w:pPr>
            <w:r>
              <w:t>50,3</w:t>
            </w:r>
          </w:p>
        </w:tc>
      </w:tr>
      <w:tr w:rsidR="00000000">
        <w:tblPrEx>
          <w:tblCellMar>
            <w:top w:w="0" w:type="dxa"/>
            <w:bottom w:w="0" w:type="dxa"/>
          </w:tblCellMar>
        </w:tblPrEx>
        <w:tc>
          <w:tcPr>
            <w:tcW w:w="2244" w:type="dxa"/>
          </w:tcPr>
          <w:p w:rsidR="00000000" w:rsidRDefault="00000000">
            <w:pPr>
              <w:pStyle w:val="table"/>
            </w:pPr>
            <w:r>
              <w:t>Гуманитарные учебные завед</w:t>
            </w:r>
            <w:r>
              <w:t>е</w:t>
            </w:r>
            <w:r>
              <w:t>ния</w:t>
            </w:r>
          </w:p>
        </w:tc>
        <w:tc>
          <w:tcPr>
            <w:tcW w:w="914" w:type="dxa"/>
            <w:vAlign w:val="bottom"/>
          </w:tcPr>
          <w:p w:rsidR="00000000" w:rsidRDefault="00000000">
            <w:pPr>
              <w:pStyle w:val="table"/>
              <w:tabs>
                <w:tab w:val="decimal" w:pos="351"/>
              </w:tabs>
            </w:pPr>
            <w:r>
              <w:t>40,0</w:t>
            </w:r>
          </w:p>
        </w:tc>
        <w:tc>
          <w:tcPr>
            <w:tcW w:w="912" w:type="dxa"/>
            <w:vAlign w:val="bottom"/>
          </w:tcPr>
          <w:p w:rsidR="00000000" w:rsidRDefault="00000000">
            <w:pPr>
              <w:pStyle w:val="table"/>
              <w:tabs>
                <w:tab w:val="decimal" w:pos="351"/>
              </w:tabs>
            </w:pPr>
            <w:r>
              <w:t>46,3</w:t>
            </w:r>
          </w:p>
        </w:tc>
        <w:tc>
          <w:tcPr>
            <w:tcW w:w="912" w:type="dxa"/>
            <w:vAlign w:val="bottom"/>
          </w:tcPr>
          <w:p w:rsidR="00000000" w:rsidRDefault="00000000">
            <w:pPr>
              <w:pStyle w:val="table"/>
              <w:tabs>
                <w:tab w:val="decimal" w:pos="351"/>
              </w:tabs>
            </w:pPr>
            <w:r>
              <w:t>48,9</w:t>
            </w:r>
          </w:p>
        </w:tc>
        <w:tc>
          <w:tcPr>
            <w:tcW w:w="917" w:type="dxa"/>
            <w:vAlign w:val="bottom"/>
          </w:tcPr>
          <w:p w:rsidR="00000000" w:rsidRDefault="00000000">
            <w:pPr>
              <w:pStyle w:val="table"/>
              <w:tabs>
                <w:tab w:val="decimal" w:pos="351"/>
              </w:tabs>
            </w:pPr>
            <w:r>
              <w:t>51,1</w:t>
            </w:r>
          </w:p>
        </w:tc>
        <w:tc>
          <w:tcPr>
            <w:tcW w:w="912" w:type="dxa"/>
            <w:vAlign w:val="bottom"/>
          </w:tcPr>
          <w:p w:rsidR="00000000" w:rsidRDefault="00000000">
            <w:pPr>
              <w:pStyle w:val="table"/>
              <w:tabs>
                <w:tab w:val="decimal" w:pos="351"/>
              </w:tabs>
            </w:pPr>
            <w:r>
              <w:t>51,9</w:t>
            </w:r>
          </w:p>
        </w:tc>
        <w:tc>
          <w:tcPr>
            <w:tcW w:w="912" w:type="dxa"/>
            <w:vAlign w:val="bottom"/>
          </w:tcPr>
          <w:p w:rsidR="00000000" w:rsidRDefault="00000000">
            <w:pPr>
              <w:pStyle w:val="table"/>
              <w:tabs>
                <w:tab w:val="decimal" w:pos="351"/>
              </w:tabs>
            </w:pPr>
            <w:r>
              <w:t>53,1</w:t>
            </w:r>
          </w:p>
        </w:tc>
        <w:tc>
          <w:tcPr>
            <w:tcW w:w="912" w:type="dxa"/>
            <w:vAlign w:val="bottom"/>
          </w:tcPr>
          <w:p w:rsidR="00000000" w:rsidRDefault="00000000">
            <w:pPr>
              <w:pStyle w:val="table"/>
              <w:tabs>
                <w:tab w:val="decimal" w:pos="351"/>
              </w:tabs>
            </w:pPr>
            <w:r>
              <w:t>54,6</w:t>
            </w:r>
          </w:p>
        </w:tc>
        <w:tc>
          <w:tcPr>
            <w:tcW w:w="917" w:type="dxa"/>
            <w:vAlign w:val="bottom"/>
          </w:tcPr>
          <w:p w:rsidR="00000000" w:rsidRDefault="00000000">
            <w:pPr>
              <w:pStyle w:val="table"/>
              <w:tabs>
                <w:tab w:val="decimal" w:pos="351"/>
              </w:tabs>
            </w:pPr>
            <w:r>
              <w:t>55,2</w:t>
            </w:r>
          </w:p>
        </w:tc>
        <w:tc>
          <w:tcPr>
            <w:tcW w:w="912" w:type="dxa"/>
            <w:vAlign w:val="bottom"/>
          </w:tcPr>
          <w:p w:rsidR="00000000" w:rsidRDefault="00000000">
            <w:pPr>
              <w:pStyle w:val="table"/>
              <w:tabs>
                <w:tab w:val="decimal" w:pos="351"/>
              </w:tabs>
            </w:pPr>
            <w:r>
              <w:t>56,1</w:t>
            </w:r>
          </w:p>
        </w:tc>
        <w:tc>
          <w:tcPr>
            <w:tcW w:w="912" w:type="dxa"/>
            <w:vAlign w:val="bottom"/>
          </w:tcPr>
          <w:p w:rsidR="00000000" w:rsidRDefault="00000000">
            <w:pPr>
              <w:pStyle w:val="table"/>
              <w:tabs>
                <w:tab w:val="decimal" w:pos="351"/>
              </w:tabs>
            </w:pPr>
            <w:r>
              <w:t>56,4</w:t>
            </w:r>
          </w:p>
        </w:tc>
        <w:tc>
          <w:tcPr>
            <w:tcW w:w="814" w:type="dxa"/>
            <w:vAlign w:val="bottom"/>
          </w:tcPr>
          <w:p w:rsidR="00000000" w:rsidRDefault="00000000">
            <w:pPr>
              <w:pStyle w:val="table"/>
              <w:tabs>
                <w:tab w:val="decimal" w:pos="351"/>
              </w:tabs>
            </w:pPr>
            <w:r>
              <w:t>57,0</w:t>
            </w:r>
          </w:p>
        </w:tc>
      </w:tr>
      <w:tr w:rsidR="00000000">
        <w:tblPrEx>
          <w:tblCellMar>
            <w:top w:w="0" w:type="dxa"/>
            <w:bottom w:w="0" w:type="dxa"/>
          </w:tblCellMar>
        </w:tblPrEx>
        <w:tc>
          <w:tcPr>
            <w:tcW w:w="2244" w:type="dxa"/>
            <w:tcBorders>
              <w:bottom w:val="single" w:sz="12" w:space="0" w:color="auto"/>
            </w:tcBorders>
          </w:tcPr>
          <w:p w:rsidR="00000000" w:rsidRDefault="00000000">
            <w:pPr>
              <w:pStyle w:val="table"/>
            </w:pPr>
            <w:r>
              <w:t>Технические колледжи</w:t>
            </w:r>
          </w:p>
        </w:tc>
        <w:tc>
          <w:tcPr>
            <w:tcW w:w="914" w:type="dxa"/>
            <w:tcBorders>
              <w:bottom w:val="single" w:sz="12" w:space="0" w:color="auto"/>
            </w:tcBorders>
            <w:vAlign w:val="bottom"/>
          </w:tcPr>
          <w:p w:rsidR="00000000" w:rsidRDefault="00000000">
            <w:pPr>
              <w:pStyle w:val="table"/>
              <w:tabs>
                <w:tab w:val="decimal" w:pos="351"/>
              </w:tabs>
            </w:pPr>
            <w:r>
              <w:t>-</w:t>
            </w:r>
          </w:p>
        </w:tc>
        <w:tc>
          <w:tcPr>
            <w:tcW w:w="912" w:type="dxa"/>
            <w:tcBorders>
              <w:bottom w:val="single" w:sz="12" w:space="0" w:color="auto"/>
            </w:tcBorders>
            <w:vAlign w:val="bottom"/>
          </w:tcPr>
          <w:p w:rsidR="00000000" w:rsidRDefault="00000000">
            <w:pPr>
              <w:pStyle w:val="table"/>
              <w:tabs>
                <w:tab w:val="decimal" w:pos="351"/>
              </w:tabs>
            </w:pPr>
            <w:r>
              <w:t>28,2</w:t>
            </w:r>
          </w:p>
        </w:tc>
        <w:tc>
          <w:tcPr>
            <w:tcW w:w="912" w:type="dxa"/>
            <w:tcBorders>
              <w:bottom w:val="single" w:sz="12" w:space="0" w:color="auto"/>
            </w:tcBorders>
            <w:vAlign w:val="bottom"/>
          </w:tcPr>
          <w:p w:rsidR="00000000" w:rsidRDefault="00000000">
            <w:pPr>
              <w:pStyle w:val="table"/>
              <w:tabs>
                <w:tab w:val="decimal" w:pos="351"/>
              </w:tabs>
            </w:pPr>
            <w:r>
              <w:t>27,4</w:t>
            </w:r>
          </w:p>
        </w:tc>
        <w:tc>
          <w:tcPr>
            <w:tcW w:w="917" w:type="dxa"/>
            <w:tcBorders>
              <w:bottom w:val="single" w:sz="12" w:space="0" w:color="auto"/>
            </w:tcBorders>
            <w:vAlign w:val="bottom"/>
          </w:tcPr>
          <w:p w:rsidR="00000000" w:rsidRDefault="00000000">
            <w:pPr>
              <w:pStyle w:val="table"/>
              <w:tabs>
                <w:tab w:val="decimal" w:pos="351"/>
              </w:tabs>
            </w:pPr>
            <w:r>
              <w:t>27,7</w:t>
            </w:r>
          </w:p>
        </w:tc>
        <w:tc>
          <w:tcPr>
            <w:tcW w:w="912" w:type="dxa"/>
            <w:tcBorders>
              <w:bottom w:val="single" w:sz="12" w:space="0" w:color="auto"/>
            </w:tcBorders>
            <w:vAlign w:val="bottom"/>
          </w:tcPr>
          <w:p w:rsidR="00000000" w:rsidRDefault="00000000">
            <w:pPr>
              <w:pStyle w:val="table"/>
              <w:tabs>
                <w:tab w:val="decimal" w:pos="351"/>
              </w:tabs>
            </w:pPr>
            <w:r>
              <w:t>29,0</w:t>
            </w:r>
          </w:p>
        </w:tc>
        <w:tc>
          <w:tcPr>
            <w:tcW w:w="912" w:type="dxa"/>
            <w:tcBorders>
              <w:bottom w:val="single" w:sz="12" w:space="0" w:color="auto"/>
            </w:tcBorders>
            <w:vAlign w:val="bottom"/>
          </w:tcPr>
          <w:p w:rsidR="00000000" w:rsidRDefault="00000000">
            <w:pPr>
              <w:pStyle w:val="table"/>
              <w:tabs>
                <w:tab w:val="decimal" w:pos="351"/>
              </w:tabs>
            </w:pPr>
            <w:r>
              <w:t>30,7</w:t>
            </w:r>
          </w:p>
        </w:tc>
        <w:tc>
          <w:tcPr>
            <w:tcW w:w="912" w:type="dxa"/>
            <w:tcBorders>
              <w:bottom w:val="single" w:sz="12" w:space="0" w:color="auto"/>
            </w:tcBorders>
            <w:vAlign w:val="bottom"/>
          </w:tcPr>
          <w:p w:rsidR="00000000" w:rsidRDefault="00000000">
            <w:pPr>
              <w:pStyle w:val="table"/>
              <w:tabs>
                <w:tab w:val="decimal" w:pos="351"/>
              </w:tabs>
            </w:pPr>
            <w:r>
              <w:t>33,3</w:t>
            </w:r>
          </w:p>
        </w:tc>
        <w:tc>
          <w:tcPr>
            <w:tcW w:w="917" w:type="dxa"/>
            <w:tcBorders>
              <w:bottom w:val="single" w:sz="12" w:space="0" w:color="auto"/>
            </w:tcBorders>
            <w:vAlign w:val="bottom"/>
          </w:tcPr>
          <w:p w:rsidR="00000000" w:rsidRDefault="00000000">
            <w:pPr>
              <w:pStyle w:val="table"/>
              <w:tabs>
                <w:tab w:val="decimal" w:pos="351"/>
              </w:tabs>
            </w:pPr>
            <w:r>
              <w:t>34,7</w:t>
            </w:r>
          </w:p>
        </w:tc>
        <w:tc>
          <w:tcPr>
            <w:tcW w:w="912" w:type="dxa"/>
            <w:tcBorders>
              <w:bottom w:val="single" w:sz="12" w:space="0" w:color="auto"/>
            </w:tcBorders>
            <w:vAlign w:val="bottom"/>
          </w:tcPr>
          <w:p w:rsidR="00000000" w:rsidRDefault="00000000">
            <w:pPr>
              <w:pStyle w:val="table"/>
              <w:tabs>
                <w:tab w:val="decimal" w:pos="351"/>
              </w:tabs>
            </w:pPr>
            <w:r>
              <w:t>35,9</w:t>
            </w:r>
          </w:p>
        </w:tc>
        <w:tc>
          <w:tcPr>
            <w:tcW w:w="912" w:type="dxa"/>
            <w:tcBorders>
              <w:bottom w:val="single" w:sz="12" w:space="0" w:color="auto"/>
            </w:tcBorders>
            <w:vAlign w:val="bottom"/>
          </w:tcPr>
          <w:p w:rsidR="00000000" w:rsidRDefault="00000000">
            <w:pPr>
              <w:pStyle w:val="table"/>
              <w:tabs>
                <w:tab w:val="decimal" w:pos="351"/>
              </w:tabs>
            </w:pPr>
            <w:r>
              <w:t>36,8</w:t>
            </w:r>
          </w:p>
        </w:tc>
        <w:tc>
          <w:tcPr>
            <w:tcW w:w="814" w:type="dxa"/>
            <w:tcBorders>
              <w:bottom w:val="single" w:sz="12" w:space="0" w:color="auto"/>
            </w:tcBorders>
            <w:vAlign w:val="bottom"/>
          </w:tcPr>
          <w:p w:rsidR="00000000" w:rsidRDefault="00000000">
            <w:pPr>
              <w:pStyle w:val="table"/>
              <w:tabs>
                <w:tab w:val="decimal" w:pos="351"/>
              </w:tabs>
            </w:pPr>
            <w:r>
              <w:t>37,4</w:t>
            </w:r>
          </w:p>
        </w:tc>
      </w:tr>
    </w:tbl>
    <w:p w:rsidR="00000000" w:rsidRDefault="00000000">
      <w:pPr>
        <w:pStyle w:val="istochnik"/>
        <w:tabs>
          <w:tab w:val="clear" w:pos="1267"/>
        </w:tabs>
        <w:spacing w:after="0"/>
        <w:ind w:left="0"/>
      </w:pPr>
      <w:r>
        <w:t>*) зимний семестр</w:t>
      </w:r>
    </w:p>
    <w:p w:rsidR="00000000" w:rsidRDefault="00000000">
      <w:pPr>
        <w:pStyle w:val="istochnik"/>
        <w:tabs>
          <w:tab w:val="clear" w:pos="1267"/>
        </w:tabs>
        <w:spacing w:after="0"/>
        <w:ind w:left="0"/>
      </w:pPr>
      <w:r>
        <w:t>1) до 1985 года включительно – прежняя федеральная территория, после 1991 года – все территории Федеративной Ре</w:t>
      </w:r>
      <w:r>
        <w:t>с</w:t>
      </w:r>
      <w:r>
        <w:t>публики Германии</w:t>
      </w:r>
    </w:p>
    <w:p w:rsidR="00000000" w:rsidRDefault="00000000">
      <w:pPr>
        <w:pStyle w:val="istochnik"/>
        <w:tabs>
          <w:tab w:val="clear" w:pos="1267"/>
        </w:tabs>
        <w:spacing w:after="0"/>
        <w:ind w:left="0"/>
      </w:pPr>
      <w:r>
        <w:t>2) предварительные результаты</w:t>
      </w:r>
    </w:p>
    <w:p w:rsidR="00000000" w:rsidRDefault="00000000">
      <w:pPr>
        <w:pStyle w:val="istochnik"/>
        <w:tabs>
          <w:tab w:val="clear" w:pos="1267"/>
        </w:tabs>
        <w:spacing w:after="0"/>
        <w:ind w:left="0"/>
      </w:pPr>
      <w:r>
        <w:rPr>
          <w:i/>
        </w:rPr>
        <w:t>Источник</w:t>
      </w:r>
      <w:r>
        <w:t>: Федеральное статистическое управление</w:t>
      </w:r>
    </w:p>
    <w:p w:rsidR="00000000" w:rsidRDefault="00000000">
      <w:pPr>
        <w:pStyle w:val="H23"/>
        <w:pageBreakBefore/>
        <w:ind w:left="0" w:firstLine="0"/>
      </w:pPr>
      <w:bookmarkStart w:id="760" w:name="_Toc44113571"/>
      <w:bookmarkStart w:id="761" w:name="_Toc44113872"/>
      <w:bookmarkStart w:id="762" w:name="_Toc44114380"/>
      <w:bookmarkStart w:id="763" w:name="_Toc44115627"/>
      <w:bookmarkStart w:id="764" w:name="_Toc44116059"/>
      <w:r>
        <w:t>Таблица 4.3.3 Студенты первого курса высших учебных заведений Германии (зимний семестр) в разбивке по предметам изучения</w:t>
      </w:r>
      <w:bookmarkEnd w:id="760"/>
      <w:bookmarkEnd w:id="761"/>
      <w:bookmarkEnd w:id="762"/>
      <w:bookmarkEnd w:id="763"/>
      <w:bookmarkEnd w:id="764"/>
    </w:p>
    <w:bookmarkStart w:id="765" w:name="_MON_1100431339"/>
    <w:bookmarkStart w:id="766" w:name="_MON_1100431545"/>
    <w:bookmarkStart w:id="767" w:name="_MON_1100431631"/>
    <w:bookmarkStart w:id="768" w:name="_MON_1100431694"/>
    <w:bookmarkStart w:id="769" w:name="_MON_1100431730"/>
    <w:bookmarkStart w:id="770" w:name="_MON_1100959216"/>
    <w:bookmarkStart w:id="771" w:name="_MON_1102149338"/>
    <w:bookmarkStart w:id="772" w:name="_MON_1102149399"/>
    <w:bookmarkStart w:id="773" w:name="_MON_1102149789"/>
    <w:bookmarkStart w:id="774" w:name="_MON_1102150773"/>
    <w:bookmarkStart w:id="775" w:name="_MON_1102150809"/>
    <w:bookmarkStart w:id="776" w:name="_MON_1102150998"/>
    <w:bookmarkStart w:id="777" w:name="_MON_1102151007"/>
    <w:bookmarkStart w:id="778" w:name="_MON_1117720932"/>
    <w:bookmarkStart w:id="779" w:name="_MON_1117720963"/>
    <w:bookmarkStart w:id="780" w:name="_MON_1117720981"/>
    <w:bookmarkStart w:id="781" w:name="_MON_1117720992"/>
    <w:bookmarkStart w:id="782" w:name="_MON_1117721003"/>
    <w:bookmarkStart w:id="783" w:name="_MON_1117721013"/>
    <w:bookmarkStart w:id="784" w:name="_MON_1117721028"/>
    <w:bookmarkStart w:id="785" w:name="_MON_1117721038"/>
    <w:bookmarkStart w:id="786" w:name="_MON_1117721046"/>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rsidR="00000000" w:rsidRDefault="00000000">
      <w:pPr>
        <w:pStyle w:val="SingleTxt"/>
        <w:spacing w:line="240" w:lineRule="auto"/>
        <w:ind w:left="0" w:right="0" w:firstLine="0"/>
        <w:rPr>
          <w:b/>
        </w:rPr>
      </w:pPr>
      <w:r>
        <w:rPr>
          <w:b/>
          <w:color w:val="000000"/>
          <w:lang w:val="en-GB"/>
        </w:rPr>
        <w:object w:dxaOrig="7788" w:dyaOrig="6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3.5pt;height:225pt" o:ole="" fillcolor="window">
            <v:imagedata r:id="rId25" o:title=""/>
          </v:shape>
          <o:OLEObject Type="Embed" ProgID="Excel.Sheet.8" ShapeID="_x0000_i1025" DrawAspect="Content" ObjectID="_1418862443" r:id="rId26"/>
        </w:object>
      </w:r>
    </w:p>
    <w:tbl>
      <w:tblPr>
        <w:tblW w:w="0" w:type="auto"/>
        <w:tblInd w:w="-26" w:type="dxa"/>
        <w:tblLayout w:type="fixed"/>
        <w:tblCellMar>
          <w:left w:w="28" w:type="dxa"/>
          <w:right w:w="28" w:type="dxa"/>
        </w:tblCellMar>
        <w:tblLook w:val="0000" w:firstRow="0" w:lastRow="0" w:firstColumn="0" w:lastColumn="0" w:noHBand="0" w:noVBand="0"/>
      </w:tblPr>
      <w:tblGrid>
        <w:gridCol w:w="2880"/>
        <w:gridCol w:w="853"/>
        <w:gridCol w:w="853"/>
        <w:gridCol w:w="853"/>
        <w:gridCol w:w="853"/>
        <w:gridCol w:w="853"/>
        <w:gridCol w:w="853"/>
        <w:gridCol w:w="853"/>
        <w:gridCol w:w="853"/>
        <w:gridCol w:w="853"/>
        <w:gridCol w:w="853"/>
        <w:gridCol w:w="846"/>
      </w:tblGrid>
      <w:tr w:rsidR="00000000">
        <w:tblPrEx>
          <w:tblCellMar>
            <w:top w:w="0" w:type="dxa"/>
            <w:bottom w:w="0" w:type="dxa"/>
          </w:tblCellMar>
        </w:tblPrEx>
        <w:tc>
          <w:tcPr>
            <w:tcW w:w="12256" w:type="dxa"/>
            <w:gridSpan w:val="12"/>
            <w:tcBorders>
              <w:top w:val="single" w:sz="6" w:space="0" w:color="auto"/>
              <w:bottom w:val="single" w:sz="6" w:space="0" w:color="auto"/>
            </w:tcBorders>
          </w:tcPr>
          <w:p w:rsidR="00000000" w:rsidRDefault="00000000">
            <w:pPr>
              <w:pStyle w:val="table"/>
              <w:spacing w:line="180" w:lineRule="exact"/>
              <w:jc w:val="center"/>
              <w:rPr>
                <w:i/>
              </w:rPr>
            </w:pPr>
            <w:r>
              <w:rPr>
                <w:i/>
              </w:rPr>
              <w:t>Студенты первого курса высших учебных заведений Германии (зимний семестр) в разбивке по предметам изучения, в проце</w:t>
            </w:r>
            <w:r>
              <w:rPr>
                <w:i/>
              </w:rPr>
              <w:t>н</w:t>
            </w:r>
            <w:r>
              <w:rPr>
                <w:i/>
              </w:rPr>
              <w:t>тах</w:t>
            </w:r>
          </w:p>
        </w:tc>
      </w:tr>
      <w:tr w:rsidR="00000000">
        <w:tblPrEx>
          <w:tblCellMar>
            <w:top w:w="0" w:type="dxa"/>
            <w:bottom w:w="0" w:type="dxa"/>
          </w:tblCellMar>
        </w:tblPrEx>
        <w:tc>
          <w:tcPr>
            <w:tcW w:w="2880" w:type="dxa"/>
            <w:tcBorders>
              <w:top w:val="single" w:sz="6" w:space="0" w:color="auto"/>
              <w:bottom w:val="single" w:sz="12" w:space="0" w:color="auto"/>
            </w:tcBorders>
          </w:tcPr>
          <w:p w:rsidR="00000000" w:rsidRDefault="00000000">
            <w:pPr>
              <w:pStyle w:val="table"/>
              <w:spacing w:line="180" w:lineRule="exact"/>
              <w:jc w:val="center"/>
              <w:rPr>
                <w:i/>
              </w:rPr>
            </w:pP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1990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1991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1992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1993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1994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1995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1996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1997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1998 год</w:t>
            </w:r>
          </w:p>
        </w:tc>
        <w:tc>
          <w:tcPr>
            <w:tcW w:w="853" w:type="dxa"/>
            <w:tcBorders>
              <w:top w:val="single" w:sz="6" w:space="0" w:color="auto"/>
              <w:bottom w:val="single" w:sz="12" w:space="0" w:color="auto"/>
            </w:tcBorders>
          </w:tcPr>
          <w:p w:rsidR="00000000" w:rsidRDefault="00000000">
            <w:pPr>
              <w:pStyle w:val="table"/>
              <w:spacing w:line="180" w:lineRule="exact"/>
              <w:jc w:val="center"/>
              <w:rPr>
                <w:i/>
              </w:rPr>
            </w:pPr>
            <w:r>
              <w:rPr>
                <w:i/>
              </w:rPr>
              <w:t>1999 год</w:t>
            </w:r>
          </w:p>
        </w:tc>
        <w:tc>
          <w:tcPr>
            <w:tcW w:w="846" w:type="dxa"/>
            <w:tcBorders>
              <w:top w:val="single" w:sz="6" w:space="0" w:color="auto"/>
              <w:bottom w:val="single" w:sz="12" w:space="0" w:color="auto"/>
            </w:tcBorders>
          </w:tcPr>
          <w:p w:rsidR="00000000" w:rsidRDefault="00000000">
            <w:pPr>
              <w:pStyle w:val="table"/>
              <w:spacing w:line="180" w:lineRule="exact"/>
              <w:jc w:val="center"/>
              <w:rPr>
                <w:i/>
              </w:rPr>
            </w:pPr>
            <w:r>
              <w:rPr>
                <w:i/>
              </w:rPr>
              <w:t>2000 год</w:t>
            </w:r>
          </w:p>
        </w:tc>
      </w:tr>
      <w:tr w:rsidR="00000000">
        <w:tblPrEx>
          <w:tblCellMar>
            <w:top w:w="0" w:type="dxa"/>
            <w:bottom w:w="0" w:type="dxa"/>
          </w:tblCellMar>
        </w:tblPrEx>
        <w:tc>
          <w:tcPr>
            <w:tcW w:w="2880" w:type="dxa"/>
            <w:tcBorders>
              <w:top w:val="single" w:sz="12" w:space="0" w:color="auto"/>
            </w:tcBorders>
          </w:tcPr>
          <w:p w:rsidR="00000000" w:rsidRDefault="00000000">
            <w:pPr>
              <w:pStyle w:val="table"/>
              <w:spacing w:line="180" w:lineRule="exact"/>
            </w:pPr>
            <w:r>
              <w:t>Право, экономика, общественные науки</w:t>
            </w:r>
          </w:p>
        </w:tc>
        <w:tc>
          <w:tcPr>
            <w:tcW w:w="853" w:type="dxa"/>
            <w:tcBorders>
              <w:top w:val="single" w:sz="12" w:space="0" w:color="auto"/>
            </w:tcBorders>
            <w:vAlign w:val="bottom"/>
          </w:tcPr>
          <w:p w:rsidR="00000000" w:rsidRDefault="00000000">
            <w:pPr>
              <w:pStyle w:val="table"/>
              <w:tabs>
                <w:tab w:val="decimal" w:pos="381"/>
              </w:tabs>
              <w:spacing w:line="180" w:lineRule="exact"/>
            </w:pPr>
            <w:r>
              <w:t>38,3</w:t>
            </w:r>
          </w:p>
        </w:tc>
        <w:tc>
          <w:tcPr>
            <w:tcW w:w="853" w:type="dxa"/>
            <w:tcBorders>
              <w:top w:val="single" w:sz="12" w:space="0" w:color="auto"/>
            </w:tcBorders>
            <w:vAlign w:val="bottom"/>
          </w:tcPr>
          <w:p w:rsidR="00000000" w:rsidRDefault="00000000">
            <w:pPr>
              <w:pStyle w:val="table"/>
              <w:tabs>
                <w:tab w:val="decimal" w:pos="381"/>
              </w:tabs>
              <w:spacing w:line="180" w:lineRule="exact"/>
            </w:pPr>
            <w:r>
              <w:t>40,3</w:t>
            </w:r>
          </w:p>
        </w:tc>
        <w:tc>
          <w:tcPr>
            <w:tcW w:w="853" w:type="dxa"/>
            <w:tcBorders>
              <w:top w:val="single" w:sz="12" w:space="0" w:color="auto"/>
            </w:tcBorders>
            <w:vAlign w:val="bottom"/>
          </w:tcPr>
          <w:p w:rsidR="00000000" w:rsidRDefault="00000000">
            <w:pPr>
              <w:pStyle w:val="table"/>
              <w:tabs>
                <w:tab w:val="decimal" w:pos="381"/>
              </w:tabs>
              <w:spacing w:line="180" w:lineRule="exact"/>
            </w:pPr>
            <w:r>
              <w:t>41,0</w:t>
            </w:r>
          </w:p>
        </w:tc>
        <w:tc>
          <w:tcPr>
            <w:tcW w:w="853" w:type="dxa"/>
            <w:tcBorders>
              <w:top w:val="single" w:sz="12" w:space="0" w:color="auto"/>
            </w:tcBorders>
            <w:vAlign w:val="bottom"/>
          </w:tcPr>
          <w:p w:rsidR="00000000" w:rsidRDefault="00000000">
            <w:pPr>
              <w:pStyle w:val="table"/>
              <w:tabs>
                <w:tab w:val="decimal" w:pos="381"/>
              </w:tabs>
              <w:spacing w:line="180" w:lineRule="exact"/>
            </w:pPr>
            <w:r>
              <w:t>42,7</w:t>
            </w:r>
          </w:p>
        </w:tc>
        <w:tc>
          <w:tcPr>
            <w:tcW w:w="853" w:type="dxa"/>
            <w:tcBorders>
              <w:top w:val="single" w:sz="12" w:space="0" w:color="auto"/>
            </w:tcBorders>
            <w:vAlign w:val="bottom"/>
          </w:tcPr>
          <w:p w:rsidR="00000000" w:rsidRDefault="00000000">
            <w:pPr>
              <w:pStyle w:val="table"/>
              <w:tabs>
                <w:tab w:val="decimal" w:pos="381"/>
              </w:tabs>
              <w:spacing w:line="180" w:lineRule="exact"/>
            </w:pPr>
            <w:r>
              <w:t>41,4</w:t>
            </w:r>
          </w:p>
        </w:tc>
        <w:tc>
          <w:tcPr>
            <w:tcW w:w="853" w:type="dxa"/>
            <w:tcBorders>
              <w:top w:val="single" w:sz="12" w:space="0" w:color="auto"/>
            </w:tcBorders>
            <w:vAlign w:val="bottom"/>
          </w:tcPr>
          <w:p w:rsidR="00000000" w:rsidRDefault="00000000">
            <w:pPr>
              <w:pStyle w:val="table"/>
              <w:tabs>
                <w:tab w:val="decimal" w:pos="381"/>
              </w:tabs>
              <w:spacing w:line="180" w:lineRule="exact"/>
            </w:pPr>
            <w:r>
              <w:t>44,4</w:t>
            </w:r>
          </w:p>
        </w:tc>
        <w:tc>
          <w:tcPr>
            <w:tcW w:w="853" w:type="dxa"/>
            <w:tcBorders>
              <w:top w:val="single" w:sz="12" w:space="0" w:color="auto"/>
            </w:tcBorders>
            <w:vAlign w:val="bottom"/>
          </w:tcPr>
          <w:p w:rsidR="00000000" w:rsidRDefault="00000000">
            <w:pPr>
              <w:pStyle w:val="table"/>
              <w:tabs>
                <w:tab w:val="decimal" w:pos="381"/>
              </w:tabs>
              <w:spacing w:line="180" w:lineRule="exact"/>
            </w:pPr>
            <w:r>
              <w:t>45,2</w:t>
            </w:r>
          </w:p>
        </w:tc>
        <w:tc>
          <w:tcPr>
            <w:tcW w:w="853" w:type="dxa"/>
            <w:tcBorders>
              <w:top w:val="single" w:sz="12" w:space="0" w:color="auto"/>
            </w:tcBorders>
            <w:vAlign w:val="bottom"/>
          </w:tcPr>
          <w:p w:rsidR="00000000" w:rsidRDefault="00000000">
            <w:pPr>
              <w:pStyle w:val="table"/>
              <w:tabs>
                <w:tab w:val="decimal" w:pos="381"/>
              </w:tabs>
              <w:spacing w:line="180" w:lineRule="exact"/>
            </w:pPr>
            <w:r>
              <w:t>45,1</w:t>
            </w:r>
          </w:p>
        </w:tc>
        <w:tc>
          <w:tcPr>
            <w:tcW w:w="853" w:type="dxa"/>
            <w:tcBorders>
              <w:top w:val="single" w:sz="12" w:space="0" w:color="auto"/>
            </w:tcBorders>
            <w:vAlign w:val="bottom"/>
          </w:tcPr>
          <w:p w:rsidR="00000000" w:rsidRDefault="00000000">
            <w:pPr>
              <w:pStyle w:val="table"/>
              <w:tabs>
                <w:tab w:val="decimal" w:pos="381"/>
              </w:tabs>
              <w:spacing w:line="180" w:lineRule="exact"/>
            </w:pPr>
            <w:r>
              <w:t>46,2</w:t>
            </w:r>
          </w:p>
        </w:tc>
        <w:tc>
          <w:tcPr>
            <w:tcW w:w="853" w:type="dxa"/>
            <w:tcBorders>
              <w:top w:val="single" w:sz="12" w:space="0" w:color="auto"/>
            </w:tcBorders>
            <w:vAlign w:val="bottom"/>
          </w:tcPr>
          <w:p w:rsidR="00000000" w:rsidRDefault="00000000">
            <w:pPr>
              <w:pStyle w:val="table"/>
              <w:tabs>
                <w:tab w:val="decimal" w:pos="381"/>
              </w:tabs>
              <w:spacing w:line="180" w:lineRule="exact"/>
            </w:pPr>
            <w:r>
              <w:t>47,8</w:t>
            </w:r>
          </w:p>
        </w:tc>
        <w:tc>
          <w:tcPr>
            <w:tcW w:w="846" w:type="dxa"/>
            <w:tcBorders>
              <w:top w:val="single" w:sz="12" w:space="0" w:color="auto"/>
            </w:tcBorders>
            <w:vAlign w:val="bottom"/>
          </w:tcPr>
          <w:p w:rsidR="00000000" w:rsidRDefault="00000000">
            <w:pPr>
              <w:pStyle w:val="table"/>
              <w:tabs>
                <w:tab w:val="decimal" w:pos="381"/>
              </w:tabs>
              <w:spacing w:line="180" w:lineRule="exact"/>
            </w:pPr>
            <w:r>
              <w:t>48,0</w:t>
            </w:r>
          </w:p>
        </w:tc>
      </w:tr>
      <w:tr w:rsidR="00000000">
        <w:tblPrEx>
          <w:tblCellMar>
            <w:top w:w="0" w:type="dxa"/>
            <w:bottom w:w="0" w:type="dxa"/>
          </w:tblCellMar>
        </w:tblPrEx>
        <w:tc>
          <w:tcPr>
            <w:tcW w:w="2880" w:type="dxa"/>
          </w:tcPr>
          <w:p w:rsidR="00000000" w:rsidRDefault="00000000">
            <w:pPr>
              <w:pStyle w:val="table"/>
              <w:spacing w:line="180" w:lineRule="exact"/>
            </w:pPr>
            <w:r>
              <w:t>Языки, гуманитарные науки, спорт</w:t>
            </w:r>
          </w:p>
        </w:tc>
        <w:tc>
          <w:tcPr>
            <w:tcW w:w="853" w:type="dxa"/>
            <w:vAlign w:val="bottom"/>
          </w:tcPr>
          <w:p w:rsidR="00000000" w:rsidRDefault="00000000">
            <w:pPr>
              <w:pStyle w:val="table"/>
              <w:tabs>
                <w:tab w:val="decimal" w:pos="381"/>
              </w:tabs>
              <w:spacing w:line="180" w:lineRule="exact"/>
            </w:pPr>
            <w:r>
              <w:t>67,8</w:t>
            </w:r>
          </w:p>
        </w:tc>
        <w:tc>
          <w:tcPr>
            <w:tcW w:w="853" w:type="dxa"/>
            <w:vAlign w:val="bottom"/>
          </w:tcPr>
          <w:p w:rsidR="00000000" w:rsidRDefault="00000000">
            <w:pPr>
              <w:pStyle w:val="table"/>
              <w:tabs>
                <w:tab w:val="decimal" w:pos="381"/>
              </w:tabs>
              <w:spacing w:line="180" w:lineRule="exact"/>
            </w:pPr>
            <w:r>
              <w:t>69,7</w:t>
            </w:r>
          </w:p>
        </w:tc>
        <w:tc>
          <w:tcPr>
            <w:tcW w:w="853" w:type="dxa"/>
            <w:vAlign w:val="bottom"/>
          </w:tcPr>
          <w:p w:rsidR="00000000" w:rsidRDefault="00000000">
            <w:pPr>
              <w:pStyle w:val="table"/>
              <w:tabs>
                <w:tab w:val="decimal" w:pos="381"/>
              </w:tabs>
              <w:spacing w:line="180" w:lineRule="exact"/>
            </w:pPr>
            <w:r>
              <w:t>71,1</w:t>
            </w:r>
          </w:p>
        </w:tc>
        <w:tc>
          <w:tcPr>
            <w:tcW w:w="853" w:type="dxa"/>
            <w:vAlign w:val="bottom"/>
          </w:tcPr>
          <w:p w:rsidR="00000000" w:rsidRDefault="00000000">
            <w:pPr>
              <w:pStyle w:val="table"/>
              <w:tabs>
                <w:tab w:val="decimal" w:pos="381"/>
              </w:tabs>
              <w:spacing w:line="180" w:lineRule="exact"/>
            </w:pPr>
            <w:r>
              <w:t>71,8</w:t>
            </w:r>
          </w:p>
        </w:tc>
        <w:tc>
          <w:tcPr>
            <w:tcW w:w="853" w:type="dxa"/>
            <w:vAlign w:val="bottom"/>
          </w:tcPr>
          <w:p w:rsidR="00000000" w:rsidRDefault="00000000">
            <w:pPr>
              <w:pStyle w:val="table"/>
              <w:tabs>
                <w:tab w:val="decimal" w:pos="381"/>
              </w:tabs>
              <w:spacing w:line="180" w:lineRule="exact"/>
            </w:pPr>
            <w:r>
              <w:t>71,5</w:t>
            </w:r>
          </w:p>
        </w:tc>
        <w:tc>
          <w:tcPr>
            <w:tcW w:w="853" w:type="dxa"/>
            <w:vAlign w:val="bottom"/>
          </w:tcPr>
          <w:p w:rsidR="00000000" w:rsidRDefault="00000000">
            <w:pPr>
              <w:pStyle w:val="table"/>
              <w:tabs>
                <w:tab w:val="decimal" w:pos="381"/>
              </w:tabs>
              <w:spacing w:line="180" w:lineRule="exact"/>
            </w:pPr>
            <w:r>
              <w:t>73,2</w:t>
            </w:r>
          </w:p>
        </w:tc>
        <w:tc>
          <w:tcPr>
            <w:tcW w:w="853" w:type="dxa"/>
            <w:vAlign w:val="bottom"/>
          </w:tcPr>
          <w:p w:rsidR="00000000" w:rsidRDefault="00000000">
            <w:pPr>
              <w:pStyle w:val="table"/>
              <w:tabs>
                <w:tab w:val="decimal" w:pos="381"/>
              </w:tabs>
              <w:spacing w:line="180" w:lineRule="exact"/>
            </w:pPr>
            <w:r>
              <w:t>72,1</w:t>
            </w:r>
          </w:p>
        </w:tc>
        <w:tc>
          <w:tcPr>
            <w:tcW w:w="853" w:type="dxa"/>
            <w:vAlign w:val="bottom"/>
          </w:tcPr>
          <w:p w:rsidR="00000000" w:rsidRDefault="00000000">
            <w:pPr>
              <w:pStyle w:val="table"/>
              <w:tabs>
                <w:tab w:val="decimal" w:pos="381"/>
              </w:tabs>
              <w:spacing w:line="180" w:lineRule="exact"/>
            </w:pPr>
            <w:r>
              <w:t>71,7</w:t>
            </w:r>
          </w:p>
        </w:tc>
        <w:tc>
          <w:tcPr>
            <w:tcW w:w="853" w:type="dxa"/>
            <w:vAlign w:val="bottom"/>
          </w:tcPr>
          <w:p w:rsidR="00000000" w:rsidRDefault="00000000">
            <w:pPr>
              <w:pStyle w:val="table"/>
              <w:tabs>
                <w:tab w:val="decimal" w:pos="381"/>
              </w:tabs>
              <w:spacing w:line="180" w:lineRule="exact"/>
            </w:pPr>
            <w:r>
              <w:t>71,7</w:t>
            </w:r>
          </w:p>
        </w:tc>
        <w:tc>
          <w:tcPr>
            <w:tcW w:w="853" w:type="dxa"/>
            <w:vAlign w:val="bottom"/>
          </w:tcPr>
          <w:p w:rsidR="00000000" w:rsidRDefault="00000000">
            <w:pPr>
              <w:pStyle w:val="table"/>
              <w:tabs>
                <w:tab w:val="decimal" w:pos="381"/>
              </w:tabs>
              <w:spacing w:line="180" w:lineRule="exact"/>
            </w:pPr>
            <w:r>
              <w:t>72,7</w:t>
            </w:r>
          </w:p>
        </w:tc>
        <w:tc>
          <w:tcPr>
            <w:tcW w:w="846" w:type="dxa"/>
            <w:vAlign w:val="bottom"/>
          </w:tcPr>
          <w:p w:rsidR="00000000" w:rsidRDefault="00000000">
            <w:pPr>
              <w:pStyle w:val="table"/>
              <w:tabs>
                <w:tab w:val="decimal" w:pos="381"/>
              </w:tabs>
              <w:spacing w:line="180" w:lineRule="exact"/>
            </w:pPr>
            <w:r>
              <w:t>73,0</w:t>
            </w:r>
          </w:p>
        </w:tc>
      </w:tr>
      <w:tr w:rsidR="00000000">
        <w:tblPrEx>
          <w:tblCellMar>
            <w:top w:w="0" w:type="dxa"/>
            <w:bottom w:w="0" w:type="dxa"/>
          </w:tblCellMar>
        </w:tblPrEx>
        <w:tc>
          <w:tcPr>
            <w:tcW w:w="2880" w:type="dxa"/>
          </w:tcPr>
          <w:p w:rsidR="00000000" w:rsidRDefault="00000000">
            <w:pPr>
              <w:pStyle w:val="table"/>
              <w:spacing w:line="180" w:lineRule="exact"/>
            </w:pPr>
            <w:r>
              <w:t>Математика, естественные на</w:t>
            </w:r>
            <w:r>
              <w:t>у</w:t>
            </w:r>
            <w:r>
              <w:t>ки</w:t>
            </w:r>
          </w:p>
        </w:tc>
        <w:tc>
          <w:tcPr>
            <w:tcW w:w="853" w:type="dxa"/>
            <w:vAlign w:val="bottom"/>
          </w:tcPr>
          <w:p w:rsidR="00000000" w:rsidRDefault="00000000">
            <w:pPr>
              <w:pStyle w:val="table"/>
              <w:tabs>
                <w:tab w:val="decimal" w:pos="381"/>
              </w:tabs>
              <w:spacing w:line="180" w:lineRule="exact"/>
            </w:pPr>
            <w:r>
              <w:t>34,9</w:t>
            </w:r>
          </w:p>
        </w:tc>
        <w:tc>
          <w:tcPr>
            <w:tcW w:w="853" w:type="dxa"/>
            <w:vAlign w:val="bottom"/>
          </w:tcPr>
          <w:p w:rsidR="00000000" w:rsidRDefault="00000000">
            <w:pPr>
              <w:pStyle w:val="table"/>
              <w:tabs>
                <w:tab w:val="decimal" w:pos="381"/>
              </w:tabs>
              <w:spacing w:line="180" w:lineRule="exact"/>
            </w:pPr>
            <w:r>
              <w:t>35,6</w:t>
            </w:r>
          </w:p>
        </w:tc>
        <w:tc>
          <w:tcPr>
            <w:tcW w:w="853" w:type="dxa"/>
            <w:vAlign w:val="bottom"/>
          </w:tcPr>
          <w:p w:rsidR="00000000" w:rsidRDefault="00000000">
            <w:pPr>
              <w:pStyle w:val="table"/>
              <w:tabs>
                <w:tab w:val="decimal" w:pos="381"/>
              </w:tabs>
              <w:spacing w:line="180" w:lineRule="exact"/>
            </w:pPr>
            <w:r>
              <w:t>37,5</w:t>
            </w:r>
          </w:p>
        </w:tc>
        <w:tc>
          <w:tcPr>
            <w:tcW w:w="853" w:type="dxa"/>
            <w:vAlign w:val="bottom"/>
          </w:tcPr>
          <w:p w:rsidR="00000000" w:rsidRDefault="00000000">
            <w:pPr>
              <w:pStyle w:val="table"/>
              <w:tabs>
                <w:tab w:val="decimal" w:pos="381"/>
              </w:tabs>
              <w:spacing w:line="180" w:lineRule="exact"/>
            </w:pPr>
            <w:r>
              <w:t>39,2</w:t>
            </w:r>
          </w:p>
        </w:tc>
        <w:tc>
          <w:tcPr>
            <w:tcW w:w="853" w:type="dxa"/>
            <w:vAlign w:val="bottom"/>
          </w:tcPr>
          <w:p w:rsidR="00000000" w:rsidRDefault="00000000">
            <w:pPr>
              <w:pStyle w:val="table"/>
              <w:tabs>
                <w:tab w:val="decimal" w:pos="381"/>
              </w:tabs>
              <w:spacing w:line="180" w:lineRule="exact"/>
            </w:pPr>
            <w:r>
              <w:t>40,0</w:t>
            </w:r>
          </w:p>
        </w:tc>
        <w:tc>
          <w:tcPr>
            <w:tcW w:w="853" w:type="dxa"/>
            <w:vAlign w:val="bottom"/>
          </w:tcPr>
          <w:p w:rsidR="00000000" w:rsidRDefault="00000000">
            <w:pPr>
              <w:pStyle w:val="table"/>
              <w:tabs>
                <w:tab w:val="decimal" w:pos="381"/>
              </w:tabs>
              <w:spacing w:line="180" w:lineRule="exact"/>
            </w:pPr>
            <w:r>
              <w:t>43,8</w:t>
            </w:r>
          </w:p>
        </w:tc>
        <w:tc>
          <w:tcPr>
            <w:tcW w:w="853" w:type="dxa"/>
            <w:vAlign w:val="bottom"/>
          </w:tcPr>
          <w:p w:rsidR="00000000" w:rsidRDefault="00000000">
            <w:pPr>
              <w:pStyle w:val="table"/>
              <w:tabs>
                <w:tab w:val="decimal" w:pos="381"/>
              </w:tabs>
              <w:spacing w:line="180" w:lineRule="exact"/>
            </w:pPr>
            <w:r>
              <w:t>44,5</w:t>
            </w:r>
          </w:p>
        </w:tc>
        <w:tc>
          <w:tcPr>
            <w:tcW w:w="853" w:type="dxa"/>
            <w:vAlign w:val="bottom"/>
          </w:tcPr>
          <w:p w:rsidR="00000000" w:rsidRDefault="00000000">
            <w:pPr>
              <w:pStyle w:val="table"/>
              <w:tabs>
                <w:tab w:val="decimal" w:pos="381"/>
              </w:tabs>
              <w:spacing w:line="180" w:lineRule="exact"/>
            </w:pPr>
            <w:r>
              <w:t>43,6</w:t>
            </w:r>
          </w:p>
        </w:tc>
        <w:tc>
          <w:tcPr>
            <w:tcW w:w="853" w:type="dxa"/>
            <w:vAlign w:val="bottom"/>
          </w:tcPr>
          <w:p w:rsidR="00000000" w:rsidRDefault="00000000">
            <w:pPr>
              <w:pStyle w:val="table"/>
              <w:tabs>
                <w:tab w:val="decimal" w:pos="381"/>
              </w:tabs>
              <w:spacing w:line="180" w:lineRule="exact"/>
            </w:pPr>
            <w:r>
              <w:t>41,9</w:t>
            </w:r>
          </w:p>
        </w:tc>
        <w:tc>
          <w:tcPr>
            <w:tcW w:w="853" w:type="dxa"/>
            <w:vAlign w:val="bottom"/>
          </w:tcPr>
          <w:p w:rsidR="00000000" w:rsidRDefault="00000000">
            <w:pPr>
              <w:pStyle w:val="table"/>
              <w:tabs>
                <w:tab w:val="decimal" w:pos="381"/>
              </w:tabs>
              <w:spacing w:line="180" w:lineRule="exact"/>
            </w:pPr>
            <w:r>
              <w:t>42,0</w:t>
            </w:r>
          </w:p>
        </w:tc>
        <w:tc>
          <w:tcPr>
            <w:tcW w:w="846" w:type="dxa"/>
            <w:vAlign w:val="bottom"/>
          </w:tcPr>
          <w:p w:rsidR="00000000" w:rsidRDefault="00000000">
            <w:pPr>
              <w:pStyle w:val="table"/>
              <w:tabs>
                <w:tab w:val="decimal" w:pos="381"/>
              </w:tabs>
              <w:spacing w:line="180" w:lineRule="exact"/>
            </w:pPr>
            <w:r>
              <w:t>40,4</w:t>
            </w:r>
          </w:p>
        </w:tc>
      </w:tr>
      <w:tr w:rsidR="00000000">
        <w:tblPrEx>
          <w:tblCellMar>
            <w:top w:w="0" w:type="dxa"/>
            <w:bottom w:w="0" w:type="dxa"/>
          </w:tblCellMar>
        </w:tblPrEx>
        <w:tc>
          <w:tcPr>
            <w:tcW w:w="2880" w:type="dxa"/>
          </w:tcPr>
          <w:p w:rsidR="00000000" w:rsidRDefault="00000000">
            <w:pPr>
              <w:pStyle w:val="table"/>
              <w:spacing w:line="180" w:lineRule="exact"/>
            </w:pPr>
            <w:r>
              <w:t>Машиностроение</w:t>
            </w:r>
          </w:p>
        </w:tc>
        <w:tc>
          <w:tcPr>
            <w:tcW w:w="853" w:type="dxa"/>
            <w:vAlign w:val="bottom"/>
          </w:tcPr>
          <w:p w:rsidR="00000000" w:rsidRDefault="00000000">
            <w:pPr>
              <w:pStyle w:val="table"/>
              <w:tabs>
                <w:tab w:val="decimal" w:pos="381"/>
              </w:tabs>
              <w:spacing w:line="180" w:lineRule="exact"/>
            </w:pPr>
            <w:r>
              <w:t>12,7</w:t>
            </w:r>
          </w:p>
        </w:tc>
        <w:tc>
          <w:tcPr>
            <w:tcW w:w="853" w:type="dxa"/>
            <w:vAlign w:val="bottom"/>
          </w:tcPr>
          <w:p w:rsidR="00000000" w:rsidRDefault="00000000">
            <w:pPr>
              <w:pStyle w:val="table"/>
              <w:tabs>
                <w:tab w:val="decimal" w:pos="381"/>
              </w:tabs>
              <w:spacing w:line="180" w:lineRule="exact"/>
            </w:pPr>
            <w:r>
              <w:t>14,8</w:t>
            </w:r>
          </w:p>
        </w:tc>
        <w:tc>
          <w:tcPr>
            <w:tcW w:w="853" w:type="dxa"/>
            <w:vAlign w:val="bottom"/>
          </w:tcPr>
          <w:p w:rsidR="00000000" w:rsidRDefault="00000000">
            <w:pPr>
              <w:pStyle w:val="table"/>
              <w:tabs>
                <w:tab w:val="decimal" w:pos="381"/>
              </w:tabs>
              <w:spacing w:line="180" w:lineRule="exact"/>
            </w:pPr>
            <w:r>
              <w:t>16,7</w:t>
            </w:r>
          </w:p>
        </w:tc>
        <w:tc>
          <w:tcPr>
            <w:tcW w:w="853" w:type="dxa"/>
            <w:vAlign w:val="bottom"/>
          </w:tcPr>
          <w:p w:rsidR="00000000" w:rsidRDefault="00000000">
            <w:pPr>
              <w:pStyle w:val="table"/>
              <w:tabs>
                <w:tab w:val="decimal" w:pos="381"/>
              </w:tabs>
              <w:spacing w:line="180" w:lineRule="exact"/>
            </w:pPr>
            <w:r>
              <w:t>19,6</w:t>
            </w:r>
          </w:p>
        </w:tc>
        <w:tc>
          <w:tcPr>
            <w:tcW w:w="853" w:type="dxa"/>
            <w:vAlign w:val="bottom"/>
          </w:tcPr>
          <w:p w:rsidR="00000000" w:rsidRDefault="00000000">
            <w:pPr>
              <w:pStyle w:val="table"/>
              <w:tabs>
                <w:tab w:val="decimal" w:pos="381"/>
              </w:tabs>
              <w:spacing w:line="180" w:lineRule="exact"/>
            </w:pPr>
            <w:r>
              <w:t>20,3</w:t>
            </w:r>
          </w:p>
        </w:tc>
        <w:tc>
          <w:tcPr>
            <w:tcW w:w="853" w:type="dxa"/>
            <w:vAlign w:val="bottom"/>
          </w:tcPr>
          <w:p w:rsidR="00000000" w:rsidRDefault="00000000">
            <w:pPr>
              <w:pStyle w:val="table"/>
              <w:tabs>
                <w:tab w:val="decimal" w:pos="381"/>
              </w:tabs>
              <w:spacing w:line="180" w:lineRule="exact"/>
            </w:pPr>
            <w:r>
              <w:t>23,6</w:t>
            </w:r>
          </w:p>
        </w:tc>
        <w:tc>
          <w:tcPr>
            <w:tcW w:w="853" w:type="dxa"/>
            <w:vAlign w:val="bottom"/>
          </w:tcPr>
          <w:p w:rsidR="00000000" w:rsidRDefault="00000000">
            <w:pPr>
              <w:pStyle w:val="table"/>
              <w:tabs>
                <w:tab w:val="decimal" w:pos="381"/>
              </w:tabs>
              <w:spacing w:line="180" w:lineRule="exact"/>
            </w:pPr>
            <w:r>
              <w:t>23,6</w:t>
            </w:r>
          </w:p>
        </w:tc>
        <w:tc>
          <w:tcPr>
            <w:tcW w:w="853" w:type="dxa"/>
            <w:vAlign w:val="bottom"/>
          </w:tcPr>
          <w:p w:rsidR="00000000" w:rsidRDefault="00000000">
            <w:pPr>
              <w:pStyle w:val="table"/>
              <w:tabs>
                <w:tab w:val="decimal" w:pos="381"/>
              </w:tabs>
              <w:spacing w:line="180" w:lineRule="exact"/>
            </w:pPr>
            <w:r>
              <w:t>21,9</w:t>
            </w:r>
          </w:p>
        </w:tc>
        <w:tc>
          <w:tcPr>
            <w:tcW w:w="853" w:type="dxa"/>
            <w:vAlign w:val="bottom"/>
          </w:tcPr>
          <w:p w:rsidR="00000000" w:rsidRDefault="00000000">
            <w:pPr>
              <w:pStyle w:val="table"/>
              <w:tabs>
                <w:tab w:val="decimal" w:pos="381"/>
              </w:tabs>
              <w:spacing w:line="180" w:lineRule="exact"/>
            </w:pPr>
            <w:r>
              <w:t>21,7</w:t>
            </w:r>
          </w:p>
        </w:tc>
        <w:tc>
          <w:tcPr>
            <w:tcW w:w="853" w:type="dxa"/>
            <w:vAlign w:val="bottom"/>
          </w:tcPr>
          <w:p w:rsidR="00000000" w:rsidRDefault="00000000">
            <w:pPr>
              <w:pStyle w:val="table"/>
              <w:tabs>
                <w:tab w:val="decimal" w:pos="381"/>
              </w:tabs>
              <w:spacing w:line="180" w:lineRule="exact"/>
            </w:pPr>
            <w:r>
              <w:t>22,9</w:t>
            </w:r>
          </w:p>
        </w:tc>
        <w:tc>
          <w:tcPr>
            <w:tcW w:w="846" w:type="dxa"/>
            <w:vAlign w:val="bottom"/>
          </w:tcPr>
          <w:p w:rsidR="00000000" w:rsidRDefault="00000000">
            <w:pPr>
              <w:pStyle w:val="table"/>
              <w:tabs>
                <w:tab w:val="decimal" w:pos="381"/>
              </w:tabs>
              <w:spacing w:line="180" w:lineRule="exact"/>
            </w:pPr>
            <w:r>
              <w:t>22,7</w:t>
            </w:r>
          </w:p>
        </w:tc>
      </w:tr>
      <w:tr w:rsidR="00000000">
        <w:tblPrEx>
          <w:tblCellMar>
            <w:top w:w="0" w:type="dxa"/>
            <w:bottom w:w="0" w:type="dxa"/>
          </w:tblCellMar>
        </w:tblPrEx>
        <w:tc>
          <w:tcPr>
            <w:tcW w:w="2880" w:type="dxa"/>
          </w:tcPr>
          <w:p w:rsidR="00000000" w:rsidRDefault="00000000">
            <w:pPr>
              <w:pStyle w:val="table"/>
              <w:spacing w:line="180" w:lineRule="exact"/>
            </w:pPr>
            <w:r>
              <w:t>Медицина</w:t>
            </w:r>
          </w:p>
        </w:tc>
        <w:tc>
          <w:tcPr>
            <w:tcW w:w="853" w:type="dxa"/>
            <w:vAlign w:val="bottom"/>
          </w:tcPr>
          <w:p w:rsidR="00000000" w:rsidRDefault="00000000">
            <w:pPr>
              <w:pStyle w:val="table"/>
              <w:tabs>
                <w:tab w:val="decimal" w:pos="381"/>
              </w:tabs>
              <w:spacing w:line="180" w:lineRule="exact"/>
            </w:pPr>
            <w:r>
              <w:t>42,1</w:t>
            </w:r>
          </w:p>
        </w:tc>
        <w:tc>
          <w:tcPr>
            <w:tcW w:w="853" w:type="dxa"/>
            <w:vAlign w:val="bottom"/>
          </w:tcPr>
          <w:p w:rsidR="00000000" w:rsidRDefault="00000000">
            <w:pPr>
              <w:pStyle w:val="table"/>
              <w:tabs>
                <w:tab w:val="decimal" w:pos="381"/>
              </w:tabs>
              <w:spacing w:line="180" w:lineRule="exact"/>
            </w:pPr>
            <w:r>
              <w:t>49,7</w:t>
            </w:r>
          </w:p>
        </w:tc>
        <w:tc>
          <w:tcPr>
            <w:tcW w:w="853" w:type="dxa"/>
            <w:vAlign w:val="bottom"/>
          </w:tcPr>
          <w:p w:rsidR="00000000" w:rsidRDefault="00000000">
            <w:pPr>
              <w:pStyle w:val="table"/>
              <w:tabs>
                <w:tab w:val="decimal" w:pos="381"/>
              </w:tabs>
              <w:spacing w:line="180" w:lineRule="exact"/>
            </w:pPr>
            <w:r>
              <w:t>48,3</w:t>
            </w:r>
          </w:p>
        </w:tc>
        <w:tc>
          <w:tcPr>
            <w:tcW w:w="853" w:type="dxa"/>
            <w:vAlign w:val="bottom"/>
          </w:tcPr>
          <w:p w:rsidR="00000000" w:rsidRDefault="00000000">
            <w:pPr>
              <w:pStyle w:val="table"/>
              <w:tabs>
                <w:tab w:val="decimal" w:pos="381"/>
              </w:tabs>
              <w:spacing w:line="180" w:lineRule="exact"/>
            </w:pPr>
            <w:r>
              <w:t>49,7</w:t>
            </w:r>
          </w:p>
        </w:tc>
        <w:tc>
          <w:tcPr>
            <w:tcW w:w="853" w:type="dxa"/>
            <w:vAlign w:val="bottom"/>
          </w:tcPr>
          <w:p w:rsidR="00000000" w:rsidRDefault="00000000">
            <w:pPr>
              <w:pStyle w:val="table"/>
              <w:tabs>
                <w:tab w:val="decimal" w:pos="381"/>
              </w:tabs>
              <w:spacing w:line="180" w:lineRule="exact"/>
            </w:pPr>
            <w:r>
              <w:t>51,9</w:t>
            </w:r>
          </w:p>
        </w:tc>
        <w:tc>
          <w:tcPr>
            <w:tcW w:w="853" w:type="dxa"/>
            <w:vAlign w:val="bottom"/>
          </w:tcPr>
          <w:p w:rsidR="00000000" w:rsidRDefault="00000000">
            <w:pPr>
              <w:pStyle w:val="table"/>
              <w:tabs>
                <w:tab w:val="decimal" w:pos="381"/>
              </w:tabs>
              <w:spacing w:line="180" w:lineRule="exact"/>
            </w:pPr>
            <w:r>
              <w:t>55,4</w:t>
            </w:r>
          </w:p>
        </w:tc>
        <w:tc>
          <w:tcPr>
            <w:tcW w:w="853" w:type="dxa"/>
            <w:vAlign w:val="bottom"/>
          </w:tcPr>
          <w:p w:rsidR="00000000" w:rsidRDefault="00000000">
            <w:pPr>
              <w:pStyle w:val="table"/>
              <w:tabs>
                <w:tab w:val="decimal" w:pos="381"/>
              </w:tabs>
              <w:spacing w:line="180" w:lineRule="exact"/>
            </w:pPr>
            <w:r>
              <w:t>52,9</w:t>
            </w:r>
          </w:p>
        </w:tc>
        <w:tc>
          <w:tcPr>
            <w:tcW w:w="853" w:type="dxa"/>
            <w:vAlign w:val="bottom"/>
          </w:tcPr>
          <w:p w:rsidR="00000000" w:rsidRDefault="00000000">
            <w:pPr>
              <w:pStyle w:val="table"/>
              <w:tabs>
                <w:tab w:val="decimal" w:pos="381"/>
              </w:tabs>
              <w:spacing w:line="180" w:lineRule="exact"/>
            </w:pPr>
            <w:r>
              <w:t>53,3</w:t>
            </w:r>
          </w:p>
        </w:tc>
        <w:tc>
          <w:tcPr>
            <w:tcW w:w="853" w:type="dxa"/>
            <w:vAlign w:val="bottom"/>
          </w:tcPr>
          <w:p w:rsidR="00000000" w:rsidRDefault="00000000">
            <w:pPr>
              <w:pStyle w:val="table"/>
              <w:tabs>
                <w:tab w:val="decimal" w:pos="381"/>
              </w:tabs>
              <w:spacing w:line="180" w:lineRule="exact"/>
            </w:pPr>
            <w:r>
              <w:t>56,5</w:t>
            </w:r>
          </w:p>
        </w:tc>
        <w:tc>
          <w:tcPr>
            <w:tcW w:w="853" w:type="dxa"/>
            <w:vAlign w:val="bottom"/>
          </w:tcPr>
          <w:p w:rsidR="00000000" w:rsidRDefault="00000000">
            <w:pPr>
              <w:pStyle w:val="table"/>
              <w:tabs>
                <w:tab w:val="decimal" w:pos="381"/>
              </w:tabs>
              <w:spacing w:line="180" w:lineRule="exact"/>
            </w:pPr>
            <w:r>
              <w:t>57,9</w:t>
            </w:r>
          </w:p>
        </w:tc>
        <w:tc>
          <w:tcPr>
            <w:tcW w:w="846" w:type="dxa"/>
            <w:vAlign w:val="bottom"/>
          </w:tcPr>
          <w:p w:rsidR="00000000" w:rsidRDefault="00000000">
            <w:pPr>
              <w:pStyle w:val="table"/>
              <w:tabs>
                <w:tab w:val="decimal" w:pos="381"/>
              </w:tabs>
              <w:spacing w:line="180" w:lineRule="exact"/>
            </w:pPr>
            <w:r>
              <w:t>63,6</w:t>
            </w:r>
          </w:p>
        </w:tc>
      </w:tr>
      <w:tr w:rsidR="00000000">
        <w:tblPrEx>
          <w:tblCellMar>
            <w:top w:w="0" w:type="dxa"/>
            <w:bottom w:w="0" w:type="dxa"/>
          </w:tblCellMar>
        </w:tblPrEx>
        <w:tc>
          <w:tcPr>
            <w:tcW w:w="2880" w:type="dxa"/>
          </w:tcPr>
          <w:p w:rsidR="00000000" w:rsidRDefault="00000000">
            <w:pPr>
              <w:pStyle w:val="table"/>
              <w:spacing w:line="180" w:lineRule="exact"/>
            </w:pPr>
            <w:r>
              <w:t>Ветеринария</w:t>
            </w:r>
          </w:p>
        </w:tc>
        <w:tc>
          <w:tcPr>
            <w:tcW w:w="853" w:type="dxa"/>
            <w:vAlign w:val="bottom"/>
          </w:tcPr>
          <w:p w:rsidR="00000000" w:rsidRDefault="00000000">
            <w:pPr>
              <w:pStyle w:val="table"/>
              <w:tabs>
                <w:tab w:val="decimal" w:pos="381"/>
              </w:tabs>
              <w:spacing w:line="180" w:lineRule="exact"/>
            </w:pPr>
            <w:r>
              <w:t>74,4</w:t>
            </w:r>
          </w:p>
        </w:tc>
        <w:tc>
          <w:tcPr>
            <w:tcW w:w="853" w:type="dxa"/>
            <w:vAlign w:val="bottom"/>
          </w:tcPr>
          <w:p w:rsidR="00000000" w:rsidRDefault="00000000">
            <w:pPr>
              <w:pStyle w:val="table"/>
              <w:tabs>
                <w:tab w:val="decimal" w:pos="381"/>
              </w:tabs>
              <w:spacing w:line="180" w:lineRule="exact"/>
            </w:pPr>
            <w:r>
              <w:t>76,7</w:t>
            </w:r>
          </w:p>
        </w:tc>
        <w:tc>
          <w:tcPr>
            <w:tcW w:w="853" w:type="dxa"/>
            <w:vAlign w:val="bottom"/>
          </w:tcPr>
          <w:p w:rsidR="00000000" w:rsidRDefault="00000000">
            <w:pPr>
              <w:pStyle w:val="table"/>
              <w:tabs>
                <w:tab w:val="decimal" w:pos="381"/>
              </w:tabs>
              <w:spacing w:line="180" w:lineRule="exact"/>
            </w:pPr>
            <w:r>
              <w:t>78,0</w:t>
            </w:r>
          </w:p>
        </w:tc>
        <w:tc>
          <w:tcPr>
            <w:tcW w:w="853" w:type="dxa"/>
            <w:vAlign w:val="bottom"/>
          </w:tcPr>
          <w:p w:rsidR="00000000" w:rsidRDefault="00000000">
            <w:pPr>
              <w:pStyle w:val="table"/>
              <w:tabs>
                <w:tab w:val="decimal" w:pos="381"/>
              </w:tabs>
              <w:spacing w:line="180" w:lineRule="exact"/>
            </w:pPr>
            <w:r>
              <w:t>82,0</w:t>
            </w:r>
          </w:p>
        </w:tc>
        <w:tc>
          <w:tcPr>
            <w:tcW w:w="853" w:type="dxa"/>
            <w:vAlign w:val="bottom"/>
          </w:tcPr>
          <w:p w:rsidR="00000000" w:rsidRDefault="00000000">
            <w:pPr>
              <w:pStyle w:val="table"/>
              <w:tabs>
                <w:tab w:val="decimal" w:pos="381"/>
              </w:tabs>
              <w:spacing w:line="180" w:lineRule="exact"/>
            </w:pPr>
            <w:r>
              <w:t>78,3</w:t>
            </w:r>
          </w:p>
        </w:tc>
        <w:tc>
          <w:tcPr>
            <w:tcW w:w="853" w:type="dxa"/>
            <w:vAlign w:val="bottom"/>
          </w:tcPr>
          <w:p w:rsidR="00000000" w:rsidRDefault="00000000">
            <w:pPr>
              <w:pStyle w:val="table"/>
              <w:tabs>
                <w:tab w:val="decimal" w:pos="381"/>
              </w:tabs>
              <w:spacing w:line="180" w:lineRule="exact"/>
            </w:pPr>
            <w:r>
              <w:t>80,9</w:t>
            </w:r>
          </w:p>
        </w:tc>
        <w:tc>
          <w:tcPr>
            <w:tcW w:w="853" w:type="dxa"/>
            <w:vAlign w:val="bottom"/>
          </w:tcPr>
          <w:p w:rsidR="00000000" w:rsidRDefault="00000000">
            <w:pPr>
              <w:pStyle w:val="table"/>
              <w:tabs>
                <w:tab w:val="decimal" w:pos="381"/>
              </w:tabs>
              <w:spacing w:line="180" w:lineRule="exact"/>
            </w:pPr>
            <w:r>
              <w:t>78,0</w:t>
            </w:r>
          </w:p>
        </w:tc>
        <w:tc>
          <w:tcPr>
            <w:tcW w:w="853" w:type="dxa"/>
            <w:vAlign w:val="bottom"/>
          </w:tcPr>
          <w:p w:rsidR="00000000" w:rsidRDefault="00000000">
            <w:pPr>
              <w:pStyle w:val="table"/>
              <w:tabs>
                <w:tab w:val="decimal" w:pos="381"/>
              </w:tabs>
              <w:spacing w:line="180" w:lineRule="exact"/>
            </w:pPr>
            <w:r>
              <w:t>80,5</w:t>
            </w:r>
          </w:p>
        </w:tc>
        <w:tc>
          <w:tcPr>
            <w:tcW w:w="853" w:type="dxa"/>
            <w:vAlign w:val="bottom"/>
          </w:tcPr>
          <w:p w:rsidR="00000000" w:rsidRDefault="00000000">
            <w:pPr>
              <w:pStyle w:val="table"/>
              <w:tabs>
                <w:tab w:val="decimal" w:pos="381"/>
              </w:tabs>
              <w:spacing w:line="180" w:lineRule="exact"/>
            </w:pPr>
            <w:r>
              <w:t>82,1</w:t>
            </w:r>
          </w:p>
        </w:tc>
        <w:tc>
          <w:tcPr>
            <w:tcW w:w="853" w:type="dxa"/>
            <w:vAlign w:val="bottom"/>
          </w:tcPr>
          <w:p w:rsidR="00000000" w:rsidRDefault="00000000">
            <w:pPr>
              <w:pStyle w:val="table"/>
              <w:tabs>
                <w:tab w:val="decimal" w:pos="381"/>
              </w:tabs>
              <w:spacing w:line="180" w:lineRule="exact"/>
            </w:pPr>
            <w:r>
              <w:t>88,0</w:t>
            </w:r>
          </w:p>
        </w:tc>
        <w:tc>
          <w:tcPr>
            <w:tcW w:w="846" w:type="dxa"/>
            <w:vAlign w:val="bottom"/>
          </w:tcPr>
          <w:p w:rsidR="00000000" w:rsidRDefault="00000000">
            <w:pPr>
              <w:pStyle w:val="table"/>
              <w:tabs>
                <w:tab w:val="decimal" w:pos="381"/>
              </w:tabs>
              <w:spacing w:line="180" w:lineRule="exact"/>
            </w:pPr>
            <w:r>
              <w:t>85,4</w:t>
            </w:r>
          </w:p>
        </w:tc>
      </w:tr>
      <w:tr w:rsidR="00000000">
        <w:tblPrEx>
          <w:tblCellMar>
            <w:top w:w="0" w:type="dxa"/>
            <w:bottom w:w="0" w:type="dxa"/>
          </w:tblCellMar>
        </w:tblPrEx>
        <w:tc>
          <w:tcPr>
            <w:tcW w:w="2880" w:type="dxa"/>
          </w:tcPr>
          <w:p w:rsidR="00000000" w:rsidRDefault="00000000">
            <w:pPr>
              <w:pStyle w:val="table"/>
              <w:spacing w:line="180" w:lineRule="exact"/>
            </w:pPr>
            <w:r>
              <w:t>Искусство, эстетика и ист</w:t>
            </w:r>
            <w:r>
              <w:t>о</w:t>
            </w:r>
            <w:r>
              <w:t>рия</w:t>
            </w:r>
          </w:p>
        </w:tc>
        <w:tc>
          <w:tcPr>
            <w:tcW w:w="853" w:type="dxa"/>
            <w:vAlign w:val="bottom"/>
          </w:tcPr>
          <w:p w:rsidR="00000000" w:rsidRDefault="00000000">
            <w:pPr>
              <w:pStyle w:val="table"/>
              <w:tabs>
                <w:tab w:val="decimal" w:pos="381"/>
              </w:tabs>
              <w:spacing w:line="180" w:lineRule="exact"/>
            </w:pPr>
            <w:r>
              <w:t>68,2</w:t>
            </w:r>
          </w:p>
        </w:tc>
        <w:tc>
          <w:tcPr>
            <w:tcW w:w="853" w:type="dxa"/>
            <w:vAlign w:val="bottom"/>
          </w:tcPr>
          <w:p w:rsidR="00000000" w:rsidRDefault="00000000">
            <w:pPr>
              <w:pStyle w:val="table"/>
              <w:tabs>
                <w:tab w:val="decimal" w:pos="381"/>
              </w:tabs>
              <w:spacing w:line="180" w:lineRule="exact"/>
            </w:pPr>
            <w:r>
              <w:t>69,4</w:t>
            </w:r>
          </w:p>
        </w:tc>
        <w:tc>
          <w:tcPr>
            <w:tcW w:w="853" w:type="dxa"/>
            <w:vAlign w:val="bottom"/>
          </w:tcPr>
          <w:p w:rsidR="00000000" w:rsidRDefault="00000000">
            <w:pPr>
              <w:pStyle w:val="table"/>
              <w:tabs>
                <w:tab w:val="decimal" w:pos="381"/>
              </w:tabs>
              <w:spacing w:line="180" w:lineRule="exact"/>
            </w:pPr>
            <w:r>
              <w:t>71,4</w:t>
            </w:r>
          </w:p>
        </w:tc>
        <w:tc>
          <w:tcPr>
            <w:tcW w:w="853" w:type="dxa"/>
            <w:vAlign w:val="bottom"/>
          </w:tcPr>
          <w:p w:rsidR="00000000" w:rsidRDefault="00000000">
            <w:pPr>
              <w:pStyle w:val="table"/>
              <w:tabs>
                <w:tab w:val="decimal" w:pos="381"/>
              </w:tabs>
              <w:spacing w:line="180" w:lineRule="exact"/>
            </w:pPr>
            <w:r>
              <w:t>70,9</w:t>
            </w:r>
          </w:p>
        </w:tc>
        <w:tc>
          <w:tcPr>
            <w:tcW w:w="853" w:type="dxa"/>
            <w:vAlign w:val="bottom"/>
          </w:tcPr>
          <w:p w:rsidR="00000000" w:rsidRDefault="00000000">
            <w:pPr>
              <w:pStyle w:val="table"/>
              <w:tabs>
                <w:tab w:val="decimal" w:pos="381"/>
              </w:tabs>
              <w:spacing w:line="180" w:lineRule="exact"/>
            </w:pPr>
            <w:r>
              <w:t>73,8</w:t>
            </w:r>
          </w:p>
        </w:tc>
        <w:tc>
          <w:tcPr>
            <w:tcW w:w="853" w:type="dxa"/>
            <w:vAlign w:val="bottom"/>
          </w:tcPr>
          <w:p w:rsidR="00000000" w:rsidRDefault="00000000">
            <w:pPr>
              <w:pStyle w:val="table"/>
              <w:tabs>
                <w:tab w:val="decimal" w:pos="381"/>
              </w:tabs>
              <w:spacing w:line="180" w:lineRule="exact"/>
            </w:pPr>
            <w:r>
              <w:t>72,4</w:t>
            </w:r>
          </w:p>
        </w:tc>
        <w:tc>
          <w:tcPr>
            <w:tcW w:w="853" w:type="dxa"/>
            <w:vAlign w:val="bottom"/>
          </w:tcPr>
          <w:p w:rsidR="00000000" w:rsidRDefault="00000000">
            <w:pPr>
              <w:pStyle w:val="table"/>
              <w:tabs>
                <w:tab w:val="decimal" w:pos="381"/>
              </w:tabs>
              <w:spacing w:line="180" w:lineRule="exact"/>
            </w:pPr>
            <w:r>
              <w:t>72,5</w:t>
            </w:r>
          </w:p>
        </w:tc>
        <w:tc>
          <w:tcPr>
            <w:tcW w:w="853" w:type="dxa"/>
            <w:vAlign w:val="bottom"/>
          </w:tcPr>
          <w:p w:rsidR="00000000" w:rsidRDefault="00000000">
            <w:pPr>
              <w:pStyle w:val="table"/>
              <w:tabs>
                <w:tab w:val="decimal" w:pos="381"/>
              </w:tabs>
              <w:spacing w:line="180" w:lineRule="exact"/>
            </w:pPr>
            <w:r>
              <w:t>72,2</w:t>
            </w:r>
          </w:p>
        </w:tc>
        <w:tc>
          <w:tcPr>
            <w:tcW w:w="853" w:type="dxa"/>
            <w:vAlign w:val="bottom"/>
          </w:tcPr>
          <w:p w:rsidR="00000000" w:rsidRDefault="00000000">
            <w:pPr>
              <w:pStyle w:val="table"/>
              <w:tabs>
                <w:tab w:val="decimal" w:pos="381"/>
              </w:tabs>
              <w:spacing w:line="180" w:lineRule="exact"/>
            </w:pPr>
            <w:r>
              <w:t>71,5</w:t>
            </w:r>
          </w:p>
        </w:tc>
        <w:tc>
          <w:tcPr>
            <w:tcW w:w="853" w:type="dxa"/>
            <w:vAlign w:val="bottom"/>
          </w:tcPr>
          <w:p w:rsidR="00000000" w:rsidRDefault="00000000">
            <w:pPr>
              <w:pStyle w:val="table"/>
              <w:tabs>
                <w:tab w:val="decimal" w:pos="381"/>
              </w:tabs>
              <w:spacing w:line="180" w:lineRule="exact"/>
            </w:pPr>
            <w:r>
              <w:t>74,5</w:t>
            </w:r>
          </w:p>
        </w:tc>
        <w:tc>
          <w:tcPr>
            <w:tcW w:w="846" w:type="dxa"/>
            <w:vAlign w:val="bottom"/>
          </w:tcPr>
          <w:p w:rsidR="00000000" w:rsidRDefault="00000000">
            <w:pPr>
              <w:pStyle w:val="table"/>
              <w:tabs>
                <w:tab w:val="decimal" w:pos="381"/>
              </w:tabs>
              <w:spacing w:line="180" w:lineRule="exact"/>
            </w:pPr>
            <w:r>
              <w:t>74,9</w:t>
            </w:r>
          </w:p>
        </w:tc>
      </w:tr>
      <w:tr w:rsidR="00000000">
        <w:tblPrEx>
          <w:tblCellMar>
            <w:top w:w="0" w:type="dxa"/>
            <w:bottom w:w="0" w:type="dxa"/>
          </w:tblCellMar>
        </w:tblPrEx>
        <w:tc>
          <w:tcPr>
            <w:tcW w:w="2880" w:type="dxa"/>
          </w:tcPr>
          <w:p w:rsidR="00000000" w:rsidRDefault="00000000">
            <w:pPr>
              <w:pStyle w:val="table"/>
              <w:spacing w:line="180" w:lineRule="exact"/>
            </w:pPr>
            <w:r>
              <w:t>Сельское хозяйство / лесное хозя</w:t>
            </w:r>
            <w:r>
              <w:t>й</w:t>
            </w:r>
            <w:r>
              <w:t>ство /питание</w:t>
            </w:r>
          </w:p>
        </w:tc>
        <w:tc>
          <w:tcPr>
            <w:tcW w:w="853" w:type="dxa"/>
            <w:vAlign w:val="bottom"/>
          </w:tcPr>
          <w:p w:rsidR="00000000" w:rsidRDefault="00000000">
            <w:pPr>
              <w:pStyle w:val="table"/>
              <w:tabs>
                <w:tab w:val="decimal" w:pos="381"/>
              </w:tabs>
              <w:spacing w:line="180" w:lineRule="exact"/>
            </w:pPr>
            <w:r>
              <w:t>49,9</w:t>
            </w:r>
          </w:p>
        </w:tc>
        <w:tc>
          <w:tcPr>
            <w:tcW w:w="853" w:type="dxa"/>
            <w:vAlign w:val="bottom"/>
          </w:tcPr>
          <w:p w:rsidR="00000000" w:rsidRDefault="00000000">
            <w:pPr>
              <w:pStyle w:val="table"/>
              <w:tabs>
                <w:tab w:val="decimal" w:pos="381"/>
              </w:tabs>
              <w:spacing w:line="180" w:lineRule="exact"/>
            </w:pPr>
            <w:r>
              <w:t>51,8</w:t>
            </w:r>
          </w:p>
        </w:tc>
        <w:tc>
          <w:tcPr>
            <w:tcW w:w="853" w:type="dxa"/>
            <w:vAlign w:val="bottom"/>
          </w:tcPr>
          <w:p w:rsidR="00000000" w:rsidRDefault="00000000">
            <w:pPr>
              <w:pStyle w:val="table"/>
              <w:tabs>
                <w:tab w:val="decimal" w:pos="381"/>
              </w:tabs>
              <w:spacing w:line="180" w:lineRule="exact"/>
            </w:pPr>
            <w:r>
              <w:t>54,1</w:t>
            </w:r>
          </w:p>
        </w:tc>
        <w:tc>
          <w:tcPr>
            <w:tcW w:w="853" w:type="dxa"/>
            <w:vAlign w:val="bottom"/>
          </w:tcPr>
          <w:p w:rsidR="00000000" w:rsidRDefault="00000000">
            <w:pPr>
              <w:pStyle w:val="table"/>
              <w:tabs>
                <w:tab w:val="decimal" w:pos="381"/>
              </w:tabs>
              <w:spacing w:line="180" w:lineRule="exact"/>
            </w:pPr>
            <w:r>
              <w:t>54,5</w:t>
            </w:r>
          </w:p>
        </w:tc>
        <w:tc>
          <w:tcPr>
            <w:tcW w:w="853" w:type="dxa"/>
            <w:vAlign w:val="bottom"/>
          </w:tcPr>
          <w:p w:rsidR="00000000" w:rsidRDefault="00000000">
            <w:pPr>
              <w:pStyle w:val="table"/>
              <w:tabs>
                <w:tab w:val="decimal" w:pos="381"/>
              </w:tabs>
              <w:spacing w:line="180" w:lineRule="exact"/>
            </w:pPr>
            <w:r>
              <w:t>56,2</w:t>
            </w:r>
          </w:p>
        </w:tc>
        <w:tc>
          <w:tcPr>
            <w:tcW w:w="853" w:type="dxa"/>
            <w:vAlign w:val="bottom"/>
          </w:tcPr>
          <w:p w:rsidR="00000000" w:rsidRDefault="00000000">
            <w:pPr>
              <w:pStyle w:val="table"/>
              <w:tabs>
                <w:tab w:val="decimal" w:pos="381"/>
              </w:tabs>
              <w:spacing w:line="180" w:lineRule="exact"/>
            </w:pPr>
            <w:r>
              <w:t>57,9</w:t>
            </w:r>
          </w:p>
        </w:tc>
        <w:tc>
          <w:tcPr>
            <w:tcW w:w="853" w:type="dxa"/>
            <w:vAlign w:val="bottom"/>
          </w:tcPr>
          <w:p w:rsidR="00000000" w:rsidRDefault="00000000">
            <w:pPr>
              <w:pStyle w:val="table"/>
              <w:tabs>
                <w:tab w:val="decimal" w:pos="381"/>
              </w:tabs>
              <w:spacing w:line="180" w:lineRule="exact"/>
            </w:pPr>
            <w:r>
              <w:t>60,7</w:t>
            </w:r>
          </w:p>
        </w:tc>
        <w:tc>
          <w:tcPr>
            <w:tcW w:w="853" w:type="dxa"/>
            <w:vAlign w:val="bottom"/>
          </w:tcPr>
          <w:p w:rsidR="00000000" w:rsidRDefault="00000000">
            <w:pPr>
              <w:pStyle w:val="table"/>
              <w:tabs>
                <w:tab w:val="decimal" w:pos="381"/>
              </w:tabs>
              <w:spacing w:line="180" w:lineRule="exact"/>
            </w:pPr>
            <w:r>
              <w:t>59,3</w:t>
            </w:r>
          </w:p>
        </w:tc>
        <w:tc>
          <w:tcPr>
            <w:tcW w:w="853" w:type="dxa"/>
            <w:vAlign w:val="bottom"/>
          </w:tcPr>
          <w:p w:rsidR="00000000" w:rsidRDefault="00000000">
            <w:pPr>
              <w:pStyle w:val="table"/>
              <w:tabs>
                <w:tab w:val="decimal" w:pos="381"/>
              </w:tabs>
              <w:spacing w:line="180" w:lineRule="exact"/>
            </w:pPr>
            <w:r>
              <w:t>61,5</w:t>
            </w:r>
          </w:p>
        </w:tc>
        <w:tc>
          <w:tcPr>
            <w:tcW w:w="853" w:type="dxa"/>
            <w:vAlign w:val="bottom"/>
          </w:tcPr>
          <w:p w:rsidR="00000000" w:rsidRDefault="00000000">
            <w:pPr>
              <w:pStyle w:val="table"/>
              <w:tabs>
                <w:tab w:val="decimal" w:pos="381"/>
              </w:tabs>
              <w:spacing w:line="180" w:lineRule="exact"/>
            </w:pPr>
            <w:r>
              <w:t>62,7</w:t>
            </w:r>
          </w:p>
        </w:tc>
        <w:tc>
          <w:tcPr>
            <w:tcW w:w="846" w:type="dxa"/>
            <w:vAlign w:val="bottom"/>
          </w:tcPr>
          <w:p w:rsidR="00000000" w:rsidRDefault="00000000">
            <w:pPr>
              <w:pStyle w:val="table"/>
              <w:tabs>
                <w:tab w:val="decimal" w:pos="381"/>
              </w:tabs>
              <w:spacing w:line="180" w:lineRule="exact"/>
            </w:pPr>
            <w:r>
              <w:t>61,2</w:t>
            </w:r>
          </w:p>
        </w:tc>
      </w:tr>
      <w:tr w:rsidR="00000000">
        <w:tblPrEx>
          <w:tblCellMar>
            <w:top w:w="0" w:type="dxa"/>
            <w:bottom w:w="0" w:type="dxa"/>
          </w:tblCellMar>
        </w:tblPrEx>
        <w:tc>
          <w:tcPr>
            <w:tcW w:w="2880" w:type="dxa"/>
            <w:tcBorders>
              <w:bottom w:val="single" w:sz="12" w:space="0" w:color="auto"/>
            </w:tcBorders>
          </w:tcPr>
          <w:p w:rsidR="00000000" w:rsidRDefault="00000000">
            <w:pPr>
              <w:pStyle w:val="table"/>
              <w:spacing w:line="180" w:lineRule="exact"/>
            </w:pPr>
            <w:r>
              <w:t>Всего в университетах</w:t>
            </w:r>
          </w:p>
        </w:tc>
        <w:tc>
          <w:tcPr>
            <w:tcW w:w="853" w:type="dxa"/>
            <w:tcBorders>
              <w:bottom w:val="single" w:sz="12" w:space="0" w:color="auto"/>
            </w:tcBorders>
            <w:vAlign w:val="bottom"/>
          </w:tcPr>
          <w:p w:rsidR="00000000" w:rsidRDefault="00000000">
            <w:pPr>
              <w:pStyle w:val="table"/>
              <w:tabs>
                <w:tab w:val="decimal" w:pos="381"/>
              </w:tabs>
              <w:spacing w:line="180" w:lineRule="exact"/>
            </w:pPr>
            <w:r>
              <w:t>42,2</w:t>
            </w:r>
          </w:p>
        </w:tc>
        <w:tc>
          <w:tcPr>
            <w:tcW w:w="853" w:type="dxa"/>
            <w:tcBorders>
              <w:bottom w:val="single" w:sz="12" w:space="0" w:color="auto"/>
            </w:tcBorders>
            <w:vAlign w:val="bottom"/>
          </w:tcPr>
          <w:p w:rsidR="00000000" w:rsidRDefault="00000000">
            <w:pPr>
              <w:pStyle w:val="table"/>
              <w:tabs>
                <w:tab w:val="decimal" w:pos="381"/>
              </w:tabs>
              <w:spacing w:line="180" w:lineRule="exact"/>
            </w:pPr>
            <w:r>
              <w:t>44,7</w:t>
            </w:r>
          </w:p>
        </w:tc>
        <w:tc>
          <w:tcPr>
            <w:tcW w:w="853" w:type="dxa"/>
            <w:tcBorders>
              <w:bottom w:val="single" w:sz="12" w:space="0" w:color="auto"/>
            </w:tcBorders>
            <w:vAlign w:val="bottom"/>
          </w:tcPr>
          <w:p w:rsidR="00000000" w:rsidRDefault="00000000">
            <w:pPr>
              <w:pStyle w:val="table"/>
              <w:tabs>
                <w:tab w:val="decimal" w:pos="381"/>
              </w:tabs>
              <w:spacing w:line="180" w:lineRule="exact"/>
            </w:pPr>
            <w:r>
              <w:t>46,4</w:t>
            </w:r>
          </w:p>
        </w:tc>
        <w:tc>
          <w:tcPr>
            <w:tcW w:w="853" w:type="dxa"/>
            <w:tcBorders>
              <w:bottom w:val="single" w:sz="12" w:space="0" w:color="auto"/>
            </w:tcBorders>
            <w:vAlign w:val="bottom"/>
          </w:tcPr>
          <w:p w:rsidR="00000000" w:rsidRDefault="00000000">
            <w:pPr>
              <w:pStyle w:val="table"/>
              <w:tabs>
                <w:tab w:val="decimal" w:pos="381"/>
              </w:tabs>
              <w:spacing w:line="180" w:lineRule="exact"/>
            </w:pPr>
            <w:r>
              <w:t>48,8</w:t>
            </w:r>
          </w:p>
        </w:tc>
        <w:tc>
          <w:tcPr>
            <w:tcW w:w="853" w:type="dxa"/>
            <w:tcBorders>
              <w:bottom w:val="single" w:sz="12" w:space="0" w:color="auto"/>
            </w:tcBorders>
            <w:vAlign w:val="bottom"/>
          </w:tcPr>
          <w:p w:rsidR="00000000" w:rsidRDefault="00000000">
            <w:pPr>
              <w:pStyle w:val="table"/>
              <w:tabs>
                <w:tab w:val="decimal" w:pos="381"/>
              </w:tabs>
              <w:spacing w:line="180" w:lineRule="exact"/>
            </w:pPr>
            <w:r>
              <w:t>49,4</w:t>
            </w:r>
          </w:p>
        </w:tc>
        <w:tc>
          <w:tcPr>
            <w:tcW w:w="853" w:type="dxa"/>
            <w:tcBorders>
              <w:bottom w:val="single" w:sz="12" w:space="0" w:color="auto"/>
            </w:tcBorders>
            <w:vAlign w:val="bottom"/>
          </w:tcPr>
          <w:p w:rsidR="00000000" w:rsidRDefault="00000000">
            <w:pPr>
              <w:pStyle w:val="table"/>
              <w:tabs>
                <w:tab w:val="decimal" w:pos="381"/>
              </w:tabs>
              <w:spacing w:line="180" w:lineRule="exact"/>
            </w:pPr>
            <w:r>
              <w:t>52,7</w:t>
            </w:r>
          </w:p>
        </w:tc>
        <w:tc>
          <w:tcPr>
            <w:tcW w:w="853" w:type="dxa"/>
            <w:tcBorders>
              <w:bottom w:val="single" w:sz="12" w:space="0" w:color="auto"/>
            </w:tcBorders>
            <w:vAlign w:val="bottom"/>
          </w:tcPr>
          <w:p w:rsidR="00000000" w:rsidRDefault="00000000">
            <w:pPr>
              <w:pStyle w:val="table"/>
              <w:tabs>
                <w:tab w:val="decimal" w:pos="381"/>
              </w:tabs>
              <w:spacing w:line="180" w:lineRule="exact"/>
            </w:pPr>
            <w:r>
              <w:t>52,6</w:t>
            </w:r>
          </w:p>
        </w:tc>
        <w:tc>
          <w:tcPr>
            <w:tcW w:w="853" w:type="dxa"/>
            <w:tcBorders>
              <w:bottom w:val="single" w:sz="12" w:space="0" w:color="auto"/>
            </w:tcBorders>
            <w:vAlign w:val="bottom"/>
          </w:tcPr>
          <w:p w:rsidR="00000000" w:rsidRDefault="00000000">
            <w:pPr>
              <w:pStyle w:val="table"/>
              <w:tabs>
                <w:tab w:val="decimal" w:pos="381"/>
              </w:tabs>
              <w:spacing w:line="180" w:lineRule="exact"/>
            </w:pPr>
            <w:r>
              <w:t>51,9</w:t>
            </w:r>
          </w:p>
        </w:tc>
        <w:tc>
          <w:tcPr>
            <w:tcW w:w="853" w:type="dxa"/>
            <w:tcBorders>
              <w:bottom w:val="single" w:sz="12" w:space="0" w:color="auto"/>
            </w:tcBorders>
            <w:vAlign w:val="bottom"/>
          </w:tcPr>
          <w:p w:rsidR="00000000" w:rsidRDefault="00000000">
            <w:pPr>
              <w:pStyle w:val="table"/>
              <w:tabs>
                <w:tab w:val="decimal" w:pos="381"/>
              </w:tabs>
              <w:spacing w:line="180" w:lineRule="exact"/>
            </w:pPr>
            <w:r>
              <w:t>51,6</w:t>
            </w:r>
          </w:p>
        </w:tc>
        <w:tc>
          <w:tcPr>
            <w:tcW w:w="853" w:type="dxa"/>
            <w:tcBorders>
              <w:bottom w:val="single" w:sz="12" w:space="0" w:color="auto"/>
            </w:tcBorders>
            <w:vAlign w:val="bottom"/>
          </w:tcPr>
          <w:p w:rsidR="00000000" w:rsidRDefault="00000000">
            <w:pPr>
              <w:pStyle w:val="table"/>
              <w:tabs>
                <w:tab w:val="decimal" w:pos="381"/>
              </w:tabs>
              <w:spacing w:line="180" w:lineRule="exact"/>
            </w:pPr>
            <w:r>
              <w:t>52,6</w:t>
            </w:r>
          </w:p>
        </w:tc>
        <w:tc>
          <w:tcPr>
            <w:tcW w:w="846" w:type="dxa"/>
            <w:tcBorders>
              <w:bottom w:val="single" w:sz="12" w:space="0" w:color="auto"/>
            </w:tcBorders>
            <w:vAlign w:val="bottom"/>
          </w:tcPr>
          <w:p w:rsidR="00000000" w:rsidRDefault="00000000">
            <w:pPr>
              <w:pStyle w:val="table"/>
              <w:tabs>
                <w:tab w:val="decimal" w:pos="381"/>
              </w:tabs>
              <w:spacing w:line="180" w:lineRule="exact"/>
            </w:pPr>
            <w:r>
              <w:t>52,4</w:t>
            </w:r>
          </w:p>
        </w:tc>
      </w:tr>
    </w:tbl>
    <w:p w:rsidR="00000000" w:rsidRDefault="00000000">
      <w:pPr>
        <w:pStyle w:val="istochnik"/>
        <w:tabs>
          <w:tab w:val="clear" w:pos="1267"/>
        </w:tabs>
        <w:ind w:left="0"/>
      </w:pPr>
      <w:r>
        <w:rPr>
          <w:i/>
        </w:rPr>
        <w:t>Источник</w:t>
      </w:r>
      <w:r>
        <w:t>: Федеральное статистическое управление</w:t>
      </w:r>
    </w:p>
    <w:p w:rsidR="00000000" w:rsidRDefault="00000000">
      <w:pPr>
        <w:pStyle w:val="H23"/>
        <w:pageBreakBefore/>
        <w:ind w:left="0" w:firstLine="0"/>
      </w:pPr>
      <w:bookmarkStart w:id="787" w:name="_Toc44113572"/>
      <w:bookmarkStart w:id="788" w:name="_Toc44113873"/>
      <w:bookmarkStart w:id="789" w:name="_Toc44114381"/>
      <w:bookmarkStart w:id="790" w:name="_Toc44115628"/>
      <w:bookmarkStart w:id="791" w:name="_Toc44116060"/>
      <w:r>
        <w:t>Таблица 4.3.4 Учащиеся первого курса (зимний семестр) высших профессионально-технических учебных заведений</w:t>
      </w:r>
      <w:r>
        <w:rPr>
          <w:vertAlign w:val="superscript"/>
        </w:rPr>
        <w:t>*)</w:t>
      </w:r>
      <w:r>
        <w:t xml:space="preserve"> Германии в разбивке по предм</w:t>
      </w:r>
      <w:r>
        <w:t>е</w:t>
      </w:r>
      <w:r>
        <w:t>там изучения</w:t>
      </w:r>
      <w:bookmarkEnd w:id="787"/>
      <w:bookmarkEnd w:id="788"/>
      <w:bookmarkEnd w:id="789"/>
      <w:bookmarkEnd w:id="790"/>
      <w:bookmarkEnd w:id="791"/>
    </w:p>
    <w:p w:rsidR="00000000" w:rsidRDefault="00000000">
      <w:pPr>
        <w:pStyle w:val="SingleTxt"/>
        <w:jc w:val="center"/>
      </w:pPr>
      <w:r>
        <w:t>Доля женщин в общем числе учащихся, в %</w:t>
      </w:r>
    </w:p>
    <w:bookmarkStart w:id="792" w:name="_MON_1100430973"/>
    <w:bookmarkStart w:id="793" w:name="_MON_1100431026"/>
    <w:bookmarkStart w:id="794" w:name="_MON_1100431076"/>
    <w:bookmarkStart w:id="795" w:name="_MON_1100431124"/>
    <w:bookmarkStart w:id="796" w:name="_MON_1100431179"/>
    <w:bookmarkStart w:id="797" w:name="_MON_1100431300"/>
    <w:bookmarkStart w:id="798" w:name="_MON_1102149623"/>
    <w:bookmarkStart w:id="799" w:name="_MON_1102149689"/>
    <w:bookmarkStart w:id="800" w:name="_MON_1102149976"/>
    <w:bookmarkStart w:id="801" w:name="_MON_1102150003"/>
    <w:bookmarkStart w:id="802" w:name="_MON_1102150140"/>
    <w:bookmarkStart w:id="803" w:name="_MON_1102150209"/>
    <w:bookmarkStart w:id="804" w:name="_MON_1102150231"/>
    <w:bookmarkStart w:id="805" w:name="_MON_1102150337"/>
    <w:bookmarkStart w:id="806" w:name="_MON_1102150507"/>
    <w:bookmarkStart w:id="807" w:name="_MON_1102150564"/>
    <w:bookmarkStart w:id="808" w:name="_MON_1102150689"/>
    <w:bookmarkStart w:id="809" w:name="_MON_1102150845"/>
    <w:bookmarkStart w:id="810" w:name="_MON_1102150912"/>
    <w:bookmarkStart w:id="811" w:name="_MON_1102151041"/>
    <w:bookmarkStart w:id="812" w:name="_MON_1117721328"/>
    <w:bookmarkStart w:id="813" w:name="_MON_1117721341"/>
    <w:bookmarkStart w:id="814" w:name="_MON_1117721355"/>
    <w:bookmarkStart w:id="815" w:name="_MON_1117721370"/>
    <w:bookmarkStart w:id="816" w:name="_MON_1117721382"/>
    <w:bookmarkStart w:id="817" w:name="_MON_1117721395"/>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rsidR="00000000" w:rsidRDefault="00000000">
      <w:pPr>
        <w:pStyle w:val="SingleTxt"/>
        <w:tabs>
          <w:tab w:val="clear" w:pos="1267"/>
        </w:tabs>
        <w:spacing w:line="240" w:lineRule="auto"/>
        <w:ind w:left="0" w:firstLine="0"/>
      </w:pPr>
      <w:r>
        <w:rPr>
          <w:b/>
          <w:color w:val="000000"/>
          <w:lang w:val="en-GB"/>
        </w:rPr>
        <w:object w:dxaOrig="8486" w:dyaOrig="5787">
          <v:shape id="_x0000_i1026" type="#_x0000_t75" style="width:608.25pt;height:185.25pt" o:ole="" fillcolor="window">
            <v:imagedata r:id="rId27" o:title=""/>
          </v:shape>
          <o:OLEObject Type="Embed" ProgID="Excel.Sheet.8" ShapeID="_x0000_i1026" DrawAspect="Content" ObjectID="_1418862444" r:id="rId28"/>
        </w:object>
      </w:r>
    </w:p>
    <w:tbl>
      <w:tblPr>
        <w:tblW w:w="0" w:type="auto"/>
        <w:tblInd w:w="-26" w:type="dxa"/>
        <w:tblLayout w:type="fixed"/>
        <w:tblCellMar>
          <w:left w:w="28" w:type="dxa"/>
          <w:right w:w="28" w:type="dxa"/>
        </w:tblCellMar>
        <w:tblLook w:val="0000" w:firstRow="0" w:lastRow="0" w:firstColumn="0" w:lastColumn="0" w:noHBand="0" w:noVBand="0"/>
      </w:tblPr>
      <w:tblGrid>
        <w:gridCol w:w="2325"/>
        <w:gridCol w:w="902"/>
        <w:gridCol w:w="902"/>
        <w:gridCol w:w="902"/>
        <w:gridCol w:w="904"/>
        <w:gridCol w:w="902"/>
        <w:gridCol w:w="902"/>
        <w:gridCol w:w="902"/>
        <w:gridCol w:w="904"/>
        <w:gridCol w:w="902"/>
        <w:gridCol w:w="902"/>
        <w:gridCol w:w="907"/>
      </w:tblGrid>
      <w:tr w:rsidR="00000000">
        <w:tblPrEx>
          <w:tblCellMar>
            <w:top w:w="0" w:type="dxa"/>
            <w:bottom w:w="0" w:type="dxa"/>
          </w:tblCellMar>
        </w:tblPrEx>
        <w:tc>
          <w:tcPr>
            <w:tcW w:w="12256" w:type="dxa"/>
            <w:gridSpan w:val="12"/>
            <w:tcBorders>
              <w:top w:val="single" w:sz="6" w:space="0" w:color="auto"/>
              <w:bottom w:val="single" w:sz="6" w:space="0" w:color="auto"/>
            </w:tcBorders>
          </w:tcPr>
          <w:p w:rsidR="00000000" w:rsidRDefault="00000000">
            <w:pPr>
              <w:pStyle w:val="table"/>
              <w:spacing w:line="180" w:lineRule="exact"/>
              <w:jc w:val="center"/>
              <w:rPr>
                <w:i/>
              </w:rPr>
            </w:pPr>
            <w:r>
              <w:rPr>
                <w:i/>
              </w:rPr>
              <w:t>Учащиеся первого курса (зимний семестр) профессионально-технических училищ</w:t>
            </w:r>
            <w:r>
              <w:rPr>
                <w:i/>
                <w:vertAlign w:val="superscript"/>
              </w:rPr>
              <w:t>*)</w:t>
            </w:r>
            <w:r>
              <w:rPr>
                <w:i/>
              </w:rPr>
              <w:t xml:space="preserve"> </w:t>
            </w:r>
            <w:r>
              <w:rPr>
                <w:i/>
              </w:rPr>
              <w:br/>
              <w:t>Германии в разбивке по предметам изучения – доля же</w:t>
            </w:r>
            <w:r>
              <w:rPr>
                <w:i/>
              </w:rPr>
              <w:t>н</w:t>
            </w:r>
            <w:r>
              <w:rPr>
                <w:i/>
              </w:rPr>
              <w:t>щин в общем числе учащихся</w:t>
            </w:r>
          </w:p>
        </w:tc>
      </w:tr>
      <w:tr w:rsidR="00000000">
        <w:tblPrEx>
          <w:tblCellMar>
            <w:top w:w="0" w:type="dxa"/>
            <w:bottom w:w="0" w:type="dxa"/>
          </w:tblCellMar>
        </w:tblPrEx>
        <w:tc>
          <w:tcPr>
            <w:tcW w:w="2325" w:type="dxa"/>
            <w:tcBorders>
              <w:top w:val="single" w:sz="6" w:space="0" w:color="auto"/>
              <w:bottom w:val="single" w:sz="12" w:space="0" w:color="auto"/>
            </w:tcBorders>
          </w:tcPr>
          <w:p w:rsidR="00000000" w:rsidRDefault="00000000">
            <w:pPr>
              <w:pStyle w:val="table"/>
              <w:spacing w:line="180" w:lineRule="exact"/>
              <w:jc w:val="center"/>
              <w:rPr>
                <w:i/>
              </w:rPr>
            </w:pP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1990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1991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1992 год</w:t>
            </w:r>
          </w:p>
        </w:tc>
        <w:tc>
          <w:tcPr>
            <w:tcW w:w="904" w:type="dxa"/>
            <w:tcBorders>
              <w:top w:val="single" w:sz="6" w:space="0" w:color="auto"/>
              <w:bottom w:val="single" w:sz="12" w:space="0" w:color="auto"/>
            </w:tcBorders>
          </w:tcPr>
          <w:p w:rsidR="00000000" w:rsidRDefault="00000000">
            <w:pPr>
              <w:pStyle w:val="table"/>
              <w:spacing w:line="180" w:lineRule="exact"/>
              <w:jc w:val="center"/>
              <w:rPr>
                <w:i/>
              </w:rPr>
            </w:pPr>
            <w:r>
              <w:rPr>
                <w:i/>
              </w:rPr>
              <w:t>1993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1994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1995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1996 год</w:t>
            </w:r>
          </w:p>
        </w:tc>
        <w:tc>
          <w:tcPr>
            <w:tcW w:w="904" w:type="dxa"/>
            <w:tcBorders>
              <w:top w:val="single" w:sz="6" w:space="0" w:color="auto"/>
              <w:bottom w:val="single" w:sz="12" w:space="0" w:color="auto"/>
            </w:tcBorders>
          </w:tcPr>
          <w:p w:rsidR="00000000" w:rsidRDefault="00000000">
            <w:pPr>
              <w:pStyle w:val="table"/>
              <w:spacing w:line="180" w:lineRule="exact"/>
              <w:jc w:val="center"/>
              <w:rPr>
                <w:i/>
              </w:rPr>
            </w:pPr>
            <w:r>
              <w:rPr>
                <w:i/>
              </w:rPr>
              <w:t>1997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1998 год</w:t>
            </w:r>
          </w:p>
        </w:tc>
        <w:tc>
          <w:tcPr>
            <w:tcW w:w="902" w:type="dxa"/>
            <w:tcBorders>
              <w:top w:val="single" w:sz="6" w:space="0" w:color="auto"/>
              <w:bottom w:val="single" w:sz="12" w:space="0" w:color="auto"/>
            </w:tcBorders>
          </w:tcPr>
          <w:p w:rsidR="00000000" w:rsidRDefault="00000000">
            <w:pPr>
              <w:pStyle w:val="table"/>
              <w:spacing w:line="180" w:lineRule="exact"/>
              <w:jc w:val="center"/>
              <w:rPr>
                <w:i/>
              </w:rPr>
            </w:pPr>
            <w:r>
              <w:rPr>
                <w:i/>
              </w:rPr>
              <w:t>1999 год</w:t>
            </w:r>
          </w:p>
        </w:tc>
        <w:tc>
          <w:tcPr>
            <w:tcW w:w="907" w:type="dxa"/>
            <w:tcBorders>
              <w:top w:val="single" w:sz="6" w:space="0" w:color="auto"/>
              <w:bottom w:val="single" w:sz="12" w:space="0" w:color="auto"/>
            </w:tcBorders>
          </w:tcPr>
          <w:p w:rsidR="00000000" w:rsidRDefault="00000000">
            <w:pPr>
              <w:pStyle w:val="table"/>
              <w:spacing w:line="180" w:lineRule="exact"/>
              <w:jc w:val="center"/>
              <w:rPr>
                <w:i/>
              </w:rPr>
            </w:pPr>
            <w:r>
              <w:rPr>
                <w:i/>
              </w:rPr>
              <w:t>2000 год</w:t>
            </w:r>
          </w:p>
        </w:tc>
      </w:tr>
      <w:tr w:rsidR="00000000">
        <w:tblPrEx>
          <w:tblCellMar>
            <w:top w:w="0" w:type="dxa"/>
            <w:bottom w:w="0" w:type="dxa"/>
          </w:tblCellMar>
        </w:tblPrEx>
        <w:tc>
          <w:tcPr>
            <w:tcW w:w="2325" w:type="dxa"/>
            <w:tcBorders>
              <w:top w:val="single" w:sz="12" w:space="0" w:color="auto"/>
            </w:tcBorders>
          </w:tcPr>
          <w:p w:rsidR="00000000" w:rsidRDefault="00000000">
            <w:pPr>
              <w:pStyle w:val="table"/>
              <w:spacing w:line="180" w:lineRule="exact"/>
            </w:pPr>
            <w:r>
              <w:t>Право, экономика, общес</w:t>
            </w:r>
            <w:r>
              <w:t>т</w:t>
            </w:r>
            <w:r>
              <w:t>ве</w:t>
            </w:r>
            <w:r>
              <w:t>н</w:t>
            </w:r>
            <w:r>
              <w:t>ные науки</w:t>
            </w:r>
          </w:p>
        </w:tc>
        <w:tc>
          <w:tcPr>
            <w:tcW w:w="902" w:type="dxa"/>
            <w:tcBorders>
              <w:top w:val="single" w:sz="12" w:space="0" w:color="auto"/>
            </w:tcBorders>
            <w:vAlign w:val="bottom"/>
          </w:tcPr>
          <w:p w:rsidR="00000000" w:rsidRDefault="00000000">
            <w:pPr>
              <w:pStyle w:val="table"/>
              <w:tabs>
                <w:tab w:val="decimal" w:pos="510"/>
              </w:tabs>
              <w:spacing w:line="180" w:lineRule="exact"/>
            </w:pPr>
            <w:r>
              <w:t>53,7</w:t>
            </w:r>
          </w:p>
        </w:tc>
        <w:tc>
          <w:tcPr>
            <w:tcW w:w="902" w:type="dxa"/>
            <w:tcBorders>
              <w:top w:val="single" w:sz="12" w:space="0" w:color="auto"/>
            </w:tcBorders>
            <w:vAlign w:val="bottom"/>
          </w:tcPr>
          <w:p w:rsidR="00000000" w:rsidRDefault="00000000">
            <w:pPr>
              <w:pStyle w:val="table"/>
              <w:tabs>
                <w:tab w:val="decimal" w:pos="510"/>
              </w:tabs>
              <w:spacing w:line="180" w:lineRule="exact"/>
            </w:pPr>
            <w:r>
              <w:t>53,9</w:t>
            </w:r>
          </w:p>
        </w:tc>
        <w:tc>
          <w:tcPr>
            <w:tcW w:w="902" w:type="dxa"/>
            <w:tcBorders>
              <w:top w:val="single" w:sz="12" w:space="0" w:color="auto"/>
            </w:tcBorders>
            <w:vAlign w:val="bottom"/>
          </w:tcPr>
          <w:p w:rsidR="00000000" w:rsidRDefault="00000000">
            <w:pPr>
              <w:pStyle w:val="table"/>
              <w:tabs>
                <w:tab w:val="decimal" w:pos="510"/>
              </w:tabs>
              <w:spacing w:line="180" w:lineRule="exact"/>
            </w:pPr>
            <w:r>
              <w:t>54,6</w:t>
            </w:r>
          </w:p>
        </w:tc>
        <w:tc>
          <w:tcPr>
            <w:tcW w:w="904" w:type="dxa"/>
            <w:tcBorders>
              <w:top w:val="single" w:sz="12" w:space="0" w:color="auto"/>
            </w:tcBorders>
            <w:vAlign w:val="bottom"/>
          </w:tcPr>
          <w:p w:rsidR="00000000" w:rsidRDefault="00000000">
            <w:pPr>
              <w:pStyle w:val="table"/>
              <w:tabs>
                <w:tab w:val="decimal" w:pos="510"/>
              </w:tabs>
              <w:spacing w:line="180" w:lineRule="exact"/>
            </w:pPr>
            <w:r>
              <w:t>54,6</w:t>
            </w:r>
          </w:p>
        </w:tc>
        <w:tc>
          <w:tcPr>
            <w:tcW w:w="902" w:type="dxa"/>
            <w:tcBorders>
              <w:top w:val="single" w:sz="12" w:space="0" w:color="auto"/>
            </w:tcBorders>
            <w:vAlign w:val="bottom"/>
          </w:tcPr>
          <w:p w:rsidR="00000000" w:rsidRDefault="00000000">
            <w:pPr>
              <w:pStyle w:val="table"/>
              <w:tabs>
                <w:tab w:val="decimal" w:pos="510"/>
              </w:tabs>
              <w:spacing w:line="180" w:lineRule="exact"/>
            </w:pPr>
            <w:r>
              <w:t>53,0</w:t>
            </w:r>
          </w:p>
        </w:tc>
        <w:tc>
          <w:tcPr>
            <w:tcW w:w="902" w:type="dxa"/>
            <w:tcBorders>
              <w:top w:val="single" w:sz="12" w:space="0" w:color="auto"/>
            </w:tcBorders>
            <w:vAlign w:val="bottom"/>
          </w:tcPr>
          <w:p w:rsidR="00000000" w:rsidRDefault="00000000">
            <w:pPr>
              <w:pStyle w:val="table"/>
              <w:tabs>
                <w:tab w:val="decimal" w:pos="510"/>
              </w:tabs>
              <w:spacing w:line="180" w:lineRule="exact"/>
            </w:pPr>
            <w:r>
              <w:t>53,9</w:t>
            </w:r>
          </w:p>
        </w:tc>
        <w:tc>
          <w:tcPr>
            <w:tcW w:w="902" w:type="dxa"/>
            <w:tcBorders>
              <w:top w:val="single" w:sz="12" w:space="0" w:color="auto"/>
            </w:tcBorders>
            <w:vAlign w:val="bottom"/>
          </w:tcPr>
          <w:p w:rsidR="00000000" w:rsidRDefault="00000000">
            <w:pPr>
              <w:pStyle w:val="table"/>
              <w:tabs>
                <w:tab w:val="decimal" w:pos="510"/>
              </w:tabs>
              <w:spacing w:line="180" w:lineRule="exact"/>
            </w:pPr>
            <w:r>
              <w:t>54,0</w:t>
            </w:r>
          </w:p>
        </w:tc>
        <w:tc>
          <w:tcPr>
            <w:tcW w:w="904" w:type="dxa"/>
            <w:tcBorders>
              <w:top w:val="single" w:sz="12" w:space="0" w:color="auto"/>
            </w:tcBorders>
            <w:vAlign w:val="bottom"/>
          </w:tcPr>
          <w:p w:rsidR="00000000" w:rsidRDefault="00000000">
            <w:pPr>
              <w:pStyle w:val="table"/>
              <w:tabs>
                <w:tab w:val="decimal" w:pos="510"/>
              </w:tabs>
              <w:spacing w:line="180" w:lineRule="exact"/>
            </w:pPr>
            <w:r>
              <w:t>54,6</w:t>
            </w:r>
          </w:p>
        </w:tc>
        <w:tc>
          <w:tcPr>
            <w:tcW w:w="902" w:type="dxa"/>
            <w:tcBorders>
              <w:top w:val="single" w:sz="12" w:space="0" w:color="auto"/>
            </w:tcBorders>
            <w:vAlign w:val="bottom"/>
          </w:tcPr>
          <w:p w:rsidR="00000000" w:rsidRDefault="00000000">
            <w:pPr>
              <w:pStyle w:val="table"/>
              <w:tabs>
                <w:tab w:val="decimal" w:pos="510"/>
              </w:tabs>
              <w:spacing w:line="180" w:lineRule="exact"/>
            </w:pPr>
            <w:r>
              <w:t>56,1</w:t>
            </w:r>
          </w:p>
        </w:tc>
        <w:tc>
          <w:tcPr>
            <w:tcW w:w="902" w:type="dxa"/>
            <w:tcBorders>
              <w:top w:val="single" w:sz="12" w:space="0" w:color="auto"/>
            </w:tcBorders>
            <w:vAlign w:val="bottom"/>
          </w:tcPr>
          <w:p w:rsidR="00000000" w:rsidRDefault="00000000">
            <w:pPr>
              <w:pStyle w:val="table"/>
              <w:tabs>
                <w:tab w:val="decimal" w:pos="510"/>
              </w:tabs>
              <w:spacing w:line="180" w:lineRule="exact"/>
            </w:pPr>
            <w:r>
              <w:t>55,6</w:t>
            </w:r>
          </w:p>
        </w:tc>
        <w:tc>
          <w:tcPr>
            <w:tcW w:w="907" w:type="dxa"/>
            <w:tcBorders>
              <w:top w:val="single" w:sz="12" w:space="0" w:color="auto"/>
            </w:tcBorders>
            <w:vAlign w:val="bottom"/>
          </w:tcPr>
          <w:p w:rsidR="00000000" w:rsidRDefault="00000000">
            <w:pPr>
              <w:pStyle w:val="table"/>
              <w:tabs>
                <w:tab w:val="decimal" w:pos="510"/>
              </w:tabs>
              <w:spacing w:line="180" w:lineRule="exact"/>
            </w:pPr>
            <w:r>
              <w:t>55,9</w:t>
            </w:r>
          </w:p>
        </w:tc>
      </w:tr>
      <w:tr w:rsidR="00000000">
        <w:tblPrEx>
          <w:tblCellMar>
            <w:top w:w="0" w:type="dxa"/>
            <w:bottom w:w="0" w:type="dxa"/>
          </w:tblCellMar>
        </w:tblPrEx>
        <w:tc>
          <w:tcPr>
            <w:tcW w:w="2325" w:type="dxa"/>
          </w:tcPr>
          <w:p w:rsidR="00000000" w:rsidRDefault="00000000">
            <w:pPr>
              <w:pStyle w:val="table"/>
              <w:spacing w:line="180" w:lineRule="exact"/>
            </w:pPr>
            <w:r>
              <w:t>Машиностроение</w:t>
            </w:r>
          </w:p>
        </w:tc>
        <w:tc>
          <w:tcPr>
            <w:tcW w:w="902" w:type="dxa"/>
            <w:vAlign w:val="bottom"/>
          </w:tcPr>
          <w:p w:rsidR="00000000" w:rsidRDefault="00000000">
            <w:pPr>
              <w:pStyle w:val="table"/>
              <w:tabs>
                <w:tab w:val="decimal" w:pos="510"/>
              </w:tabs>
              <w:spacing w:line="180" w:lineRule="exact"/>
            </w:pPr>
            <w:r>
              <w:t>11,6</w:t>
            </w:r>
          </w:p>
        </w:tc>
        <w:tc>
          <w:tcPr>
            <w:tcW w:w="902" w:type="dxa"/>
            <w:vAlign w:val="bottom"/>
          </w:tcPr>
          <w:p w:rsidR="00000000" w:rsidRDefault="00000000">
            <w:pPr>
              <w:pStyle w:val="table"/>
              <w:tabs>
                <w:tab w:val="decimal" w:pos="510"/>
              </w:tabs>
              <w:spacing w:line="180" w:lineRule="exact"/>
            </w:pPr>
            <w:r>
              <w:t>13,0</w:t>
            </w:r>
          </w:p>
        </w:tc>
        <w:tc>
          <w:tcPr>
            <w:tcW w:w="902" w:type="dxa"/>
            <w:vAlign w:val="bottom"/>
          </w:tcPr>
          <w:p w:rsidR="00000000" w:rsidRDefault="00000000">
            <w:pPr>
              <w:pStyle w:val="table"/>
              <w:tabs>
                <w:tab w:val="decimal" w:pos="510"/>
              </w:tabs>
              <w:spacing w:line="180" w:lineRule="exact"/>
            </w:pPr>
            <w:r>
              <w:t>15,6</w:t>
            </w:r>
          </w:p>
        </w:tc>
        <w:tc>
          <w:tcPr>
            <w:tcW w:w="904" w:type="dxa"/>
            <w:vAlign w:val="bottom"/>
          </w:tcPr>
          <w:p w:rsidR="00000000" w:rsidRDefault="00000000">
            <w:pPr>
              <w:pStyle w:val="table"/>
              <w:tabs>
                <w:tab w:val="decimal" w:pos="510"/>
              </w:tabs>
              <w:spacing w:line="180" w:lineRule="exact"/>
            </w:pPr>
            <w:r>
              <w:t>16,1</w:t>
            </w:r>
          </w:p>
        </w:tc>
        <w:tc>
          <w:tcPr>
            <w:tcW w:w="902" w:type="dxa"/>
            <w:vAlign w:val="bottom"/>
          </w:tcPr>
          <w:p w:rsidR="00000000" w:rsidRDefault="00000000">
            <w:pPr>
              <w:pStyle w:val="table"/>
              <w:tabs>
                <w:tab w:val="decimal" w:pos="510"/>
              </w:tabs>
              <w:spacing w:line="180" w:lineRule="exact"/>
            </w:pPr>
            <w:r>
              <w:t>16,9</w:t>
            </w:r>
          </w:p>
        </w:tc>
        <w:tc>
          <w:tcPr>
            <w:tcW w:w="902" w:type="dxa"/>
            <w:vAlign w:val="bottom"/>
          </w:tcPr>
          <w:p w:rsidR="00000000" w:rsidRDefault="00000000">
            <w:pPr>
              <w:pStyle w:val="table"/>
              <w:tabs>
                <w:tab w:val="decimal" w:pos="510"/>
              </w:tabs>
              <w:spacing w:line="180" w:lineRule="exact"/>
            </w:pPr>
            <w:r>
              <w:t>17,9</w:t>
            </w:r>
          </w:p>
        </w:tc>
        <w:tc>
          <w:tcPr>
            <w:tcW w:w="902" w:type="dxa"/>
            <w:vAlign w:val="bottom"/>
          </w:tcPr>
          <w:p w:rsidR="00000000" w:rsidRDefault="00000000">
            <w:pPr>
              <w:pStyle w:val="table"/>
              <w:tabs>
                <w:tab w:val="decimal" w:pos="510"/>
              </w:tabs>
              <w:spacing w:line="180" w:lineRule="exact"/>
            </w:pPr>
            <w:r>
              <w:t>18,1</w:t>
            </w:r>
          </w:p>
        </w:tc>
        <w:tc>
          <w:tcPr>
            <w:tcW w:w="904" w:type="dxa"/>
            <w:vAlign w:val="bottom"/>
          </w:tcPr>
          <w:p w:rsidR="00000000" w:rsidRDefault="00000000">
            <w:pPr>
              <w:pStyle w:val="table"/>
              <w:tabs>
                <w:tab w:val="decimal" w:pos="510"/>
              </w:tabs>
              <w:spacing w:line="180" w:lineRule="exact"/>
            </w:pPr>
            <w:r>
              <w:t>19,8</w:t>
            </w:r>
          </w:p>
        </w:tc>
        <w:tc>
          <w:tcPr>
            <w:tcW w:w="902" w:type="dxa"/>
            <w:vAlign w:val="bottom"/>
          </w:tcPr>
          <w:p w:rsidR="00000000" w:rsidRDefault="00000000">
            <w:pPr>
              <w:pStyle w:val="table"/>
              <w:tabs>
                <w:tab w:val="decimal" w:pos="510"/>
              </w:tabs>
              <w:spacing w:line="180" w:lineRule="exact"/>
            </w:pPr>
            <w:r>
              <w:t>20,3</w:t>
            </w:r>
          </w:p>
        </w:tc>
        <w:tc>
          <w:tcPr>
            <w:tcW w:w="902" w:type="dxa"/>
            <w:vAlign w:val="bottom"/>
          </w:tcPr>
          <w:p w:rsidR="00000000" w:rsidRDefault="00000000">
            <w:pPr>
              <w:pStyle w:val="table"/>
              <w:tabs>
                <w:tab w:val="decimal" w:pos="510"/>
              </w:tabs>
              <w:spacing w:line="180" w:lineRule="exact"/>
            </w:pPr>
            <w:r>
              <w:t>20,9</w:t>
            </w:r>
          </w:p>
        </w:tc>
        <w:tc>
          <w:tcPr>
            <w:tcW w:w="907" w:type="dxa"/>
            <w:vAlign w:val="bottom"/>
          </w:tcPr>
          <w:p w:rsidR="00000000" w:rsidRDefault="00000000">
            <w:pPr>
              <w:pStyle w:val="table"/>
              <w:tabs>
                <w:tab w:val="decimal" w:pos="510"/>
              </w:tabs>
              <w:spacing w:line="180" w:lineRule="exact"/>
            </w:pPr>
            <w:r>
              <w:t>20,4</w:t>
            </w:r>
          </w:p>
        </w:tc>
      </w:tr>
      <w:tr w:rsidR="00000000">
        <w:tblPrEx>
          <w:tblCellMar>
            <w:top w:w="0" w:type="dxa"/>
            <w:bottom w:w="0" w:type="dxa"/>
          </w:tblCellMar>
        </w:tblPrEx>
        <w:tc>
          <w:tcPr>
            <w:tcW w:w="2325" w:type="dxa"/>
          </w:tcPr>
          <w:p w:rsidR="00000000" w:rsidRDefault="00000000">
            <w:pPr>
              <w:pStyle w:val="table"/>
              <w:spacing w:line="180" w:lineRule="exact"/>
            </w:pPr>
            <w:r>
              <w:t>Математика, естественные на</w:t>
            </w:r>
            <w:r>
              <w:t>у</w:t>
            </w:r>
            <w:r>
              <w:t>ки</w:t>
            </w:r>
          </w:p>
        </w:tc>
        <w:tc>
          <w:tcPr>
            <w:tcW w:w="902" w:type="dxa"/>
            <w:vAlign w:val="bottom"/>
          </w:tcPr>
          <w:p w:rsidR="00000000" w:rsidRDefault="00000000">
            <w:pPr>
              <w:pStyle w:val="table"/>
              <w:tabs>
                <w:tab w:val="decimal" w:pos="510"/>
              </w:tabs>
              <w:spacing w:line="180" w:lineRule="exact"/>
            </w:pPr>
            <w:r>
              <w:t>23,0</w:t>
            </w:r>
          </w:p>
        </w:tc>
        <w:tc>
          <w:tcPr>
            <w:tcW w:w="902" w:type="dxa"/>
            <w:vAlign w:val="bottom"/>
          </w:tcPr>
          <w:p w:rsidR="00000000" w:rsidRDefault="00000000">
            <w:pPr>
              <w:pStyle w:val="table"/>
              <w:tabs>
                <w:tab w:val="decimal" w:pos="510"/>
              </w:tabs>
              <w:spacing w:line="180" w:lineRule="exact"/>
            </w:pPr>
            <w:r>
              <w:t>22,4</w:t>
            </w:r>
          </w:p>
        </w:tc>
        <w:tc>
          <w:tcPr>
            <w:tcW w:w="902" w:type="dxa"/>
            <w:vAlign w:val="bottom"/>
          </w:tcPr>
          <w:p w:rsidR="00000000" w:rsidRDefault="00000000">
            <w:pPr>
              <w:pStyle w:val="table"/>
              <w:tabs>
                <w:tab w:val="decimal" w:pos="510"/>
              </w:tabs>
              <w:spacing w:line="180" w:lineRule="exact"/>
            </w:pPr>
            <w:r>
              <w:t>19,9</w:t>
            </w:r>
          </w:p>
        </w:tc>
        <w:tc>
          <w:tcPr>
            <w:tcW w:w="904" w:type="dxa"/>
            <w:vAlign w:val="bottom"/>
          </w:tcPr>
          <w:p w:rsidR="00000000" w:rsidRDefault="00000000">
            <w:pPr>
              <w:pStyle w:val="table"/>
              <w:tabs>
                <w:tab w:val="decimal" w:pos="510"/>
              </w:tabs>
              <w:spacing w:line="180" w:lineRule="exact"/>
            </w:pPr>
            <w:r>
              <w:t>18,4</w:t>
            </w:r>
          </w:p>
        </w:tc>
        <w:tc>
          <w:tcPr>
            <w:tcW w:w="902" w:type="dxa"/>
            <w:vAlign w:val="bottom"/>
          </w:tcPr>
          <w:p w:rsidR="00000000" w:rsidRDefault="00000000">
            <w:pPr>
              <w:pStyle w:val="table"/>
              <w:tabs>
                <w:tab w:val="decimal" w:pos="510"/>
              </w:tabs>
              <w:spacing w:line="180" w:lineRule="exact"/>
            </w:pPr>
            <w:r>
              <w:t>16,9</w:t>
            </w:r>
          </w:p>
        </w:tc>
        <w:tc>
          <w:tcPr>
            <w:tcW w:w="902" w:type="dxa"/>
            <w:vAlign w:val="bottom"/>
          </w:tcPr>
          <w:p w:rsidR="00000000" w:rsidRDefault="00000000">
            <w:pPr>
              <w:pStyle w:val="table"/>
              <w:tabs>
                <w:tab w:val="decimal" w:pos="510"/>
              </w:tabs>
              <w:spacing w:line="180" w:lineRule="exact"/>
            </w:pPr>
            <w:r>
              <w:t>19,4</w:t>
            </w:r>
          </w:p>
        </w:tc>
        <w:tc>
          <w:tcPr>
            <w:tcW w:w="902" w:type="dxa"/>
            <w:vAlign w:val="bottom"/>
          </w:tcPr>
          <w:p w:rsidR="00000000" w:rsidRDefault="00000000">
            <w:pPr>
              <w:pStyle w:val="table"/>
              <w:tabs>
                <w:tab w:val="decimal" w:pos="510"/>
              </w:tabs>
              <w:spacing w:line="180" w:lineRule="exact"/>
            </w:pPr>
            <w:r>
              <w:t>19,0</w:t>
            </w:r>
          </w:p>
        </w:tc>
        <w:tc>
          <w:tcPr>
            <w:tcW w:w="904" w:type="dxa"/>
            <w:vAlign w:val="bottom"/>
          </w:tcPr>
          <w:p w:rsidR="00000000" w:rsidRDefault="00000000">
            <w:pPr>
              <w:pStyle w:val="table"/>
              <w:tabs>
                <w:tab w:val="decimal" w:pos="510"/>
              </w:tabs>
              <w:spacing w:line="180" w:lineRule="exact"/>
            </w:pPr>
            <w:r>
              <w:t>20,3</w:t>
            </w:r>
          </w:p>
        </w:tc>
        <w:tc>
          <w:tcPr>
            <w:tcW w:w="902" w:type="dxa"/>
            <w:vAlign w:val="bottom"/>
          </w:tcPr>
          <w:p w:rsidR="00000000" w:rsidRDefault="00000000">
            <w:pPr>
              <w:pStyle w:val="table"/>
              <w:tabs>
                <w:tab w:val="decimal" w:pos="510"/>
              </w:tabs>
              <w:spacing w:line="180" w:lineRule="exact"/>
            </w:pPr>
            <w:r>
              <w:t>20,5</w:t>
            </w:r>
          </w:p>
        </w:tc>
        <w:tc>
          <w:tcPr>
            <w:tcW w:w="902" w:type="dxa"/>
            <w:vAlign w:val="bottom"/>
          </w:tcPr>
          <w:p w:rsidR="00000000" w:rsidRDefault="00000000">
            <w:pPr>
              <w:pStyle w:val="table"/>
              <w:tabs>
                <w:tab w:val="decimal" w:pos="510"/>
              </w:tabs>
              <w:spacing w:line="180" w:lineRule="exact"/>
            </w:pPr>
            <w:r>
              <w:t>22,5</w:t>
            </w:r>
          </w:p>
        </w:tc>
        <w:tc>
          <w:tcPr>
            <w:tcW w:w="907" w:type="dxa"/>
            <w:vAlign w:val="bottom"/>
          </w:tcPr>
          <w:p w:rsidR="00000000" w:rsidRDefault="00000000">
            <w:pPr>
              <w:pStyle w:val="table"/>
              <w:tabs>
                <w:tab w:val="decimal" w:pos="510"/>
              </w:tabs>
              <w:spacing w:line="180" w:lineRule="exact"/>
            </w:pPr>
            <w:r>
              <w:t>22,2</w:t>
            </w:r>
          </w:p>
        </w:tc>
      </w:tr>
      <w:tr w:rsidR="00000000">
        <w:tblPrEx>
          <w:tblCellMar>
            <w:top w:w="0" w:type="dxa"/>
            <w:bottom w:w="0" w:type="dxa"/>
          </w:tblCellMar>
        </w:tblPrEx>
        <w:tc>
          <w:tcPr>
            <w:tcW w:w="2325" w:type="dxa"/>
          </w:tcPr>
          <w:p w:rsidR="00000000" w:rsidRDefault="00000000">
            <w:pPr>
              <w:pStyle w:val="table"/>
              <w:spacing w:line="180" w:lineRule="exact"/>
            </w:pPr>
            <w:r>
              <w:t>Сельское хозяйство / лесное х</w:t>
            </w:r>
            <w:r>
              <w:t>о</w:t>
            </w:r>
            <w:r>
              <w:t>зяйство / питание</w:t>
            </w:r>
          </w:p>
        </w:tc>
        <w:tc>
          <w:tcPr>
            <w:tcW w:w="902" w:type="dxa"/>
            <w:vAlign w:val="bottom"/>
          </w:tcPr>
          <w:p w:rsidR="00000000" w:rsidRDefault="00000000">
            <w:pPr>
              <w:pStyle w:val="table"/>
              <w:tabs>
                <w:tab w:val="decimal" w:pos="510"/>
              </w:tabs>
              <w:spacing w:line="180" w:lineRule="exact"/>
            </w:pPr>
            <w:r>
              <w:t>44,9</w:t>
            </w:r>
          </w:p>
        </w:tc>
        <w:tc>
          <w:tcPr>
            <w:tcW w:w="902" w:type="dxa"/>
            <w:vAlign w:val="bottom"/>
          </w:tcPr>
          <w:p w:rsidR="00000000" w:rsidRDefault="00000000">
            <w:pPr>
              <w:pStyle w:val="table"/>
              <w:tabs>
                <w:tab w:val="decimal" w:pos="510"/>
              </w:tabs>
              <w:spacing w:line="180" w:lineRule="exact"/>
            </w:pPr>
            <w:r>
              <w:t>45,5</w:t>
            </w:r>
          </w:p>
        </w:tc>
        <w:tc>
          <w:tcPr>
            <w:tcW w:w="902" w:type="dxa"/>
            <w:vAlign w:val="bottom"/>
          </w:tcPr>
          <w:p w:rsidR="00000000" w:rsidRDefault="00000000">
            <w:pPr>
              <w:pStyle w:val="table"/>
              <w:tabs>
                <w:tab w:val="decimal" w:pos="510"/>
              </w:tabs>
              <w:spacing w:line="180" w:lineRule="exact"/>
            </w:pPr>
            <w:r>
              <w:t>47,3</w:t>
            </w:r>
          </w:p>
        </w:tc>
        <w:tc>
          <w:tcPr>
            <w:tcW w:w="904" w:type="dxa"/>
            <w:vAlign w:val="bottom"/>
          </w:tcPr>
          <w:p w:rsidR="00000000" w:rsidRDefault="00000000">
            <w:pPr>
              <w:pStyle w:val="table"/>
              <w:tabs>
                <w:tab w:val="decimal" w:pos="510"/>
              </w:tabs>
              <w:spacing w:line="180" w:lineRule="exact"/>
            </w:pPr>
            <w:r>
              <w:t>49,3</w:t>
            </w:r>
          </w:p>
        </w:tc>
        <w:tc>
          <w:tcPr>
            <w:tcW w:w="902" w:type="dxa"/>
            <w:vAlign w:val="bottom"/>
          </w:tcPr>
          <w:p w:rsidR="00000000" w:rsidRDefault="00000000">
            <w:pPr>
              <w:pStyle w:val="table"/>
              <w:tabs>
                <w:tab w:val="decimal" w:pos="510"/>
              </w:tabs>
              <w:spacing w:line="180" w:lineRule="exact"/>
            </w:pPr>
            <w:r>
              <w:t>49,6</w:t>
            </w:r>
          </w:p>
        </w:tc>
        <w:tc>
          <w:tcPr>
            <w:tcW w:w="902" w:type="dxa"/>
            <w:vAlign w:val="bottom"/>
          </w:tcPr>
          <w:p w:rsidR="00000000" w:rsidRDefault="00000000">
            <w:pPr>
              <w:pStyle w:val="table"/>
              <w:tabs>
                <w:tab w:val="decimal" w:pos="510"/>
              </w:tabs>
              <w:spacing w:line="180" w:lineRule="exact"/>
            </w:pPr>
            <w:r>
              <w:t>52,0</w:t>
            </w:r>
          </w:p>
        </w:tc>
        <w:tc>
          <w:tcPr>
            <w:tcW w:w="902" w:type="dxa"/>
            <w:vAlign w:val="bottom"/>
          </w:tcPr>
          <w:p w:rsidR="00000000" w:rsidRDefault="00000000">
            <w:pPr>
              <w:pStyle w:val="table"/>
              <w:tabs>
                <w:tab w:val="decimal" w:pos="510"/>
              </w:tabs>
              <w:spacing w:line="180" w:lineRule="exact"/>
            </w:pPr>
            <w:r>
              <w:t>55,7</w:t>
            </w:r>
          </w:p>
        </w:tc>
        <w:tc>
          <w:tcPr>
            <w:tcW w:w="904" w:type="dxa"/>
            <w:vAlign w:val="bottom"/>
          </w:tcPr>
          <w:p w:rsidR="00000000" w:rsidRDefault="00000000">
            <w:pPr>
              <w:pStyle w:val="table"/>
              <w:tabs>
                <w:tab w:val="decimal" w:pos="510"/>
              </w:tabs>
              <w:spacing w:line="180" w:lineRule="exact"/>
            </w:pPr>
            <w:r>
              <w:t>53,1</w:t>
            </w:r>
          </w:p>
        </w:tc>
        <w:tc>
          <w:tcPr>
            <w:tcW w:w="902" w:type="dxa"/>
            <w:vAlign w:val="bottom"/>
          </w:tcPr>
          <w:p w:rsidR="00000000" w:rsidRDefault="00000000">
            <w:pPr>
              <w:pStyle w:val="table"/>
              <w:tabs>
                <w:tab w:val="decimal" w:pos="510"/>
              </w:tabs>
              <w:spacing w:line="180" w:lineRule="exact"/>
            </w:pPr>
            <w:r>
              <w:t>53,0</w:t>
            </w:r>
          </w:p>
        </w:tc>
        <w:tc>
          <w:tcPr>
            <w:tcW w:w="902" w:type="dxa"/>
            <w:vAlign w:val="bottom"/>
          </w:tcPr>
          <w:p w:rsidR="00000000" w:rsidRDefault="00000000">
            <w:pPr>
              <w:pStyle w:val="table"/>
              <w:tabs>
                <w:tab w:val="decimal" w:pos="510"/>
              </w:tabs>
              <w:spacing w:line="180" w:lineRule="exact"/>
            </w:pPr>
            <w:r>
              <w:t>54,1</w:t>
            </w:r>
          </w:p>
        </w:tc>
        <w:tc>
          <w:tcPr>
            <w:tcW w:w="907" w:type="dxa"/>
            <w:vAlign w:val="bottom"/>
          </w:tcPr>
          <w:p w:rsidR="00000000" w:rsidRDefault="00000000">
            <w:pPr>
              <w:pStyle w:val="table"/>
              <w:tabs>
                <w:tab w:val="decimal" w:pos="510"/>
              </w:tabs>
              <w:spacing w:line="180" w:lineRule="exact"/>
            </w:pPr>
            <w:r>
              <w:t>54,2</w:t>
            </w:r>
          </w:p>
        </w:tc>
      </w:tr>
      <w:tr w:rsidR="00000000">
        <w:tblPrEx>
          <w:tblCellMar>
            <w:top w:w="0" w:type="dxa"/>
            <w:bottom w:w="0" w:type="dxa"/>
          </w:tblCellMar>
        </w:tblPrEx>
        <w:tc>
          <w:tcPr>
            <w:tcW w:w="2325" w:type="dxa"/>
          </w:tcPr>
          <w:p w:rsidR="00000000" w:rsidRDefault="00000000">
            <w:pPr>
              <w:pStyle w:val="table"/>
              <w:spacing w:line="180" w:lineRule="exact"/>
            </w:pPr>
            <w:r>
              <w:t>Искусство, эстетика и ист</w:t>
            </w:r>
            <w:r>
              <w:t>о</w:t>
            </w:r>
            <w:r>
              <w:t xml:space="preserve">рия </w:t>
            </w:r>
          </w:p>
        </w:tc>
        <w:tc>
          <w:tcPr>
            <w:tcW w:w="902" w:type="dxa"/>
            <w:vAlign w:val="bottom"/>
          </w:tcPr>
          <w:p w:rsidR="00000000" w:rsidRDefault="00000000">
            <w:pPr>
              <w:pStyle w:val="table"/>
              <w:tabs>
                <w:tab w:val="decimal" w:pos="510"/>
              </w:tabs>
              <w:spacing w:line="180" w:lineRule="exact"/>
            </w:pPr>
            <w:r>
              <w:t>57,7</w:t>
            </w:r>
          </w:p>
        </w:tc>
        <w:tc>
          <w:tcPr>
            <w:tcW w:w="902" w:type="dxa"/>
            <w:vAlign w:val="bottom"/>
          </w:tcPr>
          <w:p w:rsidR="00000000" w:rsidRDefault="00000000">
            <w:pPr>
              <w:pStyle w:val="table"/>
              <w:tabs>
                <w:tab w:val="decimal" w:pos="510"/>
              </w:tabs>
              <w:spacing w:line="180" w:lineRule="exact"/>
            </w:pPr>
            <w:r>
              <w:t>57,3</w:t>
            </w:r>
          </w:p>
        </w:tc>
        <w:tc>
          <w:tcPr>
            <w:tcW w:w="902" w:type="dxa"/>
            <w:vAlign w:val="bottom"/>
          </w:tcPr>
          <w:p w:rsidR="00000000" w:rsidRDefault="00000000">
            <w:pPr>
              <w:pStyle w:val="table"/>
              <w:tabs>
                <w:tab w:val="decimal" w:pos="510"/>
              </w:tabs>
              <w:spacing w:line="180" w:lineRule="exact"/>
            </w:pPr>
            <w:r>
              <w:t>61,6</w:t>
            </w:r>
          </w:p>
        </w:tc>
        <w:tc>
          <w:tcPr>
            <w:tcW w:w="904" w:type="dxa"/>
            <w:vAlign w:val="bottom"/>
          </w:tcPr>
          <w:p w:rsidR="00000000" w:rsidRDefault="00000000">
            <w:pPr>
              <w:pStyle w:val="table"/>
              <w:tabs>
                <w:tab w:val="decimal" w:pos="510"/>
              </w:tabs>
              <w:spacing w:line="180" w:lineRule="exact"/>
            </w:pPr>
            <w:r>
              <w:t>60,0</w:t>
            </w:r>
          </w:p>
        </w:tc>
        <w:tc>
          <w:tcPr>
            <w:tcW w:w="902" w:type="dxa"/>
            <w:vAlign w:val="bottom"/>
          </w:tcPr>
          <w:p w:rsidR="00000000" w:rsidRDefault="00000000">
            <w:pPr>
              <w:pStyle w:val="table"/>
              <w:tabs>
                <w:tab w:val="decimal" w:pos="510"/>
              </w:tabs>
              <w:spacing w:line="180" w:lineRule="exact"/>
            </w:pPr>
            <w:r>
              <w:t>59,9</w:t>
            </w:r>
          </w:p>
        </w:tc>
        <w:tc>
          <w:tcPr>
            <w:tcW w:w="902" w:type="dxa"/>
            <w:vAlign w:val="bottom"/>
          </w:tcPr>
          <w:p w:rsidR="00000000" w:rsidRDefault="00000000">
            <w:pPr>
              <w:pStyle w:val="table"/>
              <w:tabs>
                <w:tab w:val="decimal" w:pos="510"/>
              </w:tabs>
              <w:spacing w:line="180" w:lineRule="exact"/>
            </w:pPr>
            <w:r>
              <w:t>60,8</w:t>
            </w:r>
          </w:p>
        </w:tc>
        <w:tc>
          <w:tcPr>
            <w:tcW w:w="902" w:type="dxa"/>
            <w:vAlign w:val="bottom"/>
          </w:tcPr>
          <w:p w:rsidR="00000000" w:rsidRDefault="00000000">
            <w:pPr>
              <w:pStyle w:val="table"/>
              <w:tabs>
                <w:tab w:val="decimal" w:pos="510"/>
              </w:tabs>
              <w:spacing w:line="180" w:lineRule="exact"/>
            </w:pPr>
            <w:r>
              <w:t>61,0</w:t>
            </w:r>
          </w:p>
        </w:tc>
        <w:tc>
          <w:tcPr>
            <w:tcW w:w="904" w:type="dxa"/>
            <w:vAlign w:val="bottom"/>
          </w:tcPr>
          <w:p w:rsidR="00000000" w:rsidRDefault="00000000">
            <w:pPr>
              <w:pStyle w:val="table"/>
              <w:tabs>
                <w:tab w:val="decimal" w:pos="510"/>
              </w:tabs>
              <w:spacing w:line="180" w:lineRule="exact"/>
            </w:pPr>
            <w:r>
              <w:t>63,7</w:t>
            </w:r>
          </w:p>
        </w:tc>
        <w:tc>
          <w:tcPr>
            <w:tcW w:w="902" w:type="dxa"/>
            <w:vAlign w:val="bottom"/>
          </w:tcPr>
          <w:p w:rsidR="00000000" w:rsidRDefault="00000000">
            <w:pPr>
              <w:pStyle w:val="table"/>
              <w:tabs>
                <w:tab w:val="decimal" w:pos="510"/>
              </w:tabs>
              <w:spacing w:line="180" w:lineRule="exact"/>
            </w:pPr>
            <w:r>
              <w:t>63,9</w:t>
            </w:r>
          </w:p>
        </w:tc>
        <w:tc>
          <w:tcPr>
            <w:tcW w:w="902" w:type="dxa"/>
            <w:vAlign w:val="bottom"/>
          </w:tcPr>
          <w:p w:rsidR="00000000" w:rsidRDefault="00000000">
            <w:pPr>
              <w:pStyle w:val="table"/>
              <w:tabs>
                <w:tab w:val="decimal" w:pos="510"/>
              </w:tabs>
              <w:spacing w:line="180" w:lineRule="exact"/>
            </w:pPr>
            <w:r>
              <w:t>65,7</w:t>
            </w:r>
          </w:p>
        </w:tc>
        <w:tc>
          <w:tcPr>
            <w:tcW w:w="907" w:type="dxa"/>
            <w:vAlign w:val="bottom"/>
          </w:tcPr>
          <w:p w:rsidR="00000000" w:rsidRDefault="00000000">
            <w:pPr>
              <w:pStyle w:val="table"/>
              <w:tabs>
                <w:tab w:val="decimal" w:pos="510"/>
              </w:tabs>
              <w:spacing w:line="180" w:lineRule="exact"/>
            </w:pPr>
            <w:r>
              <w:t>64,8</w:t>
            </w:r>
          </w:p>
        </w:tc>
      </w:tr>
      <w:tr w:rsidR="00000000">
        <w:tblPrEx>
          <w:tblCellMar>
            <w:top w:w="0" w:type="dxa"/>
            <w:bottom w:w="0" w:type="dxa"/>
          </w:tblCellMar>
        </w:tblPrEx>
        <w:tc>
          <w:tcPr>
            <w:tcW w:w="2325" w:type="dxa"/>
          </w:tcPr>
          <w:p w:rsidR="00000000" w:rsidRDefault="00000000">
            <w:pPr>
              <w:pStyle w:val="table"/>
              <w:spacing w:line="180" w:lineRule="exact"/>
            </w:pPr>
            <w:r>
              <w:t>Языки, гуманитарные науки</w:t>
            </w:r>
          </w:p>
        </w:tc>
        <w:tc>
          <w:tcPr>
            <w:tcW w:w="902" w:type="dxa"/>
            <w:vAlign w:val="bottom"/>
          </w:tcPr>
          <w:p w:rsidR="00000000" w:rsidRDefault="00000000">
            <w:pPr>
              <w:pStyle w:val="table"/>
              <w:tabs>
                <w:tab w:val="decimal" w:pos="510"/>
              </w:tabs>
              <w:spacing w:line="180" w:lineRule="exact"/>
            </w:pPr>
            <w:r>
              <w:t>78,9</w:t>
            </w:r>
          </w:p>
        </w:tc>
        <w:tc>
          <w:tcPr>
            <w:tcW w:w="902" w:type="dxa"/>
            <w:vAlign w:val="bottom"/>
          </w:tcPr>
          <w:p w:rsidR="00000000" w:rsidRDefault="00000000">
            <w:pPr>
              <w:pStyle w:val="table"/>
              <w:tabs>
                <w:tab w:val="decimal" w:pos="510"/>
              </w:tabs>
              <w:spacing w:line="180" w:lineRule="exact"/>
            </w:pPr>
            <w:r>
              <w:t>81,2</w:t>
            </w:r>
          </w:p>
        </w:tc>
        <w:tc>
          <w:tcPr>
            <w:tcW w:w="902" w:type="dxa"/>
            <w:vAlign w:val="bottom"/>
          </w:tcPr>
          <w:p w:rsidR="00000000" w:rsidRDefault="00000000">
            <w:pPr>
              <w:pStyle w:val="table"/>
              <w:tabs>
                <w:tab w:val="decimal" w:pos="510"/>
              </w:tabs>
              <w:spacing w:line="180" w:lineRule="exact"/>
            </w:pPr>
            <w:r>
              <w:t>80,1</w:t>
            </w:r>
          </w:p>
        </w:tc>
        <w:tc>
          <w:tcPr>
            <w:tcW w:w="904" w:type="dxa"/>
            <w:vAlign w:val="bottom"/>
          </w:tcPr>
          <w:p w:rsidR="00000000" w:rsidRDefault="00000000">
            <w:pPr>
              <w:pStyle w:val="table"/>
              <w:tabs>
                <w:tab w:val="decimal" w:pos="510"/>
              </w:tabs>
              <w:spacing w:line="180" w:lineRule="exact"/>
            </w:pPr>
            <w:r>
              <w:t>75,5</w:t>
            </w:r>
          </w:p>
        </w:tc>
        <w:tc>
          <w:tcPr>
            <w:tcW w:w="902" w:type="dxa"/>
            <w:vAlign w:val="bottom"/>
          </w:tcPr>
          <w:p w:rsidR="00000000" w:rsidRDefault="00000000">
            <w:pPr>
              <w:pStyle w:val="table"/>
              <w:tabs>
                <w:tab w:val="decimal" w:pos="510"/>
              </w:tabs>
              <w:spacing w:line="180" w:lineRule="exact"/>
            </w:pPr>
            <w:r>
              <w:t>76,6</w:t>
            </w:r>
          </w:p>
        </w:tc>
        <w:tc>
          <w:tcPr>
            <w:tcW w:w="902" w:type="dxa"/>
            <w:vAlign w:val="bottom"/>
          </w:tcPr>
          <w:p w:rsidR="00000000" w:rsidRDefault="00000000">
            <w:pPr>
              <w:pStyle w:val="table"/>
              <w:tabs>
                <w:tab w:val="decimal" w:pos="510"/>
              </w:tabs>
              <w:spacing w:line="180" w:lineRule="exact"/>
            </w:pPr>
            <w:r>
              <w:t>74,7</w:t>
            </w:r>
          </w:p>
        </w:tc>
        <w:tc>
          <w:tcPr>
            <w:tcW w:w="902" w:type="dxa"/>
            <w:vAlign w:val="bottom"/>
          </w:tcPr>
          <w:p w:rsidR="00000000" w:rsidRDefault="00000000">
            <w:pPr>
              <w:pStyle w:val="table"/>
              <w:tabs>
                <w:tab w:val="decimal" w:pos="510"/>
              </w:tabs>
              <w:spacing w:line="180" w:lineRule="exact"/>
            </w:pPr>
            <w:r>
              <w:t>77,7</w:t>
            </w:r>
          </w:p>
        </w:tc>
        <w:tc>
          <w:tcPr>
            <w:tcW w:w="904" w:type="dxa"/>
            <w:vAlign w:val="bottom"/>
          </w:tcPr>
          <w:p w:rsidR="00000000" w:rsidRDefault="00000000">
            <w:pPr>
              <w:pStyle w:val="table"/>
              <w:tabs>
                <w:tab w:val="decimal" w:pos="510"/>
              </w:tabs>
              <w:spacing w:line="180" w:lineRule="exact"/>
            </w:pPr>
            <w:r>
              <w:t>76,2</w:t>
            </w:r>
          </w:p>
        </w:tc>
        <w:tc>
          <w:tcPr>
            <w:tcW w:w="902" w:type="dxa"/>
            <w:vAlign w:val="bottom"/>
          </w:tcPr>
          <w:p w:rsidR="00000000" w:rsidRDefault="00000000">
            <w:pPr>
              <w:pStyle w:val="table"/>
              <w:tabs>
                <w:tab w:val="decimal" w:pos="510"/>
              </w:tabs>
              <w:spacing w:line="180" w:lineRule="exact"/>
            </w:pPr>
            <w:r>
              <w:t>74,3</w:t>
            </w:r>
          </w:p>
        </w:tc>
        <w:tc>
          <w:tcPr>
            <w:tcW w:w="902" w:type="dxa"/>
            <w:vAlign w:val="bottom"/>
          </w:tcPr>
          <w:p w:rsidR="00000000" w:rsidRDefault="00000000">
            <w:pPr>
              <w:pStyle w:val="table"/>
              <w:tabs>
                <w:tab w:val="decimal" w:pos="510"/>
              </w:tabs>
              <w:spacing w:line="180" w:lineRule="exact"/>
            </w:pPr>
            <w:r>
              <w:t>71,1</w:t>
            </w:r>
          </w:p>
        </w:tc>
        <w:tc>
          <w:tcPr>
            <w:tcW w:w="907" w:type="dxa"/>
            <w:vAlign w:val="bottom"/>
          </w:tcPr>
          <w:p w:rsidR="00000000" w:rsidRDefault="00000000">
            <w:pPr>
              <w:pStyle w:val="table"/>
              <w:tabs>
                <w:tab w:val="decimal" w:pos="510"/>
              </w:tabs>
              <w:spacing w:line="180" w:lineRule="exact"/>
            </w:pPr>
            <w:r>
              <w:t>71,2</w:t>
            </w:r>
          </w:p>
        </w:tc>
      </w:tr>
      <w:tr w:rsidR="00000000">
        <w:tblPrEx>
          <w:tblCellMar>
            <w:top w:w="0" w:type="dxa"/>
            <w:bottom w:w="0" w:type="dxa"/>
          </w:tblCellMar>
        </w:tblPrEx>
        <w:tc>
          <w:tcPr>
            <w:tcW w:w="2325" w:type="dxa"/>
            <w:tcBorders>
              <w:bottom w:val="single" w:sz="12" w:space="0" w:color="auto"/>
            </w:tcBorders>
          </w:tcPr>
          <w:p w:rsidR="00000000" w:rsidRDefault="00000000">
            <w:pPr>
              <w:pStyle w:val="table"/>
              <w:spacing w:line="180" w:lineRule="exact"/>
            </w:pPr>
            <w:r>
              <w:t>Всего в профессионально-технических училищах</w:t>
            </w:r>
          </w:p>
        </w:tc>
        <w:tc>
          <w:tcPr>
            <w:tcW w:w="902" w:type="dxa"/>
            <w:tcBorders>
              <w:bottom w:val="single" w:sz="12" w:space="0" w:color="auto"/>
            </w:tcBorders>
            <w:vAlign w:val="bottom"/>
          </w:tcPr>
          <w:p w:rsidR="00000000" w:rsidRDefault="00000000">
            <w:pPr>
              <w:pStyle w:val="table"/>
              <w:tabs>
                <w:tab w:val="decimal" w:pos="510"/>
              </w:tabs>
              <w:spacing w:line="180" w:lineRule="exact"/>
            </w:pPr>
            <w:r>
              <w:t>28,0</w:t>
            </w:r>
          </w:p>
        </w:tc>
        <w:tc>
          <w:tcPr>
            <w:tcW w:w="902" w:type="dxa"/>
            <w:tcBorders>
              <w:bottom w:val="single" w:sz="12" w:space="0" w:color="auto"/>
            </w:tcBorders>
            <w:vAlign w:val="bottom"/>
          </w:tcPr>
          <w:p w:rsidR="00000000" w:rsidRDefault="00000000">
            <w:pPr>
              <w:pStyle w:val="table"/>
              <w:tabs>
                <w:tab w:val="decimal" w:pos="510"/>
              </w:tabs>
              <w:spacing w:line="180" w:lineRule="exact"/>
            </w:pPr>
            <w:r>
              <w:t>29,6</w:t>
            </w:r>
          </w:p>
        </w:tc>
        <w:tc>
          <w:tcPr>
            <w:tcW w:w="902" w:type="dxa"/>
            <w:tcBorders>
              <w:bottom w:val="single" w:sz="12" w:space="0" w:color="auto"/>
            </w:tcBorders>
            <w:vAlign w:val="bottom"/>
          </w:tcPr>
          <w:p w:rsidR="00000000" w:rsidRDefault="00000000">
            <w:pPr>
              <w:pStyle w:val="table"/>
              <w:tabs>
                <w:tab w:val="decimal" w:pos="510"/>
              </w:tabs>
              <w:spacing w:line="180" w:lineRule="exact"/>
            </w:pPr>
            <w:r>
              <w:t>32,4</w:t>
            </w:r>
          </w:p>
        </w:tc>
        <w:tc>
          <w:tcPr>
            <w:tcW w:w="904" w:type="dxa"/>
            <w:tcBorders>
              <w:bottom w:val="single" w:sz="12" w:space="0" w:color="auto"/>
            </w:tcBorders>
            <w:vAlign w:val="bottom"/>
          </w:tcPr>
          <w:p w:rsidR="00000000" w:rsidRDefault="00000000">
            <w:pPr>
              <w:pStyle w:val="table"/>
              <w:tabs>
                <w:tab w:val="decimal" w:pos="510"/>
              </w:tabs>
              <w:spacing w:line="180" w:lineRule="exact"/>
            </w:pPr>
            <w:r>
              <w:t>32,7</w:t>
            </w:r>
          </w:p>
        </w:tc>
        <w:tc>
          <w:tcPr>
            <w:tcW w:w="902" w:type="dxa"/>
            <w:tcBorders>
              <w:bottom w:val="single" w:sz="12" w:space="0" w:color="auto"/>
            </w:tcBorders>
            <w:vAlign w:val="bottom"/>
          </w:tcPr>
          <w:p w:rsidR="00000000" w:rsidRDefault="00000000">
            <w:pPr>
              <w:pStyle w:val="table"/>
              <w:tabs>
                <w:tab w:val="decimal" w:pos="510"/>
              </w:tabs>
              <w:spacing w:line="180" w:lineRule="exact"/>
            </w:pPr>
            <w:r>
              <w:t>33,7</w:t>
            </w:r>
          </w:p>
        </w:tc>
        <w:tc>
          <w:tcPr>
            <w:tcW w:w="902" w:type="dxa"/>
            <w:tcBorders>
              <w:bottom w:val="single" w:sz="12" w:space="0" w:color="auto"/>
            </w:tcBorders>
            <w:vAlign w:val="bottom"/>
          </w:tcPr>
          <w:p w:rsidR="00000000" w:rsidRDefault="00000000">
            <w:pPr>
              <w:pStyle w:val="table"/>
              <w:tabs>
                <w:tab w:val="decimal" w:pos="510"/>
              </w:tabs>
              <w:spacing w:line="180" w:lineRule="exact"/>
            </w:pPr>
            <w:r>
              <w:t>36,3</w:t>
            </w:r>
          </w:p>
        </w:tc>
        <w:tc>
          <w:tcPr>
            <w:tcW w:w="902" w:type="dxa"/>
            <w:tcBorders>
              <w:bottom w:val="single" w:sz="12" w:space="0" w:color="auto"/>
            </w:tcBorders>
            <w:vAlign w:val="bottom"/>
          </w:tcPr>
          <w:p w:rsidR="00000000" w:rsidRDefault="00000000">
            <w:pPr>
              <w:pStyle w:val="table"/>
              <w:tabs>
                <w:tab w:val="decimal" w:pos="510"/>
              </w:tabs>
              <w:spacing w:line="180" w:lineRule="exact"/>
            </w:pPr>
            <w:r>
              <w:t>37,2</w:t>
            </w:r>
          </w:p>
        </w:tc>
        <w:tc>
          <w:tcPr>
            <w:tcW w:w="904" w:type="dxa"/>
            <w:tcBorders>
              <w:bottom w:val="single" w:sz="12" w:space="0" w:color="auto"/>
            </w:tcBorders>
            <w:vAlign w:val="bottom"/>
          </w:tcPr>
          <w:p w:rsidR="00000000" w:rsidRDefault="00000000">
            <w:pPr>
              <w:pStyle w:val="table"/>
              <w:tabs>
                <w:tab w:val="decimal" w:pos="510"/>
              </w:tabs>
              <w:spacing w:line="180" w:lineRule="exact"/>
            </w:pPr>
            <w:r>
              <w:t>38,9</w:t>
            </w:r>
          </w:p>
        </w:tc>
        <w:tc>
          <w:tcPr>
            <w:tcW w:w="902" w:type="dxa"/>
            <w:tcBorders>
              <w:bottom w:val="single" w:sz="12" w:space="0" w:color="auto"/>
            </w:tcBorders>
            <w:vAlign w:val="bottom"/>
          </w:tcPr>
          <w:p w:rsidR="00000000" w:rsidRDefault="00000000">
            <w:pPr>
              <w:pStyle w:val="table"/>
              <w:tabs>
                <w:tab w:val="decimal" w:pos="510"/>
              </w:tabs>
              <w:spacing w:line="180" w:lineRule="exact"/>
            </w:pPr>
            <w:r>
              <w:t>39,3</w:t>
            </w:r>
          </w:p>
        </w:tc>
        <w:tc>
          <w:tcPr>
            <w:tcW w:w="902" w:type="dxa"/>
            <w:tcBorders>
              <w:bottom w:val="single" w:sz="12" w:space="0" w:color="auto"/>
            </w:tcBorders>
            <w:vAlign w:val="bottom"/>
          </w:tcPr>
          <w:p w:rsidR="00000000" w:rsidRDefault="00000000">
            <w:pPr>
              <w:pStyle w:val="table"/>
              <w:tabs>
                <w:tab w:val="decimal" w:pos="510"/>
              </w:tabs>
              <w:spacing w:line="180" w:lineRule="exact"/>
            </w:pPr>
            <w:r>
              <w:t>39,5</w:t>
            </w:r>
          </w:p>
        </w:tc>
        <w:tc>
          <w:tcPr>
            <w:tcW w:w="907" w:type="dxa"/>
            <w:tcBorders>
              <w:bottom w:val="single" w:sz="12" w:space="0" w:color="auto"/>
            </w:tcBorders>
            <w:vAlign w:val="bottom"/>
          </w:tcPr>
          <w:p w:rsidR="00000000" w:rsidRDefault="00000000">
            <w:pPr>
              <w:pStyle w:val="table"/>
              <w:tabs>
                <w:tab w:val="decimal" w:pos="510"/>
              </w:tabs>
              <w:spacing w:line="180" w:lineRule="exact"/>
            </w:pPr>
            <w:r>
              <w:t>38,7</w:t>
            </w:r>
          </w:p>
        </w:tc>
      </w:tr>
    </w:tbl>
    <w:p w:rsidR="00000000" w:rsidRDefault="00000000">
      <w:pPr>
        <w:pStyle w:val="istochnik"/>
        <w:tabs>
          <w:tab w:val="clear" w:pos="1267"/>
        </w:tabs>
        <w:spacing w:after="0"/>
        <w:ind w:left="0"/>
      </w:pPr>
      <w:r>
        <w:t>*) исключая административные колледжи</w:t>
      </w:r>
    </w:p>
    <w:p w:rsidR="00000000" w:rsidRDefault="00000000">
      <w:pPr>
        <w:pStyle w:val="istochnik"/>
        <w:tabs>
          <w:tab w:val="clear" w:pos="1267"/>
        </w:tabs>
        <w:spacing w:after="0"/>
        <w:ind w:left="0"/>
      </w:pPr>
      <w:r>
        <w:rPr>
          <w:i/>
        </w:rPr>
        <w:t>Источник</w:t>
      </w:r>
      <w:r>
        <w:t>: Федеральное статистическое управление</w:t>
      </w:r>
    </w:p>
    <w:p w:rsidR="00000000" w:rsidRDefault="00000000">
      <w:pPr>
        <w:pStyle w:val="istochnik"/>
        <w:tabs>
          <w:tab w:val="clear" w:pos="1267"/>
        </w:tabs>
        <w:spacing w:after="0"/>
        <w:ind w:left="0"/>
        <w:sectPr w:rsidR="00000000">
          <w:headerReference w:type="even" r:id="rId29"/>
          <w:headerReference w:type="default" r:id="rId30"/>
          <w:footerReference w:type="even" r:id="rId31"/>
          <w:footerReference w:type="default" r:id="rId32"/>
          <w:endnotePr>
            <w:numFmt w:val="decimal"/>
          </w:endnotePr>
          <w:pgSz w:w="15840" w:h="12240" w:orient="landscape" w:code="1"/>
          <w:pgMar w:top="1196" w:right="1741" w:bottom="1196" w:left="1899" w:header="578" w:footer="1038" w:gutter="0"/>
          <w:cols w:space="720"/>
          <w:noEndnote/>
        </w:sectPr>
      </w:pPr>
    </w:p>
    <w:p w:rsidR="00000000" w:rsidRDefault="00000000">
      <w:pPr>
        <w:pStyle w:val="H23"/>
        <w:ind w:left="1264" w:firstLine="0"/>
      </w:pPr>
      <w:bookmarkStart w:id="818" w:name="_Toc44115629"/>
      <w:bookmarkStart w:id="819" w:name="_Toc44116061"/>
      <w:r>
        <w:t>Таблица 4.4 Доля женщин в науке и образовании в 2000 году, общие показатели</w:t>
      </w:r>
      <w:bookmarkEnd w:id="818"/>
      <w:bookmarkEnd w:id="819"/>
    </w:p>
    <w:tbl>
      <w:tblPr>
        <w:tblW w:w="0" w:type="auto"/>
        <w:tblInd w:w="1158" w:type="dxa"/>
        <w:tblLayout w:type="fixed"/>
        <w:tblLook w:val="0000" w:firstRow="0" w:lastRow="0" w:firstColumn="0" w:lastColumn="0" w:noHBand="0" w:noVBand="0"/>
      </w:tblPr>
      <w:tblGrid>
        <w:gridCol w:w="3806"/>
        <w:gridCol w:w="2976"/>
      </w:tblGrid>
      <w:tr w:rsidR="00000000">
        <w:tblPrEx>
          <w:tblCellMar>
            <w:top w:w="0" w:type="dxa"/>
            <w:bottom w:w="0" w:type="dxa"/>
          </w:tblCellMar>
        </w:tblPrEx>
        <w:tc>
          <w:tcPr>
            <w:tcW w:w="3806" w:type="dxa"/>
            <w:tcBorders>
              <w:top w:val="single" w:sz="6" w:space="0" w:color="auto"/>
              <w:bottom w:val="single" w:sz="12" w:space="0" w:color="auto"/>
            </w:tcBorders>
          </w:tcPr>
          <w:p w:rsidR="00000000" w:rsidRDefault="00000000">
            <w:pPr>
              <w:pStyle w:val="table"/>
            </w:pPr>
          </w:p>
        </w:tc>
        <w:tc>
          <w:tcPr>
            <w:tcW w:w="2976" w:type="dxa"/>
            <w:tcBorders>
              <w:top w:val="single" w:sz="6" w:space="0" w:color="auto"/>
              <w:bottom w:val="single" w:sz="12" w:space="0" w:color="auto"/>
            </w:tcBorders>
          </w:tcPr>
          <w:p w:rsidR="00000000" w:rsidRDefault="00000000">
            <w:pPr>
              <w:pStyle w:val="table"/>
              <w:jc w:val="center"/>
            </w:pPr>
            <w:r>
              <w:t>Женщины, в %</w:t>
            </w:r>
          </w:p>
        </w:tc>
      </w:tr>
      <w:tr w:rsidR="00000000">
        <w:tblPrEx>
          <w:tblCellMar>
            <w:top w:w="0" w:type="dxa"/>
            <w:bottom w:w="0" w:type="dxa"/>
          </w:tblCellMar>
        </w:tblPrEx>
        <w:tc>
          <w:tcPr>
            <w:tcW w:w="3806" w:type="dxa"/>
            <w:tcBorders>
              <w:top w:val="single" w:sz="12" w:space="0" w:color="auto"/>
            </w:tcBorders>
          </w:tcPr>
          <w:p w:rsidR="00000000" w:rsidRDefault="00000000">
            <w:pPr>
              <w:pStyle w:val="table"/>
            </w:pPr>
            <w:r>
              <w:t>Выпускники школ, получившие аттестат о среднем образовании</w:t>
            </w:r>
          </w:p>
        </w:tc>
        <w:tc>
          <w:tcPr>
            <w:tcW w:w="2976" w:type="dxa"/>
            <w:tcBorders>
              <w:top w:val="single" w:sz="12" w:space="0" w:color="auto"/>
            </w:tcBorders>
          </w:tcPr>
          <w:p w:rsidR="00000000" w:rsidRDefault="00000000">
            <w:pPr>
              <w:pStyle w:val="table"/>
              <w:jc w:val="center"/>
            </w:pPr>
            <w:r>
              <w:t>53,6</w:t>
            </w:r>
          </w:p>
        </w:tc>
      </w:tr>
      <w:tr w:rsidR="00000000">
        <w:tblPrEx>
          <w:tblCellMar>
            <w:top w:w="0" w:type="dxa"/>
            <w:bottom w:w="0" w:type="dxa"/>
          </w:tblCellMar>
        </w:tblPrEx>
        <w:tc>
          <w:tcPr>
            <w:tcW w:w="3806" w:type="dxa"/>
          </w:tcPr>
          <w:p w:rsidR="00000000" w:rsidRDefault="00000000">
            <w:pPr>
              <w:pStyle w:val="table"/>
            </w:pPr>
            <w:r>
              <w:t>Студенты первого курса высших учебных з</w:t>
            </w:r>
            <w:r>
              <w:t>а</w:t>
            </w:r>
            <w:r>
              <w:t>ведений</w:t>
            </w:r>
          </w:p>
        </w:tc>
        <w:tc>
          <w:tcPr>
            <w:tcW w:w="2976" w:type="dxa"/>
          </w:tcPr>
          <w:p w:rsidR="00000000" w:rsidRDefault="00000000">
            <w:pPr>
              <w:pStyle w:val="table"/>
              <w:jc w:val="center"/>
            </w:pPr>
            <w:r>
              <w:t>49,2</w:t>
            </w:r>
          </w:p>
        </w:tc>
      </w:tr>
      <w:tr w:rsidR="00000000">
        <w:tblPrEx>
          <w:tblCellMar>
            <w:top w:w="0" w:type="dxa"/>
            <w:bottom w:w="0" w:type="dxa"/>
          </w:tblCellMar>
        </w:tblPrEx>
        <w:tc>
          <w:tcPr>
            <w:tcW w:w="3806" w:type="dxa"/>
          </w:tcPr>
          <w:p w:rsidR="00000000" w:rsidRDefault="00000000">
            <w:pPr>
              <w:pStyle w:val="table"/>
            </w:pPr>
            <w:r>
              <w:t>Студенты</w:t>
            </w:r>
          </w:p>
        </w:tc>
        <w:tc>
          <w:tcPr>
            <w:tcW w:w="2976" w:type="dxa"/>
          </w:tcPr>
          <w:p w:rsidR="00000000" w:rsidRDefault="00000000">
            <w:pPr>
              <w:pStyle w:val="table"/>
              <w:jc w:val="center"/>
            </w:pPr>
            <w:r>
              <w:t>46,1</w:t>
            </w:r>
          </w:p>
        </w:tc>
      </w:tr>
      <w:tr w:rsidR="00000000">
        <w:tblPrEx>
          <w:tblCellMar>
            <w:top w:w="0" w:type="dxa"/>
            <w:bottom w:w="0" w:type="dxa"/>
          </w:tblCellMar>
        </w:tblPrEx>
        <w:tc>
          <w:tcPr>
            <w:tcW w:w="3806" w:type="dxa"/>
          </w:tcPr>
          <w:p w:rsidR="00000000" w:rsidRDefault="00000000">
            <w:pPr>
              <w:pStyle w:val="table"/>
            </w:pPr>
            <w:r>
              <w:t>Выпускники</w:t>
            </w:r>
          </w:p>
        </w:tc>
        <w:tc>
          <w:tcPr>
            <w:tcW w:w="2976" w:type="dxa"/>
          </w:tcPr>
          <w:p w:rsidR="00000000" w:rsidRDefault="00000000">
            <w:pPr>
              <w:pStyle w:val="table"/>
              <w:jc w:val="center"/>
            </w:pPr>
            <w:r>
              <w:t>44,8</w:t>
            </w:r>
          </w:p>
        </w:tc>
      </w:tr>
      <w:tr w:rsidR="00000000">
        <w:tblPrEx>
          <w:tblCellMar>
            <w:top w:w="0" w:type="dxa"/>
            <w:bottom w:w="0" w:type="dxa"/>
          </w:tblCellMar>
        </w:tblPrEx>
        <w:tc>
          <w:tcPr>
            <w:tcW w:w="3806" w:type="dxa"/>
          </w:tcPr>
          <w:p w:rsidR="00000000" w:rsidRDefault="00000000">
            <w:pPr>
              <w:pStyle w:val="table"/>
            </w:pPr>
            <w:r>
              <w:t>Кандидаты наук</w:t>
            </w:r>
          </w:p>
        </w:tc>
        <w:tc>
          <w:tcPr>
            <w:tcW w:w="2976" w:type="dxa"/>
          </w:tcPr>
          <w:p w:rsidR="00000000" w:rsidRDefault="00000000">
            <w:pPr>
              <w:pStyle w:val="table"/>
              <w:jc w:val="center"/>
            </w:pPr>
            <w:r>
              <w:t>34,3</w:t>
            </w:r>
          </w:p>
        </w:tc>
      </w:tr>
      <w:tr w:rsidR="00000000">
        <w:tblPrEx>
          <w:tblCellMar>
            <w:top w:w="0" w:type="dxa"/>
            <w:bottom w:w="0" w:type="dxa"/>
          </w:tblCellMar>
        </w:tblPrEx>
        <w:tc>
          <w:tcPr>
            <w:tcW w:w="3806" w:type="dxa"/>
          </w:tcPr>
          <w:p w:rsidR="00000000" w:rsidRDefault="00000000">
            <w:pPr>
              <w:pStyle w:val="table"/>
            </w:pPr>
            <w:r>
              <w:t>Научные сотрудники и специалисты по х</w:t>
            </w:r>
            <w:r>
              <w:t>у</w:t>
            </w:r>
            <w:r>
              <w:t>дожественным вопросам высших учебных заведений</w:t>
            </w:r>
          </w:p>
        </w:tc>
        <w:tc>
          <w:tcPr>
            <w:tcW w:w="2976" w:type="dxa"/>
          </w:tcPr>
          <w:p w:rsidR="00000000" w:rsidRDefault="00000000">
            <w:pPr>
              <w:pStyle w:val="table"/>
              <w:jc w:val="center"/>
            </w:pPr>
            <w:r>
              <w:t>30,4</w:t>
            </w:r>
          </w:p>
        </w:tc>
      </w:tr>
      <w:tr w:rsidR="00000000">
        <w:tblPrEx>
          <w:tblCellMar>
            <w:top w:w="0" w:type="dxa"/>
            <w:bottom w:w="0" w:type="dxa"/>
          </w:tblCellMar>
        </w:tblPrEx>
        <w:tc>
          <w:tcPr>
            <w:tcW w:w="3806" w:type="dxa"/>
          </w:tcPr>
          <w:p w:rsidR="00000000" w:rsidRDefault="00000000">
            <w:pPr>
              <w:pStyle w:val="table"/>
            </w:pPr>
            <w:r>
              <w:t>Лекторы и ассистенты высших учебных зав</w:t>
            </w:r>
            <w:r>
              <w:t>е</w:t>
            </w:r>
            <w:r>
              <w:t>дений</w:t>
            </w:r>
          </w:p>
        </w:tc>
        <w:tc>
          <w:tcPr>
            <w:tcW w:w="2976" w:type="dxa"/>
          </w:tcPr>
          <w:p w:rsidR="00000000" w:rsidRDefault="00000000">
            <w:pPr>
              <w:pStyle w:val="table"/>
              <w:jc w:val="center"/>
            </w:pPr>
            <w:r>
              <w:t>25,1</w:t>
            </w:r>
          </w:p>
        </w:tc>
      </w:tr>
      <w:tr w:rsidR="00000000">
        <w:tblPrEx>
          <w:tblCellMar>
            <w:top w:w="0" w:type="dxa"/>
            <w:bottom w:w="0" w:type="dxa"/>
          </w:tblCellMar>
        </w:tblPrEx>
        <w:tc>
          <w:tcPr>
            <w:tcW w:w="3806" w:type="dxa"/>
          </w:tcPr>
          <w:p w:rsidR="00000000" w:rsidRDefault="00000000">
            <w:pPr>
              <w:pStyle w:val="table"/>
            </w:pPr>
            <w:r>
              <w:t>Специалисты по конкретным областям</w:t>
            </w:r>
          </w:p>
        </w:tc>
        <w:tc>
          <w:tcPr>
            <w:tcW w:w="2976" w:type="dxa"/>
          </w:tcPr>
          <w:p w:rsidR="00000000" w:rsidRDefault="00000000">
            <w:pPr>
              <w:pStyle w:val="table"/>
              <w:jc w:val="center"/>
            </w:pPr>
            <w:r>
              <w:t>18,4</w:t>
            </w:r>
          </w:p>
        </w:tc>
      </w:tr>
      <w:tr w:rsidR="00000000">
        <w:tblPrEx>
          <w:tblCellMar>
            <w:top w:w="0" w:type="dxa"/>
            <w:bottom w:w="0" w:type="dxa"/>
          </w:tblCellMar>
        </w:tblPrEx>
        <w:tc>
          <w:tcPr>
            <w:tcW w:w="3806" w:type="dxa"/>
          </w:tcPr>
          <w:p w:rsidR="00000000" w:rsidRDefault="00000000">
            <w:pPr>
              <w:pStyle w:val="table"/>
            </w:pPr>
            <w:r>
              <w:t>Профессорские должности к</w:t>
            </w:r>
            <w:r>
              <w:t>а</w:t>
            </w:r>
            <w:r>
              <w:t>тегории С2</w:t>
            </w:r>
          </w:p>
        </w:tc>
        <w:tc>
          <w:tcPr>
            <w:tcW w:w="2976" w:type="dxa"/>
          </w:tcPr>
          <w:p w:rsidR="00000000" w:rsidRDefault="00000000">
            <w:pPr>
              <w:pStyle w:val="table"/>
              <w:jc w:val="center"/>
            </w:pPr>
            <w:r>
              <w:t>14,9</w:t>
            </w:r>
          </w:p>
        </w:tc>
      </w:tr>
      <w:tr w:rsidR="00000000">
        <w:tblPrEx>
          <w:tblCellMar>
            <w:top w:w="0" w:type="dxa"/>
            <w:bottom w:w="0" w:type="dxa"/>
          </w:tblCellMar>
        </w:tblPrEx>
        <w:tc>
          <w:tcPr>
            <w:tcW w:w="3806" w:type="dxa"/>
          </w:tcPr>
          <w:p w:rsidR="00000000" w:rsidRDefault="00000000">
            <w:pPr>
              <w:pStyle w:val="table"/>
            </w:pPr>
            <w:r>
              <w:t>Профессорские должности к</w:t>
            </w:r>
            <w:r>
              <w:t>а</w:t>
            </w:r>
            <w:r>
              <w:t>тегории С3</w:t>
            </w:r>
          </w:p>
        </w:tc>
        <w:tc>
          <w:tcPr>
            <w:tcW w:w="2976" w:type="dxa"/>
          </w:tcPr>
          <w:p w:rsidR="00000000" w:rsidRDefault="00000000">
            <w:pPr>
              <w:pStyle w:val="table"/>
              <w:jc w:val="center"/>
            </w:pPr>
            <w:r>
              <w:t>11,0</w:t>
            </w:r>
          </w:p>
        </w:tc>
      </w:tr>
      <w:tr w:rsidR="00000000">
        <w:tblPrEx>
          <w:tblCellMar>
            <w:top w:w="0" w:type="dxa"/>
            <w:bottom w:w="0" w:type="dxa"/>
          </w:tblCellMar>
        </w:tblPrEx>
        <w:tc>
          <w:tcPr>
            <w:tcW w:w="3806" w:type="dxa"/>
            <w:tcBorders>
              <w:bottom w:val="single" w:sz="12" w:space="0" w:color="auto"/>
            </w:tcBorders>
          </w:tcPr>
          <w:p w:rsidR="00000000" w:rsidRDefault="00000000">
            <w:pPr>
              <w:pStyle w:val="table"/>
            </w:pPr>
            <w:r>
              <w:t>Профессорские должности к</w:t>
            </w:r>
            <w:r>
              <w:t>а</w:t>
            </w:r>
            <w:r>
              <w:t>тегории С4</w:t>
            </w:r>
          </w:p>
        </w:tc>
        <w:tc>
          <w:tcPr>
            <w:tcW w:w="2976" w:type="dxa"/>
            <w:tcBorders>
              <w:bottom w:val="single" w:sz="12" w:space="0" w:color="auto"/>
            </w:tcBorders>
          </w:tcPr>
          <w:p w:rsidR="00000000" w:rsidRDefault="00000000">
            <w:pPr>
              <w:pStyle w:val="table"/>
              <w:jc w:val="center"/>
            </w:pPr>
            <w:r>
              <w:t>7,1</w:t>
            </w:r>
          </w:p>
        </w:tc>
      </w:tr>
    </w:tbl>
    <w:p w:rsidR="00000000" w:rsidRDefault="00000000">
      <w:pPr>
        <w:pStyle w:val="istochnik"/>
      </w:pPr>
      <w:r>
        <w:rPr>
          <w:i/>
        </w:rPr>
        <w:t>Источник</w:t>
      </w:r>
      <w:r>
        <w:t>: Федеральное статистическое управление</w:t>
      </w:r>
    </w:p>
    <w:p w:rsidR="00000000" w:rsidRDefault="00000000">
      <w:pPr>
        <w:pStyle w:val="HCh"/>
      </w:pPr>
      <w:r>
        <w:rPr>
          <w:i/>
        </w:rPr>
        <w:br w:type="page"/>
      </w:r>
      <w:bookmarkStart w:id="820" w:name="_Toc44114382"/>
      <w:bookmarkStart w:id="821" w:name="_Toc44115630"/>
      <w:bookmarkStart w:id="822" w:name="_Toc44116062"/>
      <w:r>
        <w:t>Приложение II</w:t>
      </w:r>
      <w:r>
        <w:br/>
        <w:t>Обзор мер, принятых после 1998 года в целях реализации принципа ра</w:t>
      </w:r>
      <w:r>
        <w:t>в</w:t>
      </w:r>
      <w:r>
        <w:t>ноправия</w:t>
      </w:r>
      <w:bookmarkEnd w:id="820"/>
      <w:bookmarkEnd w:id="821"/>
      <w:bookmarkEnd w:id="822"/>
      <w:r>
        <w:t xml:space="preserve"> </w:t>
      </w:r>
    </w:p>
    <w:p w:rsidR="00000000" w:rsidRDefault="00000000">
      <w:pPr>
        <w:pStyle w:val="H1"/>
      </w:pPr>
      <w:bookmarkStart w:id="823" w:name="_Toc44113573"/>
      <w:bookmarkStart w:id="824" w:name="_Toc44113874"/>
      <w:bookmarkStart w:id="825" w:name="_Toc44114383"/>
      <w:bookmarkStart w:id="826" w:name="_Toc44115631"/>
      <w:bookmarkStart w:id="827" w:name="_Toc44116063"/>
      <w:r>
        <w:t>1)</w:t>
      </w:r>
      <w:r>
        <w:tab/>
        <w:t>Законы</w:t>
      </w:r>
      <w:bookmarkEnd w:id="823"/>
      <w:bookmarkEnd w:id="824"/>
      <w:bookmarkEnd w:id="825"/>
      <w:bookmarkEnd w:id="826"/>
      <w:bookmarkEnd w:id="827"/>
    </w:p>
    <w:tbl>
      <w:tblPr>
        <w:tblW w:w="0" w:type="auto"/>
        <w:tblInd w:w="1158" w:type="dxa"/>
        <w:tblLayout w:type="fixed"/>
        <w:tblLook w:val="0000" w:firstRow="0" w:lastRow="0" w:firstColumn="0" w:lastColumn="0" w:noHBand="0" w:noVBand="0"/>
      </w:tblPr>
      <w:tblGrid>
        <w:gridCol w:w="1679"/>
        <w:gridCol w:w="5670"/>
      </w:tblGrid>
      <w:tr w:rsidR="00000000">
        <w:tblPrEx>
          <w:tblCellMar>
            <w:top w:w="0" w:type="dxa"/>
            <w:bottom w:w="0" w:type="dxa"/>
          </w:tblCellMar>
        </w:tblPrEx>
        <w:tc>
          <w:tcPr>
            <w:tcW w:w="1679" w:type="dxa"/>
          </w:tcPr>
          <w:p w:rsidR="00000000" w:rsidRDefault="00000000">
            <w:pPr>
              <w:pStyle w:val="table"/>
              <w:rPr>
                <w:b/>
                <w:sz w:val="20"/>
              </w:rPr>
            </w:pPr>
            <w:r>
              <w:rPr>
                <w:b/>
                <w:sz w:val="20"/>
              </w:rPr>
              <w:t>Апрель 1998 года</w:t>
            </w:r>
          </w:p>
        </w:tc>
        <w:tc>
          <w:tcPr>
            <w:tcW w:w="5670" w:type="dxa"/>
          </w:tcPr>
          <w:p w:rsidR="00000000" w:rsidRDefault="00000000">
            <w:pPr>
              <w:pStyle w:val="table"/>
              <w:jc w:val="both"/>
              <w:rPr>
                <w:sz w:val="20"/>
              </w:rPr>
            </w:pPr>
            <w:r>
              <w:rPr>
                <w:sz w:val="20"/>
              </w:rPr>
              <w:t xml:space="preserve">1 апреля 1998 года вступает в силу </w:t>
            </w:r>
            <w:r>
              <w:rPr>
                <w:b/>
                <w:sz w:val="20"/>
              </w:rPr>
              <w:t>Указ о равноправии согласно закону о наследовании. (</w:t>
            </w:r>
            <w:r>
              <w:rPr>
                <w:sz w:val="20"/>
                <w:lang w:val="en-US"/>
              </w:rPr>
              <w:t>Erbrehtsgleichsrte</w:t>
            </w:r>
            <w:r>
              <w:rPr>
                <w:sz w:val="20"/>
                <w:lang w:val="en-US"/>
              </w:rPr>
              <w:t>l</w:t>
            </w:r>
            <w:r>
              <w:rPr>
                <w:sz w:val="20"/>
                <w:lang w:val="en-US"/>
              </w:rPr>
              <w:t>lungsgesetz</w:t>
            </w:r>
            <w:r>
              <w:rPr>
                <w:sz w:val="20"/>
              </w:rPr>
              <w:t>) Данный Указ предоставляет детям, отцы кот</w:t>
            </w:r>
            <w:r>
              <w:rPr>
                <w:sz w:val="20"/>
              </w:rPr>
              <w:t>о</w:t>
            </w:r>
            <w:r>
              <w:rPr>
                <w:sz w:val="20"/>
              </w:rPr>
              <w:t>рых не состоят в браке с их матерями, такие же полные права на наследство, как и всем другим родственникам о</w:t>
            </w:r>
            <w:r>
              <w:rPr>
                <w:sz w:val="20"/>
              </w:rPr>
              <w:t>т</w:t>
            </w:r>
            <w:r>
              <w:rPr>
                <w:sz w:val="20"/>
              </w:rPr>
              <w:t>ца. Ранее ребенку, отец которого не состоял в браке с мат</w:t>
            </w:r>
            <w:r>
              <w:rPr>
                <w:sz w:val="20"/>
              </w:rPr>
              <w:t>е</w:t>
            </w:r>
            <w:r>
              <w:rPr>
                <w:sz w:val="20"/>
              </w:rPr>
              <w:t>рью, предоставлялось только альтернативное право на п</w:t>
            </w:r>
            <w:r>
              <w:rPr>
                <w:sz w:val="20"/>
              </w:rPr>
              <w:t>о</w:t>
            </w:r>
            <w:r>
              <w:rPr>
                <w:sz w:val="20"/>
              </w:rPr>
              <w:t>лучение насле</w:t>
            </w:r>
            <w:r>
              <w:rPr>
                <w:sz w:val="20"/>
              </w:rPr>
              <w:t>д</w:t>
            </w:r>
            <w:r>
              <w:rPr>
                <w:sz w:val="20"/>
              </w:rPr>
              <w:t>ства в денежной форме.</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Июль 1998 года</w:t>
            </w:r>
          </w:p>
        </w:tc>
        <w:tc>
          <w:tcPr>
            <w:tcW w:w="5670" w:type="dxa"/>
          </w:tcPr>
          <w:p w:rsidR="00000000" w:rsidRDefault="00000000">
            <w:pPr>
              <w:pStyle w:val="table"/>
              <w:jc w:val="both"/>
              <w:rPr>
                <w:sz w:val="20"/>
              </w:rPr>
            </w:pPr>
            <w:r>
              <w:rPr>
                <w:sz w:val="20"/>
              </w:rPr>
              <w:t xml:space="preserve">3 июля 1998 года вступает в силу </w:t>
            </w:r>
            <w:r>
              <w:rPr>
                <w:b/>
                <w:sz w:val="20"/>
              </w:rPr>
              <w:t>Закон о внесении п</w:t>
            </w:r>
            <w:r>
              <w:rPr>
                <w:b/>
                <w:sz w:val="20"/>
              </w:rPr>
              <w:t>о</w:t>
            </w:r>
            <w:r>
              <w:rPr>
                <w:b/>
                <w:sz w:val="20"/>
              </w:rPr>
              <w:t>правок в Гражданский кодекс и в Закон о судах по тр</w:t>
            </w:r>
            <w:r>
              <w:rPr>
                <w:b/>
                <w:sz w:val="20"/>
              </w:rPr>
              <w:t>у</w:t>
            </w:r>
            <w:r>
              <w:rPr>
                <w:b/>
                <w:sz w:val="20"/>
              </w:rPr>
              <w:t>довым спорам</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Anderung</w:t>
            </w:r>
            <w:r>
              <w:rPr>
                <w:sz w:val="20"/>
              </w:rPr>
              <w:t xml:space="preserve"> </w:t>
            </w:r>
            <w:r>
              <w:rPr>
                <w:sz w:val="20"/>
                <w:lang w:val="en-US"/>
              </w:rPr>
              <w:t>des</w:t>
            </w:r>
            <w:r>
              <w:rPr>
                <w:sz w:val="20"/>
              </w:rPr>
              <w:t xml:space="preserve"> </w:t>
            </w:r>
            <w:r>
              <w:rPr>
                <w:sz w:val="20"/>
                <w:lang w:val="en-US"/>
              </w:rPr>
              <w:t>B</w:t>
            </w:r>
            <w:r>
              <w:rPr>
                <w:sz w:val="20"/>
              </w:rPr>
              <w:t>u</w:t>
            </w:r>
            <w:r>
              <w:rPr>
                <w:sz w:val="20"/>
                <w:lang w:val="en-US"/>
              </w:rPr>
              <w:t>rgerlichen</w:t>
            </w:r>
            <w:r>
              <w:rPr>
                <w:sz w:val="20"/>
              </w:rPr>
              <w:t xml:space="preserve"> </w:t>
            </w:r>
            <w:r>
              <w:rPr>
                <w:sz w:val="20"/>
                <w:lang w:val="en-US"/>
              </w:rPr>
              <w:t>G</w:t>
            </w:r>
            <w:r>
              <w:rPr>
                <w:sz w:val="20"/>
                <w:lang w:val="en-US"/>
              </w:rPr>
              <w:t>e</w:t>
            </w:r>
            <w:r>
              <w:rPr>
                <w:sz w:val="20"/>
                <w:lang w:val="en-US"/>
              </w:rPr>
              <w:t>setzbuches</w:t>
            </w:r>
            <w:r>
              <w:rPr>
                <w:sz w:val="20"/>
              </w:rPr>
              <w:t xml:space="preserve"> </w:t>
            </w:r>
            <w:r>
              <w:rPr>
                <w:sz w:val="20"/>
                <w:lang w:val="en-US"/>
              </w:rPr>
              <w:t>und</w:t>
            </w:r>
            <w:r>
              <w:rPr>
                <w:sz w:val="20"/>
              </w:rPr>
              <w:t xml:space="preserve"> </w:t>
            </w:r>
            <w:r>
              <w:rPr>
                <w:sz w:val="20"/>
                <w:lang w:val="en-US"/>
              </w:rPr>
              <w:t>des</w:t>
            </w:r>
            <w:r>
              <w:rPr>
                <w:sz w:val="20"/>
              </w:rPr>
              <w:t xml:space="preserve"> </w:t>
            </w:r>
            <w:r>
              <w:rPr>
                <w:sz w:val="20"/>
                <w:lang w:val="en-US"/>
              </w:rPr>
              <w:t>Arbeitsgerichtsgesetzes</w:t>
            </w:r>
            <w:r>
              <w:rPr>
                <w:sz w:val="20"/>
              </w:rPr>
              <w:t>). Этот Закон пр</w:t>
            </w:r>
            <w:r>
              <w:rPr>
                <w:sz w:val="20"/>
              </w:rPr>
              <w:t>и</w:t>
            </w:r>
            <w:r>
              <w:rPr>
                <w:sz w:val="20"/>
              </w:rPr>
              <w:t>нят в ответ на постановление Европейского суда от 22 апреля 1997 года (досье № С-180-95), в котором Суд в</w:t>
            </w:r>
            <w:r>
              <w:rPr>
                <w:sz w:val="20"/>
              </w:rPr>
              <w:t>ы</w:t>
            </w:r>
            <w:r>
              <w:rPr>
                <w:sz w:val="20"/>
              </w:rPr>
              <w:t>сказал мнение о том, что положения, действующие в Ге</w:t>
            </w:r>
            <w:r>
              <w:rPr>
                <w:sz w:val="20"/>
              </w:rPr>
              <w:t>р</w:t>
            </w:r>
            <w:r>
              <w:rPr>
                <w:sz w:val="20"/>
              </w:rPr>
              <w:t>мании и касающиеся равного обращения с мужчинами и женщинами при приеме на работу, частично не совмест</w:t>
            </w:r>
            <w:r>
              <w:rPr>
                <w:sz w:val="20"/>
              </w:rPr>
              <w:t>и</w:t>
            </w:r>
            <w:r>
              <w:rPr>
                <w:sz w:val="20"/>
              </w:rPr>
              <w:t>мы с европейским законодательством. Согласно законам Германии, работодатель обязан выплатить компенсацию, если при приеме на работу он действовал дискриминац</w:t>
            </w:r>
            <w:r>
              <w:rPr>
                <w:sz w:val="20"/>
              </w:rPr>
              <w:t>и</w:t>
            </w:r>
            <w:r>
              <w:rPr>
                <w:sz w:val="20"/>
              </w:rPr>
              <w:t>онным образом. Компенсация, предусмотренная в подра</w:t>
            </w:r>
            <w:r>
              <w:rPr>
                <w:sz w:val="20"/>
              </w:rPr>
              <w:t>з</w:t>
            </w:r>
            <w:r>
              <w:rPr>
                <w:sz w:val="20"/>
              </w:rPr>
              <w:t>деле 2 раздела 611а Гражданского кодекса (</w:t>
            </w:r>
            <w:r>
              <w:rPr>
                <w:sz w:val="20"/>
                <w:lang w:val="en-US"/>
              </w:rPr>
              <w:t>BGB</w:t>
            </w:r>
            <w:r>
              <w:rPr>
                <w:sz w:val="20"/>
              </w:rPr>
              <w:t>), должна выплачиваться независимо от наличия вины. При замещ</w:t>
            </w:r>
            <w:r>
              <w:rPr>
                <w:sz w:val="20"/>
              </w:rPr>
              <w:t>е</w:t>
            </w:r>
            <w:r>
              <w:rPr>
                <w:sz w:val="20"/>
              </w:rPr>
              <w:t>нии должностей работодатель также несет ответственность за неудовлетворительное выполнение своих обязанностей лицами, дейс</w:t>
            </w:r>
            <w:r>
              <w:rPr>
                <w:sz w:val="20"/>
              </w:rPr>
              <w:t>т</w:t>
            </w:r>
            <w:r>
              <w:rPr>
                <w:sz w:val="20"/>
              </w:rPr>
              <w:t>вующими от его имени.</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Июль 1998 года</w:t>
            </w:r>
          </w:p>
        </w:tc>
        <w:tc>
          <w:tcPr>
            <w:tcW w:w="5670" w:type="dxa"/>
          </w:tcPr>
          <w:p w:rsidR="00000000" w:rsidRDefault="00000000">
            <w:pPr>
              <w:pStyle w:val="table"/>
              <w:jc w:val="both"/>
              <w:rPr>
                <w:sz w:val="20"/>
              </w:rPr>
            </w:pPr>
            <w:r>
              <w:rPr>
                <w:sz w:val="20"/>
              </w:rPr>
              <w:t xml:space="preserve">Вступают в силу </w:t>
            </w:r>
            <w:r>
              <w:rPr>
                <w:b/>
                <w:sz w:val="20"/>
              </w:rPr>
              <w:t>Закон о внесении изменений в Закон, регулирующий отношения между родителями и детьми (</w:t>
            </w:r>
            <w:r>
              <w:rPr>
                <w:sz w:val="20"/>
                <w:lang w:val="en-US"/>
              </w:rPr>
              <w:t>Kindschaftsrechts</w:t>
            </w:r>
            <w:r>
              <w:rPr>
                <w:sz w:val="20"/>
              </w:rPr>
              <w:t>-</w:t>
            </w:r>
            <w:r>
              <w:rPr>
                <w:sz w:val="20"/>
                <w:lang w:val="en-US"/>
              </w:rPr>
              <w:t>reformgesetz</w:t>
            </w:r>
            <w:r>
              <w:rPr>
                <w:sz w:val="20"/>
              </w:rPr>
              <w:t xml:space="preserve">) и </w:t>
            </w:r>
            <w:r>
              <w:rPr>
                <w:b/>
                <w:sz w:val="20"/>
              </w:rPr>
              <w:t>Закон о правовой п</w:t>
            </w:r>
            <w:r>
              <w:rPr>
                <w:b/>
                <w:sz w:val="20"/>
              </w:rPr>
              <w:t>о</w:t>
            </w:r>
            <w:r>
              <w:rPr>
                <w:b/>
                <w:sz w:val="20"/>
              </w:rPr>
              <w:t>мощи</w:t>
            </w:r>
            <w:r>
              <w:rPr>
                <w:sz w:val="20"/>
              </w:rPr>
              <w:t xml:space="preserve"> (</w:t>
            </w:r>
            <w:r>
              <w:rPr>
                <w:sz w:val="20"/>
                <w:lang w:val="en-US"/>
              </w:rPr>
              <w:t>Beistandschaftsgesetz</w:t>
            </w:r>
            <w:r>
              <w:rPr>
                <w:sz w:val="20"/>
              </w:rPr>
              <w:t>). Закон о внесении изменений в Закон, регулирующий отношения между родителями и детьми, устраняет почти все различия в характере обращ</w:t>
            </w:r>
            <w:r>
              <w:rPr>
                <w:sz w:val="20"/>
              </w:rPr>
              <w:t>е</w:t>
            </w:r>
            <w:r>
              <w:rPr>
                <w:sz w:val="20"/>
              </w:rPr>
              <w:t>ния с детьми, рожденными как в браке, так и вне брака. Впервые родители, не состоящие в браке, могут брать на совместное родительское попечение своих детей. Согласно закону о родителях мать ребенка обладает преобладающ</w:t>
            </w:r>
            <w:r>
              <w:rPr>
                <w:sz w:val="20"/>
              </w:rPr>
              <w:t>и</w:t>
            </w:r>
            <w:r>
              <w:rPr>
                <w:sz w:val="20"/>
              </w:rPr>
              <w:t>ми правами при рассмотрении вопроса о признании и о</w:t>
            </w:r>
            <w:r>
              <w:rPr>
                <w:sz w:val="20"/>
              </w:rPr>
              <w:t>с</w:t>
            </w:r>
            <w:r>
              <w:rPr>
                <w:sz w:val="20"/>
              </w:rPr>
              <w:t>паривании отцовства: признание отцовства действительно только при ее согласии; и мать ребенка получает право о</w:t>
            </w:r>
            <w:r>
              <w:rPr>
                <w:sz w:val="20"/>
              </w:rPr>
              <w:t>с</w:t>
            </w:r>
            <w:r>
              <w:rPr>
                <w:sz w:val="20"/>
              </w:rPr>
              <w:t xml:space="preserve">паривать отцовство. Попечительство </w:t>
            </w:r>
            <w:r>
              <w:rPr>
                <w:sz w:val="20"/>
                <w:lang w:val="en-US"/>
              </w:rPr>
              <w:t>ex</w:t>
            </w:r>
            <w:r>
              <w:rPr>
                <w:sz w:val="20"/>
              </w:rPr>
              <w:t xml:space="preserve"> </w:t>
            </w:r>
            <w:r>
              <w:rPr>
                <w:sz w:val="20"/>
                <w:lang w:val="en-US"/>
              </w:rPr>
              <w:t>officio</w:t>
            </w:r>
            <w:r>
              <w:rPr>
                <w:sz w:val="20"/>
              </w:rPr>
              <w:t>, предоста</w:t>
            </w:r>
            <w:r>
              <w:rPr>
                <w:sz w:val="20"/>
              </w:rPr>
              <w:t>в</w:t>
            </w:r>
            <w:r>
              <w:rPr>
                <w:sz w:val="20"/>
              </w:rPr>
              <w:t xml:space="preserve">ляемое бюро по вопросам благосостояния молодежи детям, рожденным вне брака, заменяется </w:t>
            </w:r>
            <w:r>
              <w:rPr>
                <w:b/>
                <w:sz w:val="20"/>
              </w:rPr>
              <w:t>правовой помощью</w:t>
            </w:r>
            <w:r>
              <w:rPr>
                <w:sz w:val="20"/>
              </w:rPr>
              <w:t>, которая предлагается этим бюро и которая должна прин</w:t>
            </w:r>
            <w:r>
              <w:rPr>
                <w:sz w:val="20"/>
              </w:rPr>
              <w:t>и</w:t>
            </w:r>
            <w:r>
              <w:rPr>
                <w:sz w:val="20"/>
              </w:rPr>
              <w:t>маться на добровольной основе в целях установления о</w:t>
            </w:r>
            <w:r>
              <w:rPr>
                <w:sz w:val="20"/>
              </w:rPr>
              <w:t>т</w:t>
            </w:r>
            <w:r>
              <w:rPr>
                <w:sz w:val="20"/>
              </w:rPr>
              <w:t>цовства и обеспечения м</w:t>
            </w:r>
            <w:r>
              <w:rPr>
                <w:sz w:val="20"/>
              </w:rPr>
              <w:t>а</w:t>
            </w:r>
            <w:r>
              <w:rPr>
                <w:sz w:val="20"/>
              </w:rPr>
              <w:t>териального содержания.</w:t>
            </w:r>
          </w:p>
        </w:tc>
      </w:tr>
      <w:tr w:rsidR="00000000">
        <w:tblPrEx>
          <w:tblCellMar>
            <w:top w:w="0" w:type="dxa"/>
            <w:bottom w:w="0" w:type="dxa"/>
          </w:tblCellMar>
        </w:tblPrEx>
        <w:tc>
          <w:tcPr>
            <w:tcW w:w="1679" w:type="dxa"/>
          </w:tcPr>
          <w:p w:rsidR="00000000" w:rsidRDefault="00000000">
            <w:pPr>
              <w:pStyle w:val="table"/>
              <w:rPr>
                <w:b/>
                <w:sz w:val="20"/>
              </w:rPr>
            </w:pPr>
            <w:r>
              <w:rPr>
                <w:b/>
                <w:sz w:val="20"/>
              </w:rPr>
              <w:t>Декабрь 1998 года</w:t>
            </w:r>
          </w:p>
        </w:tc>
        <w:tc>
          <w:tcPr>
            <w:tcW w:w="5670" w:type="dxa"/>
          </w:tcPr>
          <w:p w:rsidR="00000000" w:rsidRDefault="00000000">
            <w:pPr>
              <w:pStyle w:val="table"/>
              <w:jc w:val="both"/>
              <w:rPr>
                <w:sz w:val="20"/>
              </w:rPr>
            </w:pPr>
            <w:r>
              <w:rPr>
                <w:sz w:val="20"/>
              </w:rPr>
              <w:t xml:space="preserve">1 декабря 1998 года вступает в силу </w:t>
            </w:r>
            <w:r>
              <w:rPr>
                <w:b/>
                <w:sz w:val="20"/>
              </w:rPr>
              <w:t>Закон о защите св</w:t>
            </w:r>
            <w:r>
              <w:rPr>
                <w:b/>
                <w:sz w:val="20"/>
              </w:rPr>
              <w:t>и</w:t>
            </w:r>
            <w:r>
              <w:rPr>
                <w:b/>
                <w:sz w:val="20"/>
              </w:rPr>
              <w:t>детелей в ходе расследования, которое проводится в рамках уголовного судопроизводства, и об обеспечении более эффективной защиты свидетелей – Закон о защ</w:t>
            </w:r>
            <w:r>
              <w:rPr>
                <w:b/>
                <w:sz w:val="20"/>
              </w:rPr>
              <w:t>и</w:t>
            </w:r>
            <w:r>
              <w:rPr>
                <w:b/>
                <w:sz w:val="20"/>
              </w:rPr>
              <w:t xml:space="preserve">те свидетелей </w:t>
            </w:r>
            <w:r>
              <w:rPr>
                <w:sz w:val="20"/>
              </w:rPr>
              <w:t>(</w:t>
            </w:r>
            <w:r>
              <w:rPr>
                <w:sz w:val="20"/>
                <w:lang w:val="en-US"/>
              </w:rPr>
              <w:t>Gesetz</w:t>
            </w:r>
            <w:r>
              <w:rPr>
                <w:sz w:val="20"/>
              </w:rPr>
              <w:t xml:space="preserve"> </w:t>
            </w:r>
            <w:r>
              <w:rPr>
                <w:sz w:val="20"/>
                <w:lang w:val="en-US"/>
              </w:rPr>
              <w:t>zum</w:t>
            </w:r>
            <w:r>
              <w:rPr>
                <w:sz w:val="20"/>
              </w:rPr>
              <w:t xml:space="preserve"> </w:t>
            </w:r>
            <w:r>
              <w:rPr>
                <w:sz w:val="20"/>
                <w:lang w:val="en-US"/>
              </w:rPr>
              <w:t>Schuts</w:t>
            </w:r>
            <w:r>
              <w:rPr>
                <w:sz w:val="20"/>
              </w:rPr>
              <w:t xml:space="preserve"> </w:t>
            </w:r>
            <w:r>
              <w:rPr>
                <w:sz w:val="20"/>
                <w:lang w:val="en-US"/>
              </w:rPr>
              <w:t>von</w:t>
            </w:r>
            <w:r>
              <w:rPr>
                <w:sz w:val="20"/>
              </w:rPr>
              <w:t xml:space="preserve"> </w:t>
            </w:r>
            <w:r>
              <w:rPr>
                <w:sz w:val="20"/>
                <w:lang w:val="en-US"/>
              </w:rPr>
              <w:t>Zeugen</w:t>
            </w:r>
            <w:r>
              <w:rPr>
                <w:sz w:val="20"/>
              </w:rPr>
              <w:t xml:space="preserve"> </w:t>
            </w:r>
            <w:r>
              <w:rPr>
                <w:sz w:val="20"/>
                <w:lang w:val="en-US"/>
              </w:rPr>
              <w:t>bei</w:t>
            </w:r>
            <w:r>
              <w:rPr>
                <w:sz w:val="20"/>
              </w:rPr>
              <w:t xml:space="preserve"> </w:t>
            </w:r>
            <w:r>
              <w:rPr>
                <w:sz w:val="20"/>
                <w:lang w:val="en-US"/>
              </w:rPr>
              <w:t>V</w:t>
            </w:r>
            <w:r>
              <w:rPr>
                <w:sz w:val="20"/>
                <w:lang w:val="en-US"/>
              </w:rPr>
              <w:t>e</w:t>
            </w:r>
            <w:r>
              <w:rPr>
                <w:sz w:val="20"/>
                <w:lang w:val="en-US"/>
              </w:rPr>
              <w:t>mehmungen</w:t>
            </w:r>
            <w:r>
              <w:rPr>
                <w:sz w:val="20"/>
              </w:rPr>
              <w:t xml:space="preserve"> </w:t>
            </w:r>
            <w:r>
              <w:rPr>
                <w:sz w:val="20"/>
                <w:lang w:val="en-US"/>
              </w:rPr>
              <w:t>im</w:t>
            </w:r>
            <w:r>
              <w:rPr>
                <w:sz w:val="20"/>
              </w:rPr>
              <w:t xml:space="preserve"> </w:t>
            </w:r>
            <w:r>
              <w:rPr>
                <w:sz w:val="20"/>
                <w:lang w:val="en-US"/>
              </w:rPr>
              <w:t>Strafverfahren</w:t>
            </w:r>
            <w:r>
              <w:rPr>
                <w:sz w:val="20"/>
              </w:rPr>
              <w:t xml:space="preserve"> </w:t>
            </w:r>
            <w:r>
              <w:rPr>
                <w:sz w:val="20"/>
                <w:lang w:val="en-US"/>
              </w:rPr>
              <w:t>und</w:t>
            </w:r>
            <w:r>
              <w:rPr>
                <w:sz w:val="20"/>
              </w:rPr>
              <w:t xml:space="preserve"> </w:t>
            </w:r>
            <w:r>
              <w:rPr>
                <w:sz w:val="20"/>
                <w:lang w:val="en-US"/>
              </w:rPr>
              <w:t>zur</w:t>
            </w:r>
            <w:r>
              <w:rPr>
                <w:sz w:val="20"/>
              </w:rPr>
              <w:t xml:space="preserve"> </w:t>
            </w:r>
            <w:r>
              <w:rPr>
                <w:sz w:val="20"/>
                <w:lang w:val="en-US"/>
              </w:rPr>
              <w:t>Verbesserung</w:t>
            </w:r>
            <w:r>
              <w:rPr>
                <w:sz w:val="20"/>
              </w:rPr>
              <w:t xml:space="preserve"> </w:t>
            </w:r>
            <w:r>
              <w:rPr>
                <w:sz w:val="20"/>
                <w:lang w:val="en-US"/>
              </w:rPr>
              <w:t>des</w:t>
            </w:r>
            <w:r>
              <w:rPr>
                <w:sz w:val="20"/>
              </w:rPr>
              <w:t xml:space="preserve"> </w:t>
            </w:r>
            <w:r>
              <w:rPr>
                <w:sz w:val="20"/>
                <w:lang w:val="en-US"/>
              </w:rPr>
              <w:t>O</w:t>
            </w:r>
            <w:r>
              <w:rPr>
                <w:sz w:val="20"/>
                <w:lang w:val="en-US"/>
              </w:rPr>
              <w:t>p</w:t>
            </w:r>
            <w:r>
              <w:rPr>
                <w:sz w:val="20"/>
                <w:lang w:val="en-US"/>
              </w:rPr>
              <w:t>ferschutzes </w:t>
            </w:r>
            <w:r>
              <w:rPr>
                <w:sz w:val="20"/>
              </w:rPr>
              <w:t xml:space="preserve">– </w:t>
            </w:r>
            <w:r>
              <w:rPr>
                <w:sz w:val="20"/>
                <w:lang w:val="en-US"/>
              </w:rPr>
              <w:t>Zeugenschutzges</w:t>
            </w:r>
            <w:r>
              <w:rPr>
                <w:sz w:val="20"/>
              </w:rPr>
              <w:t>е</w:t>
            </w:r>
            <w:r>
              <w:rPr>
                <w:sz w:val="20"/>
                <w:lang w:val="en-US"/>
              </w:rPr>
              <w:t>tz</w:t>
            </w:r>
            <w:r>
              <w:rPr>
                <w:sz w:val="20"/>
              </w:rPr>
              <w:t>). Закон о защите свидет</w:t>
            </w:r>
            <w:r>
              <w:rPr>
                <w:sz w:val="20"/>
              </w:rPr>
              <w:t>е</w:t>
            </w:r>
            <w:r>
              <w:rPr>
                <w:sz w:val="20"/>
              </w:rPr>
              <w:t>лей расширяет возможности акцессорного преследования, имеющего место в ходе уголовного разбирательства. Кроме того, при осуществлении уголовного судопроизводства применяется видеозапись. Таким образом, появляется во</w:t>
            </w:r>
            <w:r>
              <w:rPr>
                <w:sz w:val="20"/>
              </w:rPr>
              <w:t>з</w:t>
            </w:r>
            <w:r>
              <w:rPr>
                <w:sz w:val="20"/>
              </w:rPr>
              <w:t>можность избежать проведения обременительных повто</w:t>
            </w:r>
            <w:r>
              <w:rPr>
                <w:sz w:val="20"/>
              </w:rPr>
              <w:t>р</w:t>
            </w:r>
            <w:r>
              <w:rPr>
                <w:sz w:val="20"/>
              </w:rPr>
              <w:t>ных допросов и жертвы могут быть освобождены от нео</w:t>
            </w:r>
            <w:r>
              <w:rPr>
                <w:sz w:val="20"/>
              </w:rPr>
              <w:t>б</w:t>
            </w:r>
            <w:r>
              <w:rPr>
                <w:sz w:val="20"/>
              </w:rPr>
              <w:t>ходимости находиться в гнетущей обстановке зала суда и встречаться с преступником. Далее, в законе предусмотр</w:t>
            </w:r>
            <w:r>
              <w:rPr>
                <w:sz w:val="20"/>
              </w:rPr>
              <w:t>е</w:t>
            </w:r>
            <w:r>
              <w:rPr>
                <w:sz w:val="20"/>
              </w:rPr>
              <w:t>но, что при определенных обстоятельствах адвокаты для опрашиваемых свидетелей или для жертвы могут привл</w:t>
            </w:r>
            <w:r>
              <w:rPr>
                <w:sz w:val="20"/>
              </w:rPr>
              <w:t>е</w:t>
            </w:r>
            <w:r>
              <w:rPr>
                <w:sz w:val="20"/>
              </w:rPr>
              <w:t>каться за счет государства и на весь период проведения разбирател</w:t>
            </w:r>
            <w:r>
              <w:rPr>
                <w:sz w:val="20"/>
              </w:rPr>
              <w:t>ь</w:t>
            </w:r>
            <w:r>
              <w:rPr>
                <w:sz w:val="20"/>
              </w:rPr>
              <w:t>ства.</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1999 года</w:t>
            </w:r>
          </w:p>
        </w:tc>
        <w:tc>
          <w:tcPr>
            <w:tcW w:w="5670" w:type="dxa"/>
          </w:tcPr>
          <w:p w:rsidR="00000000" w:rsidRDefault="00000000">
            <w:pPr>
              <w:pStyle w:val="table"/>
              <w:jc w:val="both"/>
              <w:rPr>
                <w:sz w:val="20"/>
              </w:rPr>
            </w:pPr>
            <w:r>
              <w:rPr>
                <w:b/>
                <w:sz w:val="20"/>
              </w:rPr>
              <w:t>Поправка к Федеральному закону о пособиях на детей (</w:t>
            </w:r>
            <w:r>
              <w:rPr>
                <w:b/>
                <w:sz w:val="20"/>
                <w:lang w:val="en-US"/>
              </w:rPr>
              <w:t>Bundeskinde</w:t>
            </w:r>
            <w:r>
              <w:rPr>
                <w:b/>
                <w:sz w:val="20"/>
                <w:lang w:val="en-US"/>
              </w:rPr>
              <w:t>r</w:t>
            </w:r>
            <w:r>
              <w:rPr>
                <w:b/>
                <w:sz w:val="20"/>
                <w:lang w:val="en-US"/>
              </w:rPr>
              <w:t>geldgesetz</w:t>
            </w:r>
            <w:r>
              <w:rPr>
                <w:b/>
                <w:sz w:val="20"/>
              </w:rPr>
              <w:t>)</w:t>
            </w:r>
          </w:p>
          <w:p w:rsidR="00000000" w:rsidRDefault="00000000">
            <w:pPr>
              <w:pStyle w:val="table"/>
              <w:jc w:val="both"/>
              <w:rPr>
                <w:sz w:val="20"/>
              </w:rPr>
            </w:pPr>
            <w:r>
              <w:rPr>
                <w:sz w:val="20"/>
              </w:rPr>
              <w:t>1 января 1999 года была увеличена сумма ежемесячного пособия, выплачиваемого на первого и второго ребенка, и в настоящее время оно составляет 250 немецких марок (127,82 евро) в м</w:t>
            </w:r>
            <w:r>
              <w:rPr>
                <w:sz w:val="20"/>
              </w:rPr>
              <w:t>е</w:t>
            </w:r>
            <w:r>
              <w:rPr>
                <w:sz w:val="20"/>
              </w:rPr>
              <w:t>сяц.</w:t>
            </w:r>
          </w:p>
        </w:tc>
      </w:tr>
      <w:tr w:rsidR="00000000">
        <w:tblPrEx>
          <w:tblCellMar>
            <w:top w:w="0" w:type="dxa"/>
            <w:bottom w:w="0" w:type="dxa"/>
          </w:tblCellMar>
        </w:tblPrEx>
        <w:tc>
          <w:tcPr>
            <w:tcW w:w="1679" w:type="dxa"/>
          </w:tcPr>
          <w:p w:rsidR="00000000" w:rsidRDefault="00000000">
            <w:pPr>
              <w:pStyle w:val="table"/>
              <w:rPr>
                <w:b/>
                <w:sz w:val="20"/>
              </w:rPr>
            </w:pPr>
            <w:r>
              <w:rPr>
                <w:b/>
                <w:sz w:val="20"/>
              </w:rPr>
              <w:t>Август 1999 года</w:t>
            </w:r>
          </w:p>
        </w:tc>
        <w:tc>
          <w:tcPr>
            <w:tcW w:w="5670" w:type="dxa"/>
          </w:tcPr>
          <w:p w:rsidR="00000000" w:rsidRDefault="00000000">
            <w:pPr>
              <w:pStyle w:val="table"/>
              <w:jc w:val="both"/>
              <w:rPr>
                <w:sz w:val="20"/>
              </w:rPr>
            </w:pPr>
            <w:r>
              <w:rPr>
                <w:sz w:val="20"/>
              </w:rPr>
              <w:t xml:space="preserve">1 августа 1999 года вступает в силу </w:t>
            </w:r>
            <w:r>
              <w:rPr>
                <w:b/>
                <w:sz w:val="20"/>
              </w:rPr>
              <w:t>Второй закон о вн</w:t>
            </w:r>
            <w:r>
              <w:rPr>
                <w:b/>
                <w:sz w:val="20"/>
              </w:rPr>
              <w:t>е</w:t>
            </w:r>
            <w:r>
              <w:rPr>
                <w:b/>
                <w:sz w:val="20"/>
              </w:rPr>
              <w:t xml:space="preserve">сении поправок в третий том Социального кодекса </w:t>
            </w:r>
            <w:r>
              <w:rPr>
                <w:sz w:val="20"/>
              </w:rPr>
              <w:t>(</w:t>
            </w:r>
            <w:r>
              <w:rPr>
                <w:sz w:val="20"/>
                <w:lang w:val="en-US"/>
              </w:rPr>
              <w:t>Zweites</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Anderung</w:t>
            </w:r>
            <w:r>
              <w:rPr>
                <w:sz w:val="20"/>
              </w:rPr>
              <w:t xml:space="preserve"> </w:t>
            </w:r>
            <w:r>
              <w:rPr>
                <w:sz w:val="20"/>
                <w:lang w:val="en-US"/>
              </w:rPr>
              <w:t>des</w:t>
            </w:r>
            <w:r>
              <w:rPr>
                <w:sz w:val="20"/>
              </w:rPr>
              <w:t xml:space="preserve"> </w:t>
            </w:r>
            <w:r>
              <w:rPr>
                <w:sz w:val="20"/>
                <w:lang w:val="en-US"/>
              </w:rPr>
              <w:t>Sozialgesetzbuches</w:t>
            </w:r>
            <w:r>
              <w:rPr>
                <w:sz w:val="20"/>
              </w:rPr>
              <w:t> </w:t>
            </w:r>
            <w:r>
              <w:rPr>
                <w:sz w:val="20"/>
                <w:lang w:val="en-US"/>
              </w:rPr>
              <w:t>III </w:t>
            </w:r>
            <w:r>
              <w:rPr>
                <w:sz w:val="20"/>
              </w:rPr>
              <w:t xml:space="preserve">– </w:t>
            </w:r>
            <w:r>
              <w:rPr>
                <w:sz w:val="20"/>
                <w:lang w:val="en-US"/>
              </w:rPr>
              <w:t>SGB III</w:t>
            </w:r>
            <w:r>
              <w:rPr>
                <w:sz w:val="20"/>
              </w:rPr>
              <w:t>). Были доработаны положения закона, касающиеся повышения профессиональной квалиф</w:t>
            </w:r>
            <w:r>
              <w:rPr>
                <w:sz w:val="20"/>
              </w:rPr>
              <w:t>и</w:t>
            </w:r>
            <w:r>
              <w:rPr>
                <w:sz w:val="20"/>
              </w:rPr>
              <w:t>кации женщин.</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2000 года</w:t>
            </w:r>
          </w:p>
        </w:tc>
        <w:tc>
          <w:tcPr>
            <w:tcW w:w="5670" w:type="dxa"/>
          </w:tcPr>
          <w:p w:rsidR="00000000" w:rsidRDefault="00000000">
            <w:pPr>
              <w:pStyle w:val="table"/>
              <w:jc w:val="both"/>
              <w:rPr>
                <w:sz w:val="20"/>
              </w:rPr>
            </w:pPr>
            <w:r>
              <w:rPr>
                <w:sz w:val="20"/>
              </w:rPr>
              <w:t>Поправка к Федеральному закону о пособиях на детей</w:t>
            </w:r>
          </w:p>
          <w:p w:rsidR="00000000" w:rsidRDefault="00000000">
            <w:pPr>
              <w:pStyle w:val="table"/>
              <w:jc w:val="both"/>
              <w:rPr>
                <w:sz w:val="20"/>
              </w:rPr>
            </w:pPr>
            <w:r>
              <w:rPr>
                <w:sz w:val="20"/>
              </w:rPr>
              <w:t>1 января 2000 года был увеличен размер ежемесячного п</w:t>
            </w:r>
            <w:r>
              <w:rPr>
                <w:sz w:val="20"/>
              </w:rPr>
              <w:t>о</w:t>
            </w:r>
            <w:r>
              <w:rPr>
                <w:sz w:val="20"/>
              </w:rPr>
              <w:t>собия на первого и второго ребенка, которое составило 270 немецких марок (138,5 евро).</w:t>
            </w:r>
          </w:p>
          <w:p w:rsidR="00000000" w:rsidRDefault="00000000">
            <w:pPr>
              <w:pStyle w:val="table"/>
              <w:jc w:val="both"/>
              <w:rPr>
                <w:sz w:val="20"/>
              </w:rPr>
            </w:pPr>
            <w:r>
              <w:rPr>
                <w:sz w:val="20"/>
              </w:rPr>
              <w:t>На детей возрастом до 16 лет выплачивается пособие в размере 3 024 немецких марок (1 546,15 евро). Вместе с упомянутым ранее пособием на ребенка в размере 6 912 немецких марок (3 534,05 евро) сумма платежей на детей возросла до 9 036 немецких марок (5 080 евро).</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2000 года</w:t>
            </w:r>
          </w:p>
        </w:tc>
        <w:tc>
          <w:tcPr>
            <w:tcW w:w="5670" w:type="dxa"/>
          </w:tcPr>
          <w:p w:rsidR="00000000" w:rsidRDefault="00000000">
            <w:pPr>
              <w:pStyle w:val="table"/>
              <w:jc w:val="both"/>
              <w:rPr>
                <w:sz w:val="20"/>
              </w:rPr>
            </w:pPr>
            <w:r>
              <w:rPr>
                <w:b/>
                <w:sz w:val="20"/>
              </w:rPr>
              <w:t>В постановление Европейского суда (ЕС)</w:t>
            </w:r>
            <w:r>
              <w:rPr>
                <w:sz w:val="20"/>
              </w:rPr>
              <w:t xml:space="preserve"> отмечается, что законодательные положения Германии, исключающие возможность приема женщин на добровольной основе на службу в вооруженные силы, не сопоставимы с Европе</w:t>
            </w:r>
            <w:r>
              <w:rPr>
                <w:sz w:val="20"/>
              </w:rPr>
              <w:t>й</w:t>
            </w:r>
            <w:r>
              <w:rPr>
                <w:sz w:val="20"/>
              </w:rPr>
              <w:t>ской дире</w:t>
            </w:r>
            <w:r>
              <w:rPr>
                <w:sz w:val="20"/>
              </w:rPr>
              <w:t>к</w:t>
            </w:r>
            <w:r>
              <w:rPr>
                <w:sz w:val="20"/>
              </w:rPr>
              <w:t>тивой 76/207/ЕЭС.</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Июнь 2000 года</w:t>
            </w:r>
          </w:p>
        </w:tc>
        <w:tc>
          <w:tcPr>
            <w:tcW w:w="5670" w:type="dxa"/>
          </w:tcPr>
          <w:p w:rsidR="00000000" w:rsidRDefault="00000000">
            <w:pPr>
              <w:pStyle w:val="table"/>
              <w:jc w:val="both"/>
              <w:rPr>
                <w:sz w:val="20"/>
              </w:rPr>
            </w:pPr>
            <w:r>
              <w:rPr>
                <w:sz w:val="20"/>
              </w:rPr>
              <w:t xml:space="preserve">1 июня 2000 года вступает в силу </w:t>
            </w:r>
            <w:r>
              <w:rPr>
                <w:b/>
                <w:sz w:val="20"/>
              </w:rPr>
              <w:t>Закон о внесении п</w:t>
            </w:r>
            <w:r>
              <w:rPr>
                <w:b/>
                <w:sz w:val="20"/>
              </w:rPr>
              <w:t>о</w:t>
            </w:r>
            <w:r>
              <w:rPr>
                <w:b/>
                <w:sz w:val="20"/>
              </w:rPr>
              <w:t xml:space="preserve">правок в Закон об иностранцах </w:t>
            </w:r>
            <w:r>
              <w:rPr>
                <w:sz w:val="20"/>
              </w:rPr>
              <w:t>(</w:t>
            </w:r>
            <w:r>
              <w:rPr>
                <w:sz w:val="20"/>
                <w:lang w:val="en-US"/>
              </w:rPr>
              <w:t>Gesetz</w:t>
            </w:r>
            <w:r>
              <w:rPr>
                <w:sz w:val="20"/>
              </w:rPr>
              <w:t xml:space="preserve"> </w:t>
            </w:r>
            <w:r>
              <w:rPr>
                <w:sz w:val="20"/>
                <w:lang w:val="en-US"/>
              </w:rPr>
              <w:t>sur</w:t>
            </w:r>
            <w:r>
              <w:rPr>
                <w:sz w:val="20"/>
              </w:rPr>
              <w:t xml:space="preserve"> </w:t>
            </w:r>
            <w:r>
              <w:rPr>
                <w:sz w:val="20"/>
                <w:lang w:val="en-US"/>
              </w:rPr>
              <w:t>Anderung</w:t>
            </w:r>
            <w:r>
              <w:rPr>
                <w:sz w:val="20"/>
              </w:rPr>
              <w:t xml:space="preserve"> </w:t>
            </w:r>
            <w:r>
              <w:rPr>
                <w:sz w:val="20"/>
                <w:lang w:val="en-US"/>
              </w:rPr>
              <w:t>des</w:t>
            </w:r>
            <w:r>
              <w:rPr>
                <w:sz w:val="20"/>
              </w:rPr>
              <w:t xml:space="preserve"> </w:t>
            </w:r>
            <w:r>
              <w:rPr>
                <w:sz w:val="20"/>
                <w:lang w:val="en-US"/>
              </w:rPr>
              <w:t>Auslandergesetzes</w:t>
            </w:r>
            <w:r>
              <w:rPr>
                <w:sz w:val="20"/>
              </w:rPr>
              <w:t>). В разделе 19 Закона об иностранцах супругам-иностранкам предоставляется независимое право на проживание в стране в случае расторжения брака. Т</w:t>
            </w:r>
            <w:r>
              <w:rPr>
                <w:sz w:val="20"/>
              </w:rPr>
              <w:t>е</w:t>
            </w:r>
            <w:r>
              <w:rPr>
                <w:sz w:val="20"/>
              </w:rPr>
              <w:t>перь жены-иностранки получают право на жительство в случае развода после двух, а не четырех лет нахождения в браке, как это было ранее. Было также изменено необосн</w:t>
            </w:r>
            <w:r>
              <w:rPr>
                <w:sz w:val="20"/>
              </w:rPr>
              <w:t>о</w:t>
            </w:r>
            <w:r>
              <w:rPr>
                <w:sz w:val="20"/>
              </w:rPr>
              <w:t>ванное условие, допускавшее возможность предоставления права на жительство до истечения этого ср</w:t>
            </w:r>
            <w:r>
              <w:rPr>
                <w:sz w:val="20"/>
              </w:rPr>
              <w:t>о</w:t>
            </w:r>
            <w:r>
              <w:rPr>
                <w:sz w:val="20"/>
              </w:rPr>
              <w:t>ка.</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Июль 2000 года</w:t>
            </w:r>
          </w:p>
        </w:tc>
        <w:tc>
          <w:tcPr>
            <w:tcW w:w="5670" w:type="dxa"/>
          </w:tcPr>
          <w:p w:rsidR="00000000" w:rsidRDefault="00000000">
            <w:pPr>
              <w:pStyle w:val="table"/>
              <w:jc w:val="both"/>
              <w:rPr>
                <w:sz w:val="20"/>
              </w:rPr>
            </w:pPr>
            <w:r>
              <w:rPr>
                <w:sz w:val="20"/>
              </w:rPr>
              <w:t xml:space="preserve">В </w:t>
            </w:r>
            <w:r>
              <w:rPr>
                <w:b/>
                <w:sz w:val="20"/>
              </w:rPr>
              <w:t>постановлении Европейского суда (ЕС)</w:t>
            </w:r>
            <w:r>
              <w:rPr>
                <w:sz w:val="20"/>
              </w:rPr>
              <w:t xml:space="preserve"> подтверждае</w:t>
            </w:r>
            <w:r>
              <w:rPr>
                <w:sz w:val="20"/>
              </w:rPr>
              <w:t>т</w:t>
            </w:r>
            <w:r>
              <w:rPr>
                <w:sz w:val="20"/>
              </w:rPr>
              <w:t>ся совместимость с Европейской директивой о равном о</w:t>
            </w:r>
            <w:r>
              <w:rPr>
                <w:sz w:val="20"/>
              </w:rPr>
              <w:t>б</w:t>
            </w:r>
            <w:r>
              <w:rPr>
                <w:sz w:val="20"/>
              </w:rPr>
              <w:t>ращении 76/207/ЕЭС мер по поощрению равных возмо</w:t>
            </w:r>
            <w:r>
              <w:rPr>
                <w:sz w:val="20"/>
              </w:rPr>
              <w:t>ж</w:t>
            </w:r>
            <w:r>
              <w:rPr>
                <w:sz w:val="20"/>
              </w:rPr>
              <w:t>ностей для мужчин и женщин путем, в частности, устран</w:t>
            </w:r>
            <w:r>
              <w:rPr>
                <w:sz w:val="20"/>
              </w:rPr>
              <w:t>е</w:t>
            </w:r>
            <w:r>
              <w:rPr>
                <w:sz w:val="20"/>
              </w:rPr>
              <w:t xml:space="preserve">ния неравенства </w:t>
            </w:r>
            <w:r>
              <w:rPr>
                <w:sz w:val="20"/>
                <w:lang w:val="en-US"/>
              </w:rPr>
              <w:t>de</w:t>
            </w:r>
            <w:r>
              <w:rPr>
                <w:sz w:val="20"/>
              </w:rPr>
              <w:t xml:space="preserve"> </w:t>
            </w:r>
            <w:r>
              <w:rPr>
                <w:sz w:val="20"/>
                <w:lang w:val="en-US"/>
              </w:rPr>
              <w:t>facto</w:t>
            </w:r>
            <w:r>
              <w:rPr>
                <w:sz w:val="20"/>
              </w:rPr>
              <w:t>, ограничивающего возможности же</w:t>
            </w:r>
            <w:r>
              <w:rPr>
                <w:sz w:val="20"/>
              </w:rPr>
              <w:t>н</w:t>
            </w:r>
            <w:r>
              <w:rPr>
                <w:sz w:val="20"/>
              </w:rPr>
              <w:t>щин.</w:t>
            </w:r>
          </w:p>
        </w:tc>
      </w:tr>
      <w:tr w:rsidR="00000000">
        <w:tblPrEx>
          <w:tblCellMar>
            <w:top w:w="0" w:type="dxa"/>
            <w:bottom w:w="0" w:type="dxa"/>
          </w:tblCellMar>
        </w:tblPrEx>
        <w:tc>
          <w:tcPr>
            <w:tcW w:w="1679" w:type="dxa"/>
          </w:tcPr>
          <w:p w:rsidR="00000000" w:rsidRDefault="00000000">
            <w:pPr>
              <w:pStyle w:val="table"/>
              <w:rPr>
                <w:b/>
                <w:sz w:val="20"/>
              </w:rPr>
            </w:pPr>
            <w:r>
              <w:rPr>
                <w:b/>
                <w:sz w:val="20"/>
              </w:rPr>
              <w:t>Ноябрь 2000 года</w:t>
            </w:r>
          </w:p>
        </w:tc>
        <w:tc>
          <w:tcPr>
            <w:tcW w:w="5670" w:type="dxa"/>
          </w:tcPr>
          <w:p w:rsidR="00000000" w:rsidRDefault="00000000">
            <w:pPr>
              <w:pStyle w:val="table"/>
              <w:jc w:val="both"/>
              <w:rPr>
                <w:sz w:val="20"/>
              </w:rPr>
            </w:pPr>
            <w:r>
              <w:rPr>
                <w:b/>
                <w:sz w:val="20"/>
              </w:rPr>
              <w:t>Закон о признании незаконным применение насилия при воспитании детей и о внесении поправок в Закон о содержании детей</w:t>
            </w:r>
            <w:r>
              <w:rPr>
                <w:sz w:val="20"/>
              </w:rPr>
              <w:t xml:space="preserve"> (</w:t>
            </w:r>
            <w:r>
              <w:rPr>
                <w:sz w:val="20"/>
                <w:lang w:val="en-US"/>
              </w:rPr>
              <w:t>Gesetz</w:t>
            </w:r>
            <w:r>
              <w:rPr>
                <w:sz w:val="20"/>
              </w:rPr>
              <w:t xml:space="preserve"> </w:t>
            </w:r>
            <w:r>
              <w:rPr>
                <w:sz w:val="20"/>
                <w:lang w:val="en-US"/>
              </w:rPr>
              <w:t>sur</w:t>
            </w:r>
            <w:r>
              <w:rPr>
                <w:sz w:val="20"/>
              </w:rPr>
              <w:t xml:space="preserve"> A</w:t>
            </w:r>
            <w:r>
              <w:rPr>
                <w:sz w:val="20"/>
                <w:lang w:val="en-US"/>
              </w:rPr>
              <w:t>chtung</w:t>
            </w:r>
            <w:r>
              <w:rPr>
                <w:sz w:val="20"/>
              </w:rPr>
              <w:t xml:space="preserve"> </w:t>
            </w:r>
            <w:r>
              <w:rPr>
                <w:sz w:val="20"/>
                <w:lang w:val="en-US"/>
              </w:rPr>
              <w:t>der</w:t>
            </w:r>
            <w:r>
              <w:rPr>
                <w:sz w:val="20"/>
              </w:rPr>
              <w:t xml:space="preserve"> </w:t>
            </w:r>
            <w:r>
              <w:rPr>
                <w:sz w:val="20"/>
                <w:lang w:val="en-US"/>
              </w:rPr>
              <w:t>Gewalt</w:t>
            </w:r>
            <w:r>
              <w:rPr>
                <w:sz w:val="20"/>
              </w:rPr>
              <w:t xml:space="preserve"> </w:t>
            </w:r>
            <w:r>
              <w:rPr>
                <w:sz w:val="20"/>
                <w:lang w:val="en-US"/>
              </w:rPr>
              <w:t>in</w:t>
            </w:r>
            <w:r>
              <w:rPr>
                <w:sz w:val="20"/>
              </w:rPr>
              <w:t xml:space="preserve"> </w:t>
            </w:r>
            <w:r>
              <w:rPr>
                <w:sz w:val="20"/>
                <w:lang w:val="en-US"/>
              </w:rPr>
              <w:t>der</w:t>
            </w:r>
            <w:r>
              <w:rPr>
                <w:sz w:val="20"/>
              </w:rPr>
              <w:t xml:space="preserve"> </w:t>
            </w:r>
            <w:r>
              <w:rPr>
                <w:sz w:val="20"/>
                <w:lang w:val="en-US"/>
              </w:rPr>
              <w:t>Erziehung</w:t>
            </w:r>
            <w:r>
              <w:rPr>
                <w:sz w:val="20"/>
              </w:rPr>
              <w:t xml:space="preserve"> </w:t>
            </w:r>
            <w:r>
              <w:rPr>
                <w:sz w:val="20"/>
                <w:lang w:val="en-US"/>
              </w:rPr>
              <w:t>und</w:t>
            </w:r>
            <w:r>
              <w:rPr>
                <w:sz w:val="20"/>
              </w:rPr>
              <w:t xml:space="preserve"> </w:t>
            </w:r>
            <w:r>
              <w:rPr>
                <w:sz w:val="20"/>
                <w:lang w:val="en-US"/>
              </w:rPr>
              <w:t>zur</w:t>
            </w:r>
            <w:r>
              <w:rPr>
                <w:sz w:val="20"/>
              </w:rPr>
              <w:t xml:space="preserve"> </w:t>
            </w:r>
            <w:r>
              <w:rPr>
                <w:sz w:val="20"/>
                <w:lang w:val="en-US"/>
              </w:rPr>
              <w:t>Anderung</w:t>
            </w:r>
            <w:r>
              <w:rPr>
                <w:sz w:val="20"/>
              </w:rPr>
              <w:t xml:space="preserve"> </w:t>
            </w:r>
            <w:r>
              <w:rPr>
                <w:sz w:val="20"/>
                <w:lang w:val="en-US"/>
              </w:rPr>
              <w:t>des</w:t>
            </w:r>
            <w:r>
              <w:rPr>
                <w:sz w:val="20"/>
              </w:rPr>
              <w:t xml:space="preserve"> </w:t>
            </w:r>
            <w:r>
              <w:rPr>
                <w:sz w:val="20"/>
                <w:lang w:val="en-US"/>
              </w:rPr>
              <w:t>Kindesunterhaltsrechts</w:t>
            </w:r>
            <w:r>
              <w:rPr>
                <w:sz w:val="20"/>
              </w:rPr>
              <w:t>). В Законе закреплено право детей на получение воспитания без применения насилия и запрещены физические наказ</w:t>
            </w:r>
            <w:r>
              <w:rPr>
                <w:sz w:val="20"/>
              </w:rPr>
              <w:t>а</w:t>
            </w:r>
            <w:r>
              <w:rPr>
                <w:sz w:val="20"/>
              </w:rPr>
              <w:t>ния, причинение эмоционального ущерба и другие ун</w:t>
            </w:r>
            <w:r>
              <w:rPr>
                <w:sz w:val="20"/>
              </w:rPr>
              <w:t>и</w:t>
            </w:r>
            <w:r>
              <w:rPr>
                <w:sz w:val="20"/>
              </w:rPr>
              <w:t>жающие достоинство дейс</w:t>
            </w:r>
            <w:r>
              <w:rPr>
                <w:sz w:val="20"/>
              </w:rPr>
              <w:t>т</w:t>
            </w:r>
            <w:r>
              <w:rPr>
                <w:sz w:val="20"/>
              </w:rPr>
              <w:t>вия.</w:t>
            </w:r>
          </w:p>
        </w:tc>
      </w:tr>
      <w:tr w:rsidR="00000000">
        <w:tblPrEx>
          <w:tblCellMar>
            <w:top w:w="0" w:type="dxa"/>
            <w:bottom w:w="0" w:type="dxa"/>
          </w:tblCellMar>
        </w:tblPrEx>
        <w:tc>
          <w:tcPr>
            <w:tcW w:w="1679" w:type="dxa"/>
          </w:tcPr>
          <w:p w:rsidR="00000000" w:rsidRDefault="00000000">
            <w:pPr>
              <w:pStyle w:val="table"/>
              <w:rPr>
                <w:b/>
                <w:sz w:val="20"/>
              </w:rPr>
            </w:pPr>
            <w:r>
              <w:rPr>
                <w:b/>
                <w:sz w:val="20"/>
              </w:rPr>
              <w:t>Декабрь 2000 года</w:t>
            </w:r>
          </w:p>
        </w:tc>
        <w:tc>
          <w:tcPr>
            <w:tcW w:w="5670" w:type="dxa"/>
          </w:tcPr>
          <w:p w:rsidR="00000000" w:rsidRDefault="00000000">
            <w:pPr>
              <w:pStyle w:val="table"/>
              <w:jc w:val="both"/>
              <w:rPr>
                <w:sz w:val="20"/>
              </w:rPr>
            </w:pPr>
            <w:r>
              <w:rPr>
                <w:sz w:val="20"/>
              </w:rPr>
              <w:t xml:space="preserve">23 декабря 2000 года вступает в силу </w:t>
            </w:r>
            <w:r>
              <w:rPr>
                <w:b/>
                <w:sz w:val="20"/>
              </w:rPr>
              <w:t>Поправка ко втор</w:t>
            </w:r>
            <w:r>
              <w:rPr>
                <w:b/>
                <w:sz w:val="20"/>
              </w:rPr>
              <w:t>о</w:t>
            </w:r>
            <w:r>
              <w:rPr>
                <w:b/>
                <w:sz w:val="20"/>
              </w:rPr>
              <w:t xml:space="preserve">му предложению пункта 4 статьи 12а Основного закона </w:t>
            </w:r>
            <w:r>
              <w:rPr>
                <w:sz w:val="20"/>
              </w:rPr>
              <w:t>(</w:t>
            </w:r>
            <w:r>
              <w:rPr>
                <w:sz w:val="20"/>
                <w:lang w:val="en-US"/>
              </w:rPr>
              <w:t>Grundgesetz</w:t>
            </w:r>
            <w:r>
              <w:rPr>
                <w:sz w:val="20"/>
              </w:rPr>
              <w:t>). Теперь добровольная служба женщин в бо</w:t>
            </w:r>
            <w:r>
              <w:rPr>
                <w:sz w:val="20"/>
              </w:rPr>
              <w:t>е</w:t>
            </w:r>
            <w:r>
              <w:rPr>
                <w:sz w:val="20"/>
              </w:rPr>
              <w:t>вых частях Федеральных вооруженных сил осуществляе</w:t>
            </w:r>
            <w:r>
              <w:rPr>
                <w:sz w:val="20"/>
              </w:rPr>
              <w:t>т</w:t>
            </w:r>
            <w:r>
              <w:rPr>
                <w:sz w:val="20"/>
              </w:rPr>
              <w:t>ся на конституционной основе и женщины получают право служить во всех видах воор</w:t>
            </w:r>
            <w:r>
              <w:rPr>
                <w:sz w:val="20"/>
              </w:rPr>
              <w:t>у</w:t>
            </w:r>
            <w:r>
              <w:rPr>
                <w:sz w:val="20"/>
              </w:rPr>
              <w:t>женных сил.</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2001 года</w:t>
            </w:r>
          </w:p>
        </w:tc>
        <w:tc>
          <w:tcPr>
            <w:tcW w:w="5670" w:type="dxa"/>
          </w:tcPr>
          <w:p w:rsidR="00000000" w:rsidRDefault="00000000">
            <w:pPr>
              <w:pStyle w:val="table"/>
              <w:jc w:val="both"/>
              <w:rPr>
                <w:sz w:val="20"/>
              </w:rPr>
            </w:pPr>
            <w:r>
              <w:rPr>
                <w:sz w:val="20"/>
              </w:rPr>
              <w:t xml:space="preserve">1 января 2001 года вступают в силу </w:t>
            </w:r>
            <w:r>
              <w:rPr>
                <w:b/>
                <w:sz w:val="20"/>
              </w:rPr>
              <w:t>Новые положения, касающееся Федерального закона о пособиях на восп</w:t>
            </w:r>
            <w:r>
              <w:rPr>
                <w:b/>
                <w:sz w:val="20"/>
              </w:rPr>
              <w:t>и</w:t>
            </w:r>
            <w:r>
              <w:rPr>
                <w:b/>
                <w:sz w:val="20"/>
              </w:rPr>
              <w:t>тание ребенка</w:t>
            </w:r>
            <w:r>
              <w:rPr>
                <w:sz w:val="20"/>
              </w:rPr>
              <w:t xml:space="preserve"> (</w:t>
            </w:r>
            <w:r>
              <w:rPr>
                <w:sz w:val="20"/>
                <w:lang w:val="en-US"/>
              </w:rPr>
              <w:t>Bundeserziehungsgeldgesetz</w:t>
            </w:r>
            <w:r>
              <w:rPr>
                <w:sz w:val="20"/>
              </w:rPr>
              <w:t>). Эти полож</w:t>
            </w:r>
            <w:r>
              <w:rPr>
                <w:sz w:val="20"/>
              </w:rPr>
              <w:t>е</w:t>
            </w:r>
            <w:r>
              <w:rPr>
                <w:sz w:val="20"/>
              </w:rPr>
              <w:t>ния применяются к детям, которые родились или были усыновлены после 1 января 2001 года. После вступления в силу нового Закона вместо выражения "отпуск на воспит</w:t>
            </w:r>
            <w:r>
              <w:rPr>
                <w:sz w:val="20"/>
              </w:rPr>
              <w:t>а</w:t>
            </w:r>
            <w:r>
              <w:rPr>
                <w:sz w:val="20"/>
              </w:rPr>
              <w:t>ние ребенка" используется термин "родительский отпуск". Поправки к Федеральному закону о пособиях на воспит</w:t>
            </w:r>
            <w:r>
              <w:rPr>
                <w:sz w:val="20"/>
              </w:rPr>
              <w:t>а</w:t>
            </w:r>
            <w:r>
              <w:rPr>
                <w:sz w:val="20"/>
              </w:rPr>
              <w:t>ние детей позволяют более эффективно совмещать выпо</w:t>
            </w:r>
            <w:r>
              <w:rPr>
                <w:sz w:val="20"/>
              </w:rPr>
              <w:t>л</w:t>
            </w:r>
            <w:r>
              <w:rPr>
                <w:sz w:val="20"/>
              </w:rPr>
              <w:t>нение семейных и трудовых обязанностей, а также спосо</w:t>
            </w:r>
            <w:r>
              <w:rPr>
                <w:sz w:val="20"/>
              </w:rPr>
              <w:t>б</w:t>
            </w:r>
            <w:r>
              <w:rPr>
                <w:sz w:val="20"/>
              </w:rPr>
              <w:t>ствуют улучшению финансового пол</w:t>
            </w:r>
            <w:r>
              <w:rPr>
                <w:sz w:val="20"/>
              </w:rPr>
              <w:t>о</w:t>
            </w:r>
            <w:r>
              <w:rPr>
                <w:sz w:val="20"/>
              </w:rPr>
              <w:t>жения семей:</w:t>
            </w:r>
          </w:p>
          <w:p w:rsidR="00000000" w:rsidRDefault="00000000">
            <w:pPr>
              <w:pStyle w:val="dot"/>
              <w:ind w:left="476" w:right="0"/>
            </w:pPr>
            <w:r>
              <w:t>•</w:t>
            </w:r>
            <w:r>
              <w:tab/>
              <w:t>Впервые после 1986 года увеличен предельный ур</w:t>
            </w:r>
            <w:r>
              <w:t>о</w:t>
            </w:r>
            <w:r>
              <w:t>вень дохода, предоставляющего право получать пос</w:t>
            </w:r>
            <w:r>
              <w:t>о</w:t>
            </w:r>
            <w:r>
              <w:t>бие на воспитание ребенка. Сейчас пособие на восп</w:t>
            </w:r>
            <w:r>
              <w:t>и</w:t>
            </w:r>
            <w:r>
              <w:t>тание ребенка выплачивается в форме фиксированной суммы (чем больше су</w:t>
            </w:r>
            <w:r>
              <w:t>м</w:t>
            </w:r>
            <w:r>
              <w:t>ма, тем меньше срок).</w:t>
            </w:r>
          </w:p>
          <w:p w:rsidR="00000000" w:rsidRDefault="00000000">
            <w:pPr>
              <w:pStyle w:val="dot"/>
              <w:ind w:left="476" w:right="0"/>
            </w:pPr>
            <w:r>
              <w:t>•</w:t>
            </w:r>
            <w:r>
              <w:tab/>
              <w:t>Впервые матери и отцы могут одновременно брать родительский отпуск (который ранее назывался о</w:t>
            </w:r>
            <w:r>
              <w:t>т</w:t>
            </w:r>
            <w:r>
              <w:t>пуском на воспитание ребенка), а его продолжител</w:t>
            </w:r>
            <w:r>
              <w:t>ь</w:t>
            </w:r>
            <w:r>
              <w:t>ность по-прежнему не должна превышать трех лет.</w:t>
            </w:r>
          </w:p>
          <w:p w:rsidR="00000000" w:rsidRDefault="00000000">
            <w:pPr>
              <w:pStyle w:val="dot"/>
              <w:ind w:left="476" w:right="0"/>
            </w:pPr>
            <w:r>
              <w:t>•</w:t>
            </w:r>
            <w:r>
              <w:tab/>
              <w:t>В принципе оба родителя имеют законное право р</w:t>
            </w:r>
            <w:r>
              <w:t>а</w:t>
            </w:r>
            <w:r>
              <w:t>ботать неполный рабочий день в течение родител</w:t>
            </w:r>
            <w:r>
              <w:t>ь</w:t>
            </w:r>
            <w:r>
              <w:t>ского отпуска, и это правило применяется в отнош</w:t>
            </w:r>
            <w:r>
              <w:t>е</w:t>
            </w:r>
            <w:r>
              <w:t>нии компаний, в которых работают более 15 служащих. Сейчас матери и отцы имеют право к</w:t>
            </w:r>
            <w:r>
              <w:t>а</w:t>
            </w:r>
            <w:r>
              <w:t>ждую неделю работать в течение 30, а не 19 часов, как это было ранее. Такое изменение предоставляет родителям, и в частности отцам, более широкие во</w:t>
            </w:r>
            <w:r>
              <w:t>з</w:t>
            </w:r>
            <w:r>
              <w:t>можности по совмещению оплачиваемой работы и семейных обязанн</w:t>
            </w:r>
            <w:r>
              <w:t>о</w:t>
            </w:r>
            <w:r>
              <w:t>стей.</w:t>
            </w:r>
          </w:p>
          <w:p w:rsidR="00000000" w:rsidRDefault="00000000">
            <w:pPr>
              <w:pStyle w:val="dot"/>
              <w:ind w:left="476" w:right="0"/>
            </w:pPr>
            <w:r>
              <w:t>•</w:t>
            </w:r>
            <w:r>
              <w:tab/>
              <w:t>По истечении родительского отпуска родителям пр</w:t>
            </w:r>
            <w:r>
              <w:t>е</w:t>
            </w:r>
            <w:r>
              <w:t>доставляется право возобновить работу по прежнему графику.</w:t>
            </w:r>
          </w:p>
          <w:p w:rsidR="00000000" w:rsidRDefault="00000000">
            <w:pPr>
              <w:pStyle w:val="dot"/>
              <w:ind w:left="476" w:right="0"/>
            </w:pPr>
            <w:r>
              <w:t>•</w:t>
            </w:r>
            <w:r>
              <w:tab/>
              <w:t>При согласии работодателя родители могут взять г</w:t>
            </w:r>
            <w:r>
              <w:t>о</w:t>
            </w:r>
            <w:r>
              <w:t>довой родительский отпуск для воспитания ребенка возра</w:t>
            </w:r>
            <w:r>
              <w:t>с</w:t>
            </w:r>
            <w:r>
              <w:t>том от трех до восьми лет.</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2001 года</w:t>
            </w:r>
          </w:p>
        </w:tc>
        <w:tc>
          <w:tcPr>
            <w:tcW w:w="5670" w:type="dxa"/>
          </w:tcPr>
          <w:p w:rsidR="00000000" w:rsidRDefault="00000000">
            <w:pPr>
              <w:pStyle w:val="table"/>
              <w:jc w:val="both"/>
              <w:rPr>
                <w:sz w:val="20"/>
              </w:rPr>
            </w:pPr>
            <w:r>
              <w:rPr>
                <w:sz w:val="20"/>
              </w:rPr>
              <w:t xml:space="preserve">1 января 2001 года вступает в силу </w:t>
            </w:r>
            <w:r>
              <w:rPr>
                <w:b/>
                <w:sz w:val="20"/>
              </w:rPr>
              <w:t>Закон о занятости в течение неполного рабочего дня и о трудовых соглаш</w:t>
            </w:r>
            <w:r>
              <w:rPr>
                <w:b/>
                <w:sz w:val="20"/>
              </w:rPr>
              <w:t>е</w:t>
            </w:r>
            <w:r>
              <w:rPr>
                <w:b/>
                <w:sz w:val="20"/>
              </w:rPr>
              <w:t>ниях, заключаемых на определенный срок</w:t>
            </w:r>
            <w:r>
              <w:rPr>
                <w:sz w:val="20"/>
              </w:rPr>
              <w:t xml:space="preserve"> (</w:t>
            </w:r>
            <w:r>
              <w:rPr>
                <w:sz w:val="20"/>
                <w:lang w:val="en-US"/>
              </w:rPr>
              <w:t>Gesetz</w:t>
            </w:r>
            <w:r>
              <w:rPr>
                <w:sz w:val="20"/>
              </w:rPr>
              <w:t xml:space="preserve"> u</w:t>
            </w:r>
            <w:r>
              <w:rPr>
                <w:sz w:val="20"/>
                <w:lang w:val="en-US"/>
              </w:rPr>
              <w:t>ber</w:t>
            </w:r>
            <w:r>
              <w:rPr>
                <w:sz w:val="20"/>
              </w:rPr>
              <w:t xml:space="preserve"> </w:t>
            </w:r>
            <w:r>
              <w:rPr>
                <w:sz w:val="20"/>
                <w:lang w:val="en-US"/>
              </w:rPr>
              <w:t>Teilzeitarbeit</w:t>
            </w:r>
            <w:r>
              <w:rPr>
                <w:sz w:val="20"/>
              </w:rPr>
              <w:t xml:space="preserve"> </w:t>
            </w:r>
            <w:r>
              <w:rPr>
                <w:sz w:val="20"/>
                <w:lang w:val="en-US"/>
              </w:rPr>
              <w:t>und</w:t>
            </w:r>
            <w:r>
              <w:rPr>
                <w:sz w:val="20"/>
              </w:rPr>
              <w:t xml:space="preserve"> </w:t>
            </w:r>
            <w:r>
              <w:rPr>
                <w:sz w:val="20"/>
                <w:lang w:val="en-US"/>
              </w:rPr>
              <w:t>befristete</w:t>
            </w:r>
            <w:r>
              <w:rPr>
                <w:sz w:val="20"/>
              </w:rPr>
              <w:t xml:space="preserve"> </w:t>
            </w:r>
            <w:r>
              <w:rPr>
                <w:sz w:val="20"/>
                <w:lang w:val="en-US"/>
              </w:rPr>
              <w:t>Arbeitsvertr</w:t>
            </w:r>
            <w:r>
              <w:rPr>
                <w:sz w:val="20"/>
              </w:rPr>
              <w:t>ä</w:t>
            </w:r>
            <w:r>
              <w:rPr>
                <w:sz w:val="20"/>
                <w:lang w:val="en-US"/>
              </w:rPr>
              <w:t>ge</w:t>
            </w:r>
            <w:r>
              <w:rPr>
                <w:sz w:val="20"/>
              </w:rPr>
              <w:t>). В этом Законе сотрудникам частных компаний, в которых насчитывается более 15 работников, впервые предоставляется общее юридическое право работать неполный рабочий день, если этому не препятствуют причины производственного хара</w:t>
            </w:r>
            <w:r>
              <w:rPr>
                <w:sz w:val="20"/>
              </w:rPr>
              <w:t>к</w:t>
            </w:r>
            <w:r>
              <w:rPr>
                <w:sz w:val="20"/>
              </w:rPr>
              <w:t>тера.</w:t>
            </w:r>
          </w:p>
        </w:tc>
      </w:tr>
      <w:tr w:rsidR="00000000">
        <w:tblPrEx>
          <w:tblCellMar>
            <w:top w:w="0" w:type="dxa"/>
            <w:bottom w:w="0" w:type="dxa"/>
          </w:tblCellMar>
        </w:tblPrEx>
        <w:tc>
          <w:tcPr>
            <w:tcW w:w="1679" w:type="dxa"/>
          </w:tcPr>
          <w:p w:rsidR="00000000" w:rsidRDefault="00000000">
            <w:pPr>
              <w:pStyle w:val="table"/>
              <w:rPr>
                <w:b/>
                <w:sz w:val="20"/>
              </w:rPr>
            </w:pPr>
            <w:r>
              <w:rPr>
                <w:b/>
                <w:sz w:val="20"/>
              </w:rPr>
              <w:t>Март 2001 года</w:t>
            </w:r>
          </w:p>
        </w:tc>
        <w:tc>
          <w:tcPr>
            <w:tcW w:w="5670" w:type="dxa"/>
          </w:tcPr>
          <w:p w:rsidR="00000000" w:rsidRDefault="00000000">
            <w:pPr>
              <w:pStyle w:val="table"/>
              <w:jc w:val="both"/>
              <w:rPr>
                <w:sz w:val="20"/>
              </w:rPr>
            </w:pPr>
            <w:r>
              <w:rPr>
                <w:sz w:val="20"/>
              </w:rPr>
              <w:t xml:space="preserve">Вступает в силу </w:t>
            </w:r>
            <w:r>
              <w:rPr>
                <w:b/>
                <w:sz w:val="20"/>
              </w:rPr>
              <w:t>"Брюссельское постановление </w:t>
            </w:r>
            <w:r>
              <w:rPr>
                <w:b/>
                <w:sz w:val="20"/>
                <w:lang w:val="en-US"/>
              </w:rPr>
              <w:t>II</w:t>
            </w:r>
            <w:r>
              <w:rPr>
                <w:b/>
                <w:sz w:val="20"/>
              </w:rPr>
              <w:t>"</w:t>
            </w:r>
            <w:r>
              <w:rPr>
                <w:sz w:val="20"/>
              </w:rPr>
              <w:t>, в к</w:t>
            </w:r>
            <w:r>
              <w:rPr>
                <w:sz w:val="20"/>
              </w:rPr>
              <w:t>о</w:t>
            </w:r>
            <w:r>
              <w:rPr>
                <w:sz w:val="20"/>
              </w:rPr>
              <w:t>тором с участием всех государств – членов ЕС, за искл</w:t>
            </w:r>
            <w:r>
              <w:rPr>
                <w:sz w:val="20"/>
              </w:rPr>
              <w:t>ю</w:t>
            </w:r>
            <w:r>
              <w:rPr>
                <w:sz w:val="20"/>
              </w:rPr>
              <w:t>чением Дании, разработаны единообразные правила, к</w:t>
            </w:r>
            <w:r>
              <w:rPr>
                <w:sz w:val="20"/>
              </w:rPr>
              <w:t>а</w:t>
            </w:r>
            <w:r>
              <w:rPr>
                <w:sz w:val="20"/>
              </w:rPr>
              <w:t>сающиеся судебной юрисдикции, а также признания и в</w:t>
            </w:r>
            <w:r>
              <w:rPr>
                <w:sz w:val="20"/>
              </w:rPr>
              <w:t>ы</w:t>
            </w:r>
            <w:r>
              <w:rPr>
                <w:sz w:val="20"/>
              </w:rPr>
              <w:t>полнения постановлений по семейным делам и по вопр</w:t>
            </w:r>
            <w:r>
              <w:rPr>
                <w:sz w:val="20"/>
              </w:rPr>
              <w:t>о</w:t>
            </w:r>
            <w:r>
              <w:rPr>
                <w:sz w:val="20"/>
              </w:rPr>
              <w:t>сам, связанным с родительской ответственностью обоих родителей за своих детей.</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Июль 2001 года</w:t>
            </w:r>
          </w:p>
        </w:tc>
        <w:tc>
          <w:tcPr>
            <w:tcW w:w="5670" w:type="dxa"/>
          </w:tcPr>
          <w:p w:rsidR="00000000" w:rsidRDefault="00000000">
            <w:pPr>
              <w:pStyle w:val="table"/>
              <w:jc w:val="both"/>
              <w:rPr>
                <w:sz w:val="20"/>
              </w:rPr>
            </w:pPr>
            <w:r>
              <w:rPr>
                <w:sz w:val="20"/>
              </w:rPr>
              <w:t xml:space="preserve">1 июля 2001 года вступает в силу </w:t>
            </w:r>
            <w:r>
              <w:rPr>
                <w:b/>
                <w:sz w:val="20"/>
              </w:rPr>
              <w:t>Девятый том Социал</w:t>
            </w:r>
            <w:r>
              <w:rPr>
                <w:b/>
                <w:sz w:val="20"/>
              </w:rPr>
              <w:t>ь</w:t>
            </w:r>
            <w:r>
              <w:rPr>
                <w:b/>
                <w:sz w:val="20"/>
              </w:rPr>
              <w:t>ного кодекса</w:t>
            </w:r>
            <w:r>
              <w:rPr>
                <w:sz w:val="20"/>
              </w:rPr>
              <w:t xml:space="preserve"> (</w:t>
            </w:r>
            <w:r>
              <w:rPr>
                <w:sz w:val="20"/>
                <w:lang w:val="en-US"/>
              </w:rPr>
              <w:t>Neuntes</w:t>
            </w:r>
            <w:r>
              <w:rPr>
                <w:sz w:val="20"/>
              </w:rPr>
              <w:t xml:space="preserve"> </w:t>
            </w:r>
            <w:r>
              <w:rPr>
                <w:sz w:val="20"/>
                <w:lang w:val="en-US"/>
              </w:rPr>
              <w:t>Sozialgesetzbuch IX</w:t>
            </w:r>
            <w:r>
              <w:rPr>
                <w:sz w:val="20"/>
              </w:rPr>
              <w:t>). Главная цель положений Девятого тома Социального кодекса заключае</w:t>
            </w:r>
            <w:r>
              <w:rPr>
                <w:sz w:val="20"/>
              </w:rPr>
              <w:t>т</w:t>
            </w:r>
            <w:r>
              <w:rPr>
                <w:sz w:val="20"/>
              </w:rPr>
              <w:t>ся в обеспечении координации с помощью эффективных средств обслуживания и сотрудничества со стороны орг</w:t>
            </w:r>
            <w:r>
              <w:rPr>
                <w:sz w:val="20"/>
              </w:rPr>
              <w:t>а</w:t>
            </w:r>
            <w:r>
              <w:rPr>
                <w:sz w:val="20"/>
              </w:rPr>
              <w:t>низаций, предоставляющих услуги. Деятельность соц</w:t>
            </w:r>
            <w:r>
              <w:rPr>
                <w:sz w:val="20"/>
              </w:rPr>
              <w:t>и</w:t>
            </w:r>
            <w:r>
              <w:rPr>
                <w:sz w:val="20"/>
              </w:rPr>
              <w:t>альных служб направлена на поощрение участия в общес</w:t>
            </w:r>
            <w:r>
              <w:rPr>
                <w:sz w:val="20"/>
              </w:rPr>
              <w:t>т</w:t>
            </w:r>
            <w:r>
              <w:rPr>
                <w:sz w:val="20"/>
              </w:rPr>
              <w:t>венной жизни и, в частности, в трудовой деятельности и</w:t>
            </w:r>
            <w:r>
              <w:rPr>
                <w:sz w:val="20"/>
              </w:rPr>
              <w:t>н</w:t>
            </w:r>
            <w:r>
              <w:rPr>
                <w:sz w:val="20"/>
              </w:rPr>
              <w:t>валидов и лиц, которым угрожает инвали</w:t>
            </w:r>
            <w:r>
              <w:rPr>
                <w:sz w:val="20"/>
              </w:rPr>
              <w:t>д</w:t>
            </w:r>
            <w:r>
              <w:rPr>
                <w:sz w:val="20"/>
              </w:rPr>
              <w:t xml:space="preserve">ность. </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Июль 2001 года</w:t>
            </w:r>
          </w:p>
        </w:tc>
        <w:tc>
          <w:tcPr>
            <w:tcW w:w="5670" w:type="dxa"/>
          </w:tcPr>
          <w:p w:rsidR="00000000" w:rsidRDefault="00000000">
            <w:pPr>
              <w:pStyle w:val="table"/>
              <w:jc w:val="both"/>
              <w:rPr>
                <w:sz w:val="20"/>
              </w:rPr>
            </w:pPr>
            <w:r>
              <w:rPr>
                <w:sz w:val="20"/>
              </w:rPr>
              <w:t xml:space="preserve">28 июля 2001 года вступает в силу </w:t>
            </w:r>
            <w:r>
              <w:rPr>
                <w:b/>
                <w:sz w:val="20"/>
              </w:rPr>
              <w:t>Закон о внесении и</w:t>
            </w:r>
            <w:r>
              <w:rPr>
                <w:b/>
                <w:sz w:val="20"/>
              </w:rPr>
              <w:t>з</w:t>
            </w:r>
            <w:r>
              <w:rPr>
                <w:b/>
                <w:sz w:val="20"/>
              </w:rPr>
              <w:t>менений в Конституционный закон о трудовых отн</w:t>
            </w:r>
            <w:r>
              <w:rPr>
                <w:b/>
                <w:sz w:val="20"/>
              </w:rPr>
              <w:t>о</w:t>
            </w:r>
            <w:r>
              <w:rPr>
                <w:b/>
                <w:sz w:val="20"/>
              </w:rPr>
              <w:t>шениях</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Reform</w:t>
            </w:r>
            <w:r>
              <w:rPr>
                <w:sz w:val="20"/>
              </w:rPr>
              <w:t xml:space="preserve"> </w:t>
            </w:r>
            <w:r>
              <w:rPr>
                <w:sz w:val="20"/>
                <w:lang w:val="en-US"/>
              </w:rPr>
              <w:t>des</w:t>
            </w:r>
            <w:r>
              <w:rPr>
                <w:sz w:val="20"/>
              </w:rPr>
              <w:t xml:space="preserve"> </w:t>
            </w:r>
            <w:r>
              <w:rPr>
                <w:sz w:val="20"/>
                <w:lang w:val="en-US"/>
              </w:rPr>
              <w:t>Betriebsverfassungsgesetzes</w:t>
            </w:r>
            <w:r>
              <w:rPr>
                <w:sz w:val="20"/>
              </w:rPr>
              <w:t>). В этом законе предусмотрено расширение равных возможностей для мужчин и женщин, работа</w:t>
            </w:r>
            <w:r>
              <w:rPr>
                <w:sz w:val="20"/>
              </w:rPr>
              <w:t>ю</w:t>
            </w:r>
            <w:r>
              <w:rPr>
                <w:sz w:val="20"/>
              </w:rPr>
              <w:t>щих в компаниях.</w:t>
            </w:r>
          </w:p>
        </w:tc>
      </w:tr>
      <w:tr w:rsidR="00000000">
        <w:tblPrEx>
          <w:tblCellMar>
            <w:top w:w="0" w:type="dxa"/>
            <w:bottom w:w="0" w:type="dxa"/>
          </w:tblCellMar>
        </w:tblPrEx>
        <w:tc>
          <w:tcPr>
            <w:tcW w:w="1679" w:type="dxa"/>
          </w:tcPr>
          <w:p w:rsidR="00000000" w:rsidRDefault="00000000">
            <w:pPr>
              <w:pStyle w:val="table"/>
              <w:rPr>
                <w:b/>
                <w:sz w:val="20"/>
              </w:rPr>
            </w:pPr>
            <w:r>
              <w:rPr>
                <w:b/>
                <w:sz w:val="20"/>
              </w:rPr>
              <w:t>Август 2001 года</w:t>
            </w:r>
          </w:p>
        </w:tc>
        <w:tc>
          <w:tcPr>
            <w:tcW w:w="5670" w:type="dxa"/>
          </w:tcPr>
          <w:p w:rsidR="00000000" w:rsidRDefault="00000000">
            <w:pPr>
              <w:pStyle w:val="table"/>
              <w:jc w:val="both"/>
              <w:rPr>
                <w:sz w:val="20"/>
              </w:rPr>
            </w:pPr>
            <w:r>
              <w:rPr>
                <w:sz w:val="20"/>
              </w:rPr>
              <w:t xml:space="preserve">1 августа 2001 года вступает в силу </w:t>
            </w:r>
            <w:r>
              <w:rPr>
                <w:b/>
                <w:sz w:val="20"/>
              </w:rPr>
              <w:t>Закон о партнерских семейных отношениях</w:t>
            </w:r>
            <w:r>
              <w:rPr>
                <w:sz w:val="20"/>
              </w:rPr>
              <w:t xml:space="preserve"> (</w:t>
            </w:r>
            <w:r>
              <w:rPr>
                <w:sz w:val="20"/>
                <w:lang w:val="en-US"/>
              </w:rPr>
              <w:t>Lebenspartnerschaftsgesetz</w:t>
            </w:r>
            <w:r>
              <w:rPr>
                <w:sz w:val="20"/>
              </w:rPr>
              <w:t>). Т</w:t>
            </w:r>
            <w:r>
              <w:rPr>
                <w:sz w:val="20"/>
              </w:rPr>
              <w:t>е</w:t>
            </w:r>
            <w:r>
              <w:rPr>
                <w:sz w:val="20"/>
              </w:rPr>
              <w:t>перь гомосексуальные пары могут официально зарегис</w:t>
            </w:r>
            <w:r>
              <w:rPr>
                <w:sz w:val="20"/>
              </w:rPr>
              <w:t>т</w:t>
            </w:r>
            <w:r>
              <w:rPr>
                <w:sz w:val="20"/>
              </w:rPr>
              <w:t>рировать свои партнерские отношения. Живущие вместе партнеры одного пола признаются в качестве членов с</w:t>
            </w:r>
            <w:r>
              <w:rPr>
                <w:sz w:val="20"/>
              </w:rPr>
              <w:t>е</w:t>
            </w:r>
            <w:r>
              <w:rPr>
                <w:sz w:val="20"/>
              </w:rPr>
              <w:t>мьи. Они обязаны проявлять взаимную заботу и помогать друг другу, совместно планировать свою жизнь и прин</w:t>
            </w:r>
            <w:r>
              <w:rPr>
                <w:sz w:val="20"/>
              </w:rPr>
              <w:t>и</w:t>
            </w:r>
            <w:r>
              <w:rPr>
                <w:sz w:val="20"/>
              </w:rPr>
              <w:t>мать на себя обязательства по материальному обеспечению членов семьи.</w:t>
            </w:r>
          </w:p>
        </w:tc>
      </w:tr>
      <w:tr w:rsidR="00000000">
        <w:tblPrEx>
          <w:tblCellMar>
            <w:top w:w="0" w:type="dxa"/>
            <w:bottom w:w="0" w:type="dxa"/>
          </w:tblCellMar>
        </w:tblPrEx>
        <w:tc>
          <w:tcPr>
            <w:tcW w:w="1679" w:type="dxa"/>
          </w:tcPr>
          <w:p w:rsidR="00000000" w:rsidRDefault="00000000">
            <w:pPr>
              <w:pStyle w:val="table"/>
              <w:rPr>
                <w:b/>
                <w:sz w:val="20"/>
              </w:rPr>
            </w:pPr>
            <w:r>
              <w:rPr>
                <w:b/>
                <w:sz w:val="20"/>
              </w:rPr>
              <w:t>Декабрь 2001 года</w:t>
            </w:r>
          </w:p>
        </w:tc>
        <w:tc>
          <w:tcPr>
            <w:tcW w:w="5670" w:type="dxa"/>
          </w:tcPr>
          <w:p w:rsidR="00000000" w:rsidRDefault="00000000">
            <w:pPr>
              <w:pStyle w:val="table"/>
              <w:jc w:val="both"/>
              <w:rPr>
                <w:sz w:val="20"/>
              </w:rPr>
            </w:pPr>
            <w:r>
              <w:rPr>
                <w:sz w:val="20"/>
              </w:rPr>
              <w:t xml:space="preserve">5 декабря 2001 года вступает в силу </w:t>
            </w:r>
            <w:r>
              <w:rPr>
                <w:b/>
                <w:sz w:val="20"/>
              </w:rPr>
              <w:t>Федеральный закон о реализации концепции по предоставлению женщинам и мужчинам равных возможностей</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Durchsetzung</w:t>
            </w:r>
            <w:r>
              <w:rPr>
                <w:sz w:val="20"/>
              </w:rPr>
              <w:t xml:space="preserve"> </w:t>
            </w:r>
            <w:r>
              <w:rPr>
                <w:sz w:val="20"/>
                <w:lang w:val="en-US"/>
              </w:rPr>
              <w:t>der</w:t>
            </w:r>
            <w:r>
              <w:rPr>
                <w:sz w:val="20"/>
              </w:rPr>
              <w:t xml:space="preserve"> </w:t>
            </w:r>
            <w:r>
              <w:rPr>
                <w:sz w:val="20"/>
                <w:lang w:val="en-US"/>
              </w:rPr>
              <w:t>Gleichstellung</w:t>
            </w:r>
            <w:r>
              <w:rPr>
                <w:sz w:val="20"/>
              </w:rPr>
              <w:t xml:space="preserve"> </w:t>
            </w:r>
            <w:r>
              <w:rPr>
                <w:sz w:val="20"/>
                <w:lang w:val="en-US"/>
              </w:rPr>
              <w:t>von</w:t>
            </w:r>
            <w:r>
              <w:rPr>
                <w:sz w:val="20"/>
              </w:rPr>
              <w:t xml:space="preserve"> </w:t>
            </w:r>
            <w:r>
              <w:rPr>
                <w:sz w:val="20"/>
                <w:lang w:val="en-US"/>
              </w:rPr>
              <w:t>Frauen</w:t>
            </w:r>
            <w:r>
              <w:rPr>
                <w:sz w:val="20"/>
              </w:rPr>
              <w:t xml:space="preserve"> </w:t>
            </w:r>
            <w:r>
              <w:rPr>
                <w:sz w:val="20"/>
                <w:lang w:val="en-US"/>
              </w:rPr>
              <w:t>und</w:t>
            </w:r>
            <w:r>
              <w:rPr>
                <w:sz w:val="20"/>
              </w:rPr>
              <w:t xml:space="preserve"> </w:t>
            </w:r>
            <w:r>
              <w:rPr>
                <w:sz w:val="20"/>
                <w:lang w:val="en-US"/>
              </w:rPr>
              <w:t>Mannern</w:t>
            </w:r>
            <w:r>
              <w:rPr>
                <w:sz w:val="20"/>
              </w:rPr>
              <w:t xml:space="preserve"> – </w:t>
            </w:r>
            <w:r>
              <w:rPr>
                <w:sz w:val="20"/>
                <w:lang w:val="en-US"/>
              </w:rPr>
              <w:t>Bundesgleichstellungsdurchsetzungsgesetz</w:t>
            </w:r>
            <w:r>
              <w:rPr>
                <w:sz w:val="20"/>
              </w:rPr>
              <w:t>). Этот Закон пр</w:t>
            </w:r>
            <w:r>
              <w:rPr>
                <w:sz w:val="20"/>
              </w:rPr>
              <w:t>е</w:t>
            </w:r>
            <w:r>
              <w:rPr>
                <w:sz w:val="20"/>
              </w:rPr>
              <w:t>доставляет возможность отдавать предпочтение женщинам с такими же способностями, квалификацией и успехами в профессиональной деятельности при обучении, найме на работу и продвижении по службе в областях, в которых женщины недостаточно представлены, с учетом обсто</w:t>
            </w:r>
            <w:r>
              <w:rPr>
                <w:sz w:val="20"/>
              </w:rPr>
              <w:t>я</w:t>
            </w:r>
            <w:r>
              <w:rPr>
                <w:sz w:val="20"/>
              </w:rPr>
              <w:t>тельств каждого отдельного случая. Он позволяет более эффективно совмещать выполнение семейных и произво</w:t>
            </w:r>
            <w:r>
              <w:rPr>
                <w:sz w:val="20"/>
              </w:rPr>
              <w:t>д</w:t>
            </w:r>
            <w:r>
              <w:rPr>
                <w:sz w:val="20"/>
              </w:rPr>
              <w:t>ственных обязанностей, обязывает всех работников, в</w:t>
            </w:r>
            <w:r>
              <w:rPr>
                <w:sz w:val="20"/>
              </w:rPr>
              <w:t>ы</w:t>
            </w:r>
            <w:r>
              <w:rPr>
                <w:sz w:val="20"/>
              </w:rPr>
              <w:t>полняющих управленческие функции, принимать меры по поощрению равенства и расширяет права уполномоченных по вопросам равенства. Закон содержит дополнительные положения, касающиеся занятости в течение неполного рабочего дня. Так, должности сотрудников высшего и среднего руководящего звена должны также предлагаться к замещению, исходя из возможности занятости в течение неполного рабочего дня, если этому не препятствуют обоснованные причины официального характера. Кроме того, теперь для государственных служащих, занятых н</w:t>
            </w:r>
            <w:r>
              <w:rPr>
                <w:sz w:val="20"/>
              </w:rPr>
              <w:t>е</w:t>
            </w:r>
            <w:r>
              <w:rPr>
                <w:sz w:val="20"/>
              </w:rPr>
              <w:t>полный рабочий день и выполняющих семейные обязанн</w:t>
            </w:r>
            <w:r>
              <w:rPr>
                <w:sz w:val="20"/>
              </w:rPr>
              <w:t>о</w:t>
            </w:r>
            <w:r>
              <w:rPr>
                <w:sz w:val="20"/>
              </w:rPr>
              <w:t>сти, упрощена процедура возобновления своей трудовой деятельн</w:t>
            </w:r>
            <w:r>
              <w:rPr>
                <w:sz w:val="20"/>
              </w:rPr>
              <w:t>о</w:t>
            </w:r>
            <w:r>
              <w:rPr>
                <w:sz w:val="20"/>
              </w:rPr>
              <w:t>сти в течение полного рабочего дня.</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2002 года</w:t>
            </w:r>
          </w:p>
        </w:tc>
        <w:tc>
          <w:tcPr>
            <w:tcW w:w="5670" w:type="dxa"/>
          </w:tcPr>
          <w:p w:rsidR="00000000" w:rsidRDefault="00000000">
            <w:pPr>
              <w:pStyle w:val="table"/>
              <w:jc w:val="both"/>
              <w:rPr>
                <w:sz w:val="20"/>
              </w:rPr>
            </w:pPr>
            <w:r>
              <w:rPr>
                <w:b/>
                <w:sz w:val="20"/>
              </w:rPr>
              <w:t>Поправка к Федеральному закону о пособии на ребе</w:t>
            </w:r>
            <w:r>
              <w:rPr>
                <w:b/>
                <w:sz w:val="20"/>
              </w:rPr>
              <w:t>н</w:t>
            </w:r>
            <w:r>
              <w:rPr>
                <w:b/>
                <w:sz w:val="20"/>
              </w:rPr>
              <w:t>ка.</w:t>
            </w:r>
            <w:r>
              <w:rPr>
                <w:sz w:val="20"/>
              </w:rPr>
              <w:t xml:space="preserve"> С 1 января 2002 года увеличен размер пособия на р</w:t>
            </w:r>
            <w:r>
              <w:rPr>
                <w:sz w:val="20"/>
              </w:rPr>
              <w:t>е</w:t>
            </w:r>
            <w:r>
              <w:rPr>
                <w:sz w:val="20"/>
              </w:rPr>
              <w:t>бенка, и в настоящее время сумма ежемесячного пособия как на первых двух детей, так и на третьего ребенка, с</w:t>
            </w:r>
            <w:r>
              <w:rPr>
                <w:sz w:val="20"/>
              </w:rPr>
              <w:t>о</w:t>
            </w:r>
            <w:r>
              <w:rPr>
                <w:sz w:val="20"/>
              </w:rPr>
              <w:t>ставляет 154 евро. Начиная с четвертого ребенка, размер ежемесячного пособия увеличив</w:t>
            </w:r>
            <w:r>
              <w:rPr>
                <w:sz w:val="20"/>
              </w:rPr>
              <w:t>а</w:t>
            </w:r>
            <w:r>
              <w:rPr>
                <w:sz w:val="20"/>
              </w:rPr>
              <w:t>ется до 179 евро.</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2002 года</w:t>
            </w:r>
          </w:p>
        </w:tc>
        <w:tc>
          <w:tcPr>
            <w:tcW w:w="5670" w:type="dxa"/>
          </w:tcPr>
          <w:p w:rsidR="00000000" w:rsidRDefault="00000000">
            <w:pPr>
              <w:pStyle w:val="table"/>
              <w:jc w:val="both"/>
              <w:rPr>
                <w:sz w:val="20"/>
              </w:rPr>
            </w:pPr>
            <w:r>
              <w:rPr>
                <w:sz w:val="20"/>
              </w:rPr>
              <w:t xml:space="preserve">Вступает в силу </w:t>
            </w:r>
            <w:r>
              <w:rPr>
                <w:b/>
                <w:sz w:val="20"/>
              </w:rPr>
              <w:t>Закон о предоставлении более эффе</w:t>
            </w:r>
            <w:r>
              <w:rPr>
                <w:b/>
                <w:sz w:val="20"/>
              </w:rPr>
              <w:t>к</w:t>
            </w:r>
            <w:r>
              <w:rPr>
                <w:b/>
                <w:sz w:val="20"/>
              </w:rPr>
              <w:t>тивной судебной защиты в случае совершения насил</w:t>
            </w:r>
            <w:r>
              <w:rPr>
                <w:b/>
                <w:sz w:val="20"/>
              </w:rPr>
              <w:t>ь</w:t>
            </w:r>
            <w:r>
              <w:rPr>
                <w:b/>
                <w:sz w:val="20"/>
              </w:rPr>
              <w:t>ственных действий и обращения с нежелательными предложениями, а также об облегчении процедуры з</w:t>
            </w:r>
            <w:r>
              <w:rPr>
                <w:b/>
                <w:sz w:val="20"/>
              </w:rPr>
              <w:t>а</w:t>
            </w:r>
            <w:r>
              <w:rPr>
                <w:b/>
                <w:sz w:val="20"/>
              </w:rPr>
              <w:t>прета доступа к семейному дому в случае раздельного проживания – Закон о защите от насилия</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Verbesserung</w:t>
            </w:r>
            <w:r>
              <w:rPr>
                <w:sz w:val="20"/>
              </w:rPr>
              <w:t xml:space="preserve"> </w:t>
            </w:r>
            <w:r>
              <w:rPr>
                <w:sz w:val="20"/>
                <w:lang w:val="en-US"/>
              </w:rPr>
              <w:t>des</w:t>
            </w:r>
            <w:r>
              <w:rPr>
                <w:sz w:val="20"/>
              </w:rPr>
              <w:t xml:space="preserve"> </w:t>
            </w:r>
            <w:r>
              <w:rPr>
                <w:sz w:val="20"/>
                <w:lang w:val="en-US"/>
              </w:rPr>
              <w:t>zivilgerichtlichen</w:t>
            </w:r>
            <w:r>
              <w:rPr>
                <w:sz w:val="20"/>
              </w:rPr>
              <w:t xml:space="preserve"> </w:t>
            </w:r>
            <w:r>
              <w:rPr>
                <w:sz w:val="20"/>
                <w:lang w:val="en-US"/>
              </w:rPr>
              <w:t>Schutzes</w:t>
            </w:r>
            <w:r>
              <w:rPr>
                <w:sz w:val="20"/>
              </w:rPr>
              <w:t xml:space="preserve"> </w:t>
            </w:r>
            <w:r>
              <w:rPr>
                <w:sz w:val="20"/>
                <w:lang w:val="en-US"/>
              </w:rPr>
              <w:t>bei</w:t>
            </w:r>
            <w:r>
              <w:rPr>
                <w:sz w:val="20"/>
              </w:rPr>
              <w:t xml:space="preserve"> </w:t>
            </w:r>
            <w:r>
              <w:rPr>
                <w:sz w:val="20"/>
                <w:lang w:val="en-US"/>
              </w:rPr>
              <w:t>Gewalttaten</w:t>
            </w:r>
            <w:r>
              <w:rPr>
                <w:sz w:val="20"/>
              </w:rPr>
              <w:t xml:space="preserve"> </w:t>
            </w:r>
            <w:r>
              <w:rPr>
                <w:sz w:val="20"/>
                <w:lang w:val="en-US"/>
              </w:rPr>
              <w:t>und</w:t>
            </w:r>
            <w:r>
              <w:rPr>
                <w:sz w:val="20"/>
              </w:rPr>
              <w:t xml:space="preserve"> </w:t>
            </w:r>
            <w:r>
              <w:rPr>
                <w:sz w:val="20"/>
                <w:lang w:val="en-US"/>
              </w:rPr>
              <w:t>Nachstellungen</w:t>
            </w:r>
            <w:r>
              <w:rPr>
                <w:sz w:val="20"/>
              </w:rPr>
              <w:t xml:space="preserve"> </w:t>
            </w:r>
            <w:r>
              <w:rPr>
                <w:sz w:val="20"/>
                <w:lang w:val="en-US"/>
              </w:rPr>
              <w:t>sowie</w:t>
            </w:r>
            <w:r>
              <w:rPr>
                <w:sz w:val="20"/>
              </w:rPr>
              <w:t xml:space="preserve"> </w:t>
            </w:r>
            <w:r>
              <w:rPr>
                <w:sz w:val="20"/>
                <w:lang w:val="en-US"/>
              </w:rPr>
              <w:t>zur</w:t>
            </w:r>
            <w:r>
              <w:rPr>
                <w:sz w:val="20"/>
              </w:rPr>
              <w:t xml:space="preserve"> </w:t>
            </w:r>
            <w:r>
              <w:rPr>
                <w:sz w:val="20"/>
                <w:lang w:val="en-US"/>
              </w:rPr>
              <w:t>Erleichterung</w:t>
            </w:r>
            <w:r>
              <w:rPr>
                <w:sz w:val="20"/>
              </w:rPr>
              <w:t xml:space="preserve"> </w:t>
            </w:r>
            <w:r>
              <w:rPr>
                <w:sz w:val="20"/>
                <w:lang w:val="en-US"/>
              </w:rPr>
              <w:t>der</w:t>
            </w:r>
            <w:r>
              <w:rPr>
                <w:sz w:val="20"/>
              </w:rPr>
              <w:t xml:space="preserve"> </w:t>
            </w:r>
            <w:r>
              <w:rPr>
                <w:sz w:val="20"/>
                <w:lang w:val="en-US"/>
              </w:rPr>
              <w:t>Uberlassung</w:t>
            </w:r>
            <w:r>
              <w:rPr>
                <w:sz w:val="20"/>
              </w:rPr>
              <w:t xml:space="preserve"> </w:t>
            </w:r>
            <w:r>
              <w:rPr>
                <w:sz w:val="20"/>
                <w:lang w:val="en-US"/>
              </w:rPr>
              <w:t>der</w:t>
            </w:r>
            <w:r>
              <w:rPr>
                <w:sz w:val="20"/>
              </w:rPr>
              <w:t xml:space="preserve"> </w:t>
            </w:r>
            <w:r>
              <w:rPr>
                <w:sz w:val="20"/>
                <w:lang w:val="en-US"/>
              </w:rPr>
              <w:t>Ehewohnung</w:t>
            </w:r>
            <w:r>
              <w:rPr>
                <w:sz w:val="20"/>
              </w:rPr>
              <w:t xml:space="preserve"> </w:t>
            </w:r>
            <w:r>
              <w:rPr>
                <w:sz w:val="20"/>
                <w:lang w:val="en-US"/>
              </w:rPr>
              <w:t>bei</w:t>
            </w:r>
            <w:r>
              <w:rPr>
                <w:sz w:val="20"/>
              </w:rPr>
              <w:t xml:space="preserve"> </w:t>
            </w:r>
            <w:r>
              <w:rPr>
                <w:sz w:val="20"/>
                <w:lang w:val="en-US"/>
              </w:rPr>
              <w:t>Trennung </w:t>
            </w:r>
            <w:r>
              <w:rPr>
                <w:sz w:val="20"/>
              </w:rPr>
              <w:t xml:space="preserve">– </w:t>
            </w:r>
            <w:r>
              <w:rPr>
                <w:sz w:val="20"/>
                <w:lang w:val="en-US"/>
              </w:rPr>
              <w:t>Gewaltschutzgesetz</w:t>
            </w:r>
            <w:r>
              <w:rPr>
                <w:sz w:val="20"/>
              </w:rPr>
              <w:t>). Пом</w:t>
            </w:r>
            <w:r>
              <w:rPr>
                <w:sz w:val="20"/>
              </w:rPr>
              <w:t>и</w:t>
            </w:r>
            <w:r>
              <w:rPr>
                <w:sz w:val="20"/>
              </w:rPr>
              <w:t>мо упрощения процедуры запрета доступа к семейному дому Закон также содержит конкретные положения о з</w:t>
            </w:r>
            <w:r>
              <w:rPr>
                <w:sz w:val="20"/>
              </w:rPr>
              <w:t>а</w:t>
            </w:r>
            <w:r>
              <w:rPr>
                <w:sz w:val="20"/>
              </w:rPr>
              <w:t>прещении контактов, преследований и приближения к т</w:t>
            </w:r>
            <w:r>
              <w:rPr>
                <w:sz w:val="20"/>
              </w:rPr>
              <w:t>а</w:t>
            </w:r>
            <w:r>
              <w:rPr>
                <w:sz w:val="20"/>
              </w:rPr>
              <w:t>кому дому. Если насильственные действия имели место в условиях тесной социальной близости, то Закон предо</w:t>
            </w:r>
            <w:r>
              <w:rPr>
                <w:sz w:val="20"/>
              </w:rPr>
              <w:t>с</w:t>
            </w:r>
            <w:r>
              <w:rPr>
                <w:sz w:val="20"/>
              </w:rPr>
              <w:t>тавляет право вводить запрет на доступ к дому, если оби</w:t>
            </w:r>
            <w:r>
              <w:rPr>
                <w:sz w:val="20"/>
              </w:rPr>
              <w:t>д</w:t>
            </w:r>
            <w:r>
              <w:rPr>
                <w:sz w:val="20"/>
              </w:rPr>
              <w:t>чик и жертва – в большинстве случаев женщина – вели с</w:t>
            </w:r>
            <w:r>
              <w:rPr>
                <w:sz w:val="20"/>
              </w:rPr>
              <w:t>о</w:t>
            </w:r>
            <w:r>
              <w:rPr>
                <w:sz w:val="20"/>
              </w:rPr>
              <w:t>вместное хозяйство в течение продолжительного периода времени.</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2002 года</w:t>
            </w:r>
          </w:p>
        </w:tc>
        <w:tc>
          <w:tcPr>
            <w:tcW w:w="5670" w:type="dxa"/>
          </w:tcPr>
          <w:p w:rsidR="00000000" w:rsidRDefault="00000000">
            <w:pPr>
              <w:pStyle w:val="table"/>
              <w:jc w:val="both"/>
              <w:rPr>
                <w:sz w:val="20"/>
              </w:rPr>
            </w:pPr>
            <w:r>
              <w:rPr>
                <w:sz w:val="20"/>
              </w:rPr>
              <w:t xml:space="preserve">Вступает в силу </w:t>
            </w:r>
            <w:r>
              <w:rPr>
                <w:b/>
                <w:sz w:val="20"/>
              </w:rPr>
              <w:t>Закон об улучшении правового и соц</w:t>
            </w:r>
            <w:r>
              <w:rPr>
                <w:b/>
                <w:sz w:val="20"/>
              </w:rPr>
              <w:t>и</w:t>
            </w:r>
            <w:r>
              <w:rPr>
                <w:b/>
                <w:sz w:val="20"/>
              </w:rPr>
              <w:t>ального статуса проституток</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Verbesserung</w:t>
            </w:r>
            <w:r>
              <w:rPr>
                <w:sz w:val="20"/>
              </w:rPr>
              <w:t xml:space="preserve"> </w:t>
            </w:r>
            <w:r>
              <w:rPr>
                <w:sz w:val="20"/>
                <w:lang w:val="en-US"/>
              </w:rPr>
              <w:t>der</w:t>
            </w:r>
            <w:r>
              <w:rPr>
                <w:sz w:val="20"/>
              </w:rPr>
              <w:t xml:space="preserve"> </w:t>
            </w:r>
            <w:r>
              <w:rPr>
                <w:sz w:val="20"/>
                <w:lang w:val="en-US"/>
              </w:rPr>
              <w:t>rechtlichen</w:t>
            </w:r>
            <w:r>
              <w:rPr>
                <w:sz w:val="20"/>
              </w:rPr>
              <w:t xml:space="preserve"> </w:t>
            </w:r>
            <w:r>
              <w:rPr>
                <w:sz w:val="20"/>
                <w:lang w:val="en-US"/>
              </w:rPr>
              <w:t>und</w:t>
            </w:r>
            <w:r>
              <w:rPr>
                <w:sz w:val="20"/>
              </w:rPr>
              <w:t xml:space="preserve"> </w:t>
            </w:r>
            <w:r>
              <w:rPr>
                <w:sz w:val="20"/>
                <w:lang w:val="en-US"/>
              </w:rPr>
              <w:t>sozialen</w:t>
            </w:r>
            <w:r>
              <w:rPr>
                <w:sz w:val="20"/>
              </w:rPr>
              <w:t xml:space="preserve"> </w:t>
            </w:r>
            <w:r>
              <w:rPr>
                <w:sz w:val="20"/>
                <w:lang w:val="en-US"/>
              </w:rPr>
              <w:t>Situation</w:t>
            </w:r>
            <w:r>
              <w:rPr>
                <w:sz w:val="20"/>
              </w:rPr>
              <w:t xml:space="preserve"> </w:t>
            </w:r>
            <w:r>
              <w:rPr>
                <w:sz w:val="20"/>
                <w:lang w:val="en-US"/>
              </w:rPr>
              <w:t>der</w:t>
            </w:r>
            <w:r>
              <w:rPr>
                <w:sz w:val="20"/>
              </w:rPr>
              <w:t xml:space="preserve"> </w:t>
            </w:r>
            <w:r>
              <w:rPr>
                <w:sz w:val="20"/>
                <w:lang w:val="en-US"/>
              </w:rPr>
              <w:t>Prostituierten</w:t>
            </w:r>
            <w:r>
              <w:rPr>
                <w:sz w:val="20"/>
              </w:rPr>
              <w:t>). Теперь проститутки имеют законное право заниматься своей де</w:t>
            </w:r>
            <w:r>
              <w:rPr>
                <w:sz w:val="20"/>
              </w:rPr>
              <w:t>я</w:t>
            </w:r>
            <w:r>
              <w:rPr>
                <w:sz w:val="20"/>
              </w:rPr>
              <w:t>тельностью либо на основе самозанятости, самостоятельно создавая надлежащие условия для работы, либо работать по найму, заключая договор социального страхования. Деятельность по поощрению проституции и сводничества подлежит наказанию только в случаях эксплуатации, осн</w:t>
            </w:r>
            <w:r>
              <w:rPr>
                <w:sz w:val="20"/>
              </w:rPr>
              <w:t>о</w:t>
            </w:r>
            <w:r>
              <w:rPr>
                <w:sz w:val="20"/>
              </w:rPr>
              <w:t>ванной на использовании физической и экономической з</w:t>
            </w:r>
            <w:r>
              <w:rPr>
                <w:sz w:val="20"/>
              </w:rPr>
              <w:t>а</w:t>
            </w:r>
            <w:r>
              <w:rPr>
                <w:sz w:val="20"/>
              </w:rPr>
              <w:t>висимости простит</w:t>
            </w:r>
            <w:r>
              <w:rPr>
                <w:sz w:val="20"/>
              </w:rPr>
              <w:t>у</w:t>
            </w:r>
            <w:r>
              <w:rPr>
                <w:sz w:val="20"/>
              </w:rPr>
              <w:t>ток.</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2002 года</w:t>
            </w:r>
          </w:p>
        </w:tc>
        <w:tc>
          <w:tcPr>
            <w:tcW w:w="5670" w:type="dxa"/>
          </w:tcPr>
          <w:p w:rsidR="00000000" w:rsidRDefault="00000000">
            <w:pPr>
              <w:pStyle w:val="table"/>
              <w:jc w:val="both"/>
              <w:rPr>
                <w:b/>
                <w:sz w:val="20"/>
              </w:rPr>
            </w:pPr>
            <w:r>
              <w:rPr>
                <w:sz w:val="20"/>
              </w:rPr>
              <w:t xml:space="preserve">1 января 2002 года вступает в силу </w:t>
            </w:r>
            <w:r>
              <w:rPr>
                <w:b/>
                <w:sz w:val="20"/>
              </w:rPr>
              <w:t>Закон о трудовой де</w:t>
            </w:r>
            <w:r>
              <w:rPr>
                <w:b/>
                <w:sz w:val="20"/>
              </w:rPr>
              <w:t>я</w:t>
            </w:r>
            <w:r>
              <w:rPr>
                <w:b/>
                <w:sz w:val="20"/>
              </w:rPr>
              <w:t xml:space="preserve">тельности АКТИВ </w:t>
            </w:r>
            <w:r>
              <w:rPr>
                <w:sz w:val="20"/>
              </w:rPr>
              <w:t>(</w:t>
            </w:r>
            <w:r>
              <w:rPr>
                <w:sz w:val="20"/>
                <w:lang w:val="en-US"/>
              </w:rPr>
              <w:t>Job</w:t>
            </w:r>
            <w:r>
              <w:rPr>
                <w:sz w:val="20"/>
              </w:rPr>
              <w:t>-</w:t>
            </w:r>
            <w:r>
              <w:rPr>
                <w:sz w:val="20"/>
                <w:lang w:val="en-US"/>
              </w:rPr>
              <w:t>AQTIV</w:t>
            </w:r>
            <w:r>
              <w:rPr>
                <w:sz w:val="20"/>
              </w:rPr>
              <w:t>-</w:t>
            </w:r>
            <w:r>
              <w:rPr>
                <w:sz w:val="20"/>
                <w:lang w:val="en-US"/>
              </w:rPr>
              <w:t>Gesetz</w:t>
            </w:r>
            <w:r>
              <w:rPr>
                <w:sz w:val="20"/>
              </w:rPr>
              <w:t>). Свое название Закон получил по первым буквам следующих немецких слов: активизация, квалификация, подготовка, инвестиции и коммуникации. Закон направлен на поощрение равенства женщин и мужчин на рынке труда путем принятия в отн</w:t>
            </w:r>
            <w:r>
              <w:rPr>
                <w:sz w:val="20"/>
              </w:rPr>
              <w:t>о</w:t>
            </w:r>
            <w:r>
              <w:rPr>
                <w:sz w:val="20"/>
              </w:rPr>
              <w:t>шении женщин более эффективных конкретных мер пол</w:t>
            </w:r>
            <w:r>
              <w:rPr>
                <w:sz w:val="20"/>
              </w:rPr>
              <w:t>и</w:t>
            </w:r>
            <w:r>
              <w:rPr>
                <w:sz w:val="20"/>
              </w:rPr>
              <w:t>тики, которая проводится на этом рынке. Кроме того, Закон о трудовой деятельности «АКТИВ» позволяет более э</w:t>
            </w:r>
            <w:r>
              <w:rPr>
                <w:sz w:val="20"/>
              </w:rPr>
              <w:t>ф</w:t>
            </w:r>
            <w:r>
              <w:rPr>
                <w:sz w:val="20"/>
              </w:rPr>
              <w:t>фективно сочетать выполнение семейных обязанностей и трудовую деятельность. С этой целью был увеличен размер ежемесячного пособия по уходу за ребенком, составля</w:t>
            </w:r>
            <w:r>
              <w:rPr>
                <w:sz w:val="20"/>
              </w:rPr>
              <w:t>ю</w:t>
            </w:r>
            <w:r>
              <w:rPr>
                <w:sz w:val="20"/>
              </w:rPr>
              <w:t>щего 130 евро на одного ребенка, которое выплачивается в том случае, если безработные принимают участие в пр</w:t>
            </w:r>
            <w:r>
              <w:rPr>
                <w:sz w:val="20"/>
              </w:rPr>
              <w:t>о</w:t>
            </w:r>
            <w:r>
              <w:rPr>
                <w:sz w:val="20"/>
              </w:rPr>
              <w:t>граммах по получению базовой профессиональной подг</w:t>
            </w:r>
            <w:r>
              <w:rPr>
                <w:sz w:val="20"/>
              </w:rPr>
              <w:t>о</w:t>
            </w:r>
            <w:r>
              <w:rPr>
                <w:sz w:val="20"/>
              </w:rPr>
              <w:t>товки или повышению квалификации. Начиная с 2003 года, в отношении лиц, подлежащих обязательному социальн</w:t>
            </w:r>
            <w:r>
              <w:rPr>
                <w:sz w:val="20"/>
              </w:rPr>
              <w:t>о</w:t>
            </w:r>
            <w:r>
              <w:rPr>
                <w:sz w:val="20"/>
              </w:rPr>
              <w:t>му страхованию, сроки, установленные для выплаты пос</w:t>
            </w:r>
            <w:r>
              <w:rPr>
                <w:sz w:val="20"/>
              </w:rPr>
              <w:t>о</w:t>
            </w:r>
            <w:r>
              <w:rPr>
                <w:sz w:val="20"/>
              </w:rPr>
              <w:t>бий по материнству и на содержание детей до достижения ими возраста трех лет, повторно применяются в качестве сроков выплаты пособий в рамках страхования по безраб</w:t>
            </w:r>
            <w:r>
              <w:rPr>
                <w:sz w:val="20"/>
              </w:rPr>
              <w:t>о</w:t>
            </w:r>
            <w:r>
              <w:rPr>
                <w:sz w:val="20"/>
              </w:rPr>
              <w:t>тице.</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2002 года</w:t>
            </w:r>
          </w:p>
        </w:tc>
        <w:tc>
          <w:tcPr>
            <w:tcW w:w="5670" w:type="dxa"/>
          </w:tcPr>
          <w:p w:rsidR="00000000" w:rsidRDefault="00000000">
            <w:pPr>
              <w:pStyle w:val="table"/>
              <w:jc w:val="both"/>
              <w:rPr>
                <w:sz w:val="20"/>
              </w:rPr>
            </w:pPr>
            <w:r>
              <w:rPr>
                <w:sz w:val="20"/>
              </w:rPr>
              <w:t xml:space="preserve">1 января 2002 года вступает в силу </w:t>
            </w:r>
            <w:r>
              <w:rPr>
                <w:b/>
                <w:sz w:val="20"/>
              </w:rPr>
              <w:t>Закон об оказании б</w:t>
            </w:r>
            <w:r>
              <w:rPr>
                <w:b/>
                <w:sz w:val="20"/>
              </w:rPr>
              <w:t>о</w:t>
            </w:r>
            <w:r>
              <w:rPr>
                <w:b/>
                <w:sz w:val="20"/>
              </w:rPr>
              <w:t>лее эффективной помощи в повышении квалификации</w:t>
            </w:r>
            <w:r>
              <w:rPr>
                <w:sz w:val="20"/>
              </w:rPr>
              <w:t xml:space="preserve"> ("</w:t>
            </w:r>
            <w:r>
              <w:rPr>
                <w:sz w:val="20"/>
                <w:lang w:val="en-US"/>
              </w:rPr>
              <w:t>Meister</w:t>
            </w:r>
            <w:r>
              <w:rPr>
                <w:sz w:val="20"/>
              </w:rPr>
              <w:t>-</w:t>
            </w:r>
            <w:r>
              <w:rPr>
                <w:sz w:val="20"/>
                <w:lang w:val="en-US"/>
              </w:rPr>
              <w:t>BAF</w:t>
            </w:r>
            <w:r>
              <w:rPr>
                <w:sz w:val="20"/>
              </w:rPr>
              <w:t>ö</w:t>
            </w:r>
            <w:r>
              <w:rPr>
                <w:sz w:val="20"/>
                <w:lang w:val="en-US"/>
              </w:rPr>
              <w:t>G</w:t>
            </w:r>
            <w:r>
              <w:rPr>
                <w:sz w:val="20"/>
              </w:rPr>
              <w:t>"). Теперь для продвижения по службе членов семей с детьми и родителей-одиночек созданы б</w:t>
            </w:r>
            <w:r>
              <w:rPr>
                <w:sz w:val="20"/>
              </w:rPr>
              <w:t>о</w:t>
            </w:r>
            <w:r>
              <w:rPr>
                <w:sz w:val="20"/>
              </w:rPr>
              <w:t>лее благопр</w:t>
            </w:r>
            <w:r>
              <w:rPr>
                <w:sz w:val="20"/>
              </w:rPr>
              <w:t>и</w:t>
            </w:r>
            <w:r>
              <w:rPr>
                <w:sz w:val="20"/>
              </w:rPr>
              <w:t xml:space="preserve">ятные условия. </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2002 года</w:t>
            </w:r>
          </w:p>
        </w:tc>
        <w:tc>
          <w:tcPr>
            <w:tcW w:w="5670" w:type="dxa"/>
          </w:tcPr>
          <w:p w:rsidR="00000000" w:rsidRDefault="00000000">
            <w:pPr>
              <w:pStyle w:val="table"/>
              <w:jc w:val="both"/>
              <w:rPr>
                <w:sz w:val="20"/>
              </w:rPr>
            </w:pPr>
            <w:r>
              <w:rPr>
                <w:sz w:val="20"/>
              </w:rPr>
              <w:t xml:space="preserve">15 января 2002 года федеральное правительство </w:t>
            </w:r>
            <w:r>
              <w:rPr>
                <w:b/>
                <w:sz w:val="20"/>
              </w:rPr>
              <w:t>ратиф</w:t>
            </w:r>
            <w:r>
              <w:rPr>
                <w:b/>
                <w:sz w:val="20"/>
              </w:rPr>
              <w:t>и</w:t>
            </w:r>
            <w:r>
              <w:rPr>
                <w:b/>
                <w:sz w:val="20"/>
              </w:rPr>
              <w:t>цирует Факультативный протокол к Конвенции Орг</w:t>
            </w:r>
            <w:r>
              <w:rPr>
                <w:b/>
                <w:sz w:val="20"/>
              </w:rPr>
              <w:t>а</w:t>
            </w:r>
            <w:r>
              <w:rPr>
                <w:b/>
                <w:sz w:val="20"/>
              </w:rPr>
              <w:t>низации Объединенных Наций о ликвидации дискр</w:t>
            </w:r>
            <w:r>
              <w:rPr>
                <w:b/>
                <w:sz w:val="20"/>
              </w:rPr>
              <w:t>и</w:t>
            </w:r>
            <w:r>
              <w:rPr>
                <w:b/>
                <w:sz w:val="20"/>
              </w:rPr>
              <w:t>минации в отношении женщин</w:t>
            </w:r>
            <w:r>
              <w:rPr>
                <w:sz w:val="20"/>
              </w:rPr>
              <w:t>. Факультативный прот</w:t>
            </w:r>
            <w:r>
              <w:rPr>
                <w:sz w:val="20"/>
              </w:rPr>
              <w:t>о</w:t>
            </w:r>
            <w:r>
              <w:rPr>
                <w:sz w:val="20"/>
              </w:rPr>
              <w:t>кол к Конвенции о ликвидации дискриминации в отнош</w:t>
            </w:r>
            <w:r>
              <w:rPr>
                <w:sz w:val="20"/>
              </w:rPr>
              <w:t>е</w:t>
            </w:r>
            <w:r>
              <w:rPr>
                <w:sz w:val="20"/>
              </w:rPr>
              <w:t>нии женщин вступает в силу в отношении Федеративной Республики через три месяца после его ратификации, т.е. 15 апреля 2002 года.</w:t>
            </w:r>
          </w:p>
        </w:tc>
      </w:tr>
      <w:tr w:rsidR="00000000">
        <w:tblPrEx>
          <w:tblCellMar>
            <w:top w:w="0" w:type="dxa"/>
            <w:bottom w:w="0" w:type="dxa"/>
          </w:tblCellMar>
        </w:tblPrEx>
        <w:tc>
          <w:tcPr>
            <w:tcW w:w="1679" w:type="dxa"/>
          </w:tcPr>
          <w:p w:rsidR="00000000" w:rsidRDefault="00000000">
            <w:pPr>
              <w:pStyle w:val="table"/>
              <w:rPr>
                <w:b/>
                <w:sz w:val="20"/>
              </w:rPr>
            </w:pPr>
            <w:r>
              <w:rPr>
                <w:b/>
                <w:sz w:val="20"/>
              </w:rPr>
              <w:t>Апрель 2002 года</w:t>
            </w:r>
          </w:p>
        </w:tc>
        <w:tc>
          <w:tcPr>
            <w:tcW w:w="5670" w:type="dxa"/>
          </w:tcPr>
          <w:p w:rsidR="00000000" w:rsidRDefault="00000000">
            <w:pPr>
              <w:pStyle w:val="table"/>
              <w:jc w:val="both"/>
              <w:rPr>
                <w:sz w:val="20"/>
              </w:rPr>
            </w:pPr>
            <w:r>
              <w:rPr>
                <w:sz w:val="20"/>
              </w:rPr>
              <w:t xml:space="preserve">12 апреля 2002 года вступает в силу </w:t>
            </w:r>
            <w:r>
              <w:rPr>
                <w:b/>
                <w:sz w:val="20"/>
              </w:rPr>
              <w:t>Закон о дальнейшем расширении прав детей детям – Закон о предоставл</w:t>
            </w:r>
            <w:r>
              <w:rPr>
                <w:b/>
                <w:sz w:val="20"/>
              </w:rPr>
              <w:t>е</w:t>
            </w:r>
            <w:r>
              <w:rPr>
                <w:b/>
                <w:sz w:val="20"/>
              </w:rPr>
              <w:t>нии детям более широких прав (</w:t>
            </w:r>
            <w:r>
              <w:rPr>
                <w:sz w:val="20"/>
                <w:lang w:val="en-US"/>
              </w:rPr>
              <w:t>Gesetz</w:t>
            </w:r>
            <w:r>
              <w:rPr>
                <w:sz w:val="20"/>
              </w:rPr>
              <w:t xml:space="preserve"> </w:t>
            </w:r>
            <w:r>
              <w:rPr>
                <w:sz w:val="20"/>
                <w:lang w:val="en-US"/>
              </w:rPr>
              <w:t>zur</w:t>
            </w:r>
            <w:r>
              <w:rPr>
                <w:sz w:val="20"/>
              </w:rPr>
              <w:t xml:space="preserve"> </w:t>
            </w:r>
            <w:r>
              <w:rPr>
                <w:sz w:val="20"/>
                <w:lang w:val="en-US"/>
              </w:rPr>
              <w:t>weiteren</w:t>
            </w:r>
            <w:r>
              <w:rPr>
                <w:sz w:val="20"/>
              </w:rPr>
              <w:t xml:space="preserve"> </w:t>
            </w:r>
            <w:r>
              <w:rPr>
                <w:sz w:val="20"/>
                <w:lang w:val="en-US"/>
              </w:rPr>
              <w:t>Ve</w:t>
            </w:r>
            <w:r>
              <w:rPr>
                <w:sz w:val="20"/>
                <w:lang w:val="en-US"/>
              </w:rPr>
              <w:t>r</w:t>
            </w:r>
            <w:r>
              <w:rPr>
                <w:sz w:val="20"/>
                <w:lang w:val="en-US"/>
              </w:rPr>
              <w:t>besserung</w:t>
            </w:r>
            <w:r>
              <w:rPr>
                <w:sz w:val="20"/>
              </w:rPr>
              <w:t xml:space="preserve"> </w:t>
            </w:r>
            <w:r>
              <w:rPr>
                <w:sz w:val="20"/>
                <w:lang w:val="en-US"/>
              </w:rPr>
              <w:t>von</w:t>
            </w:r>
            <w:r>
              <w:rPr>
                <w:sz w:val="20"/>
              </w:rPr>
              <w:t xml:space="preserve"> </w:t>
            </w:r>
            <w:r>
              <w:rPr>
                <w:sz w:val="20"/>
                <w:lang w:val="en-US"/>
              </w:rPr>
              <w:t>Kinderrechten </w:t>
            </w:r>
            <w:r>
              <w:rPr>
                <w:sz w:val="20"/>
              </w:rPr>
              <w:t xml:space="preserve">– </w:t>
            </w:r>
            <w:r>
              <w:rPr>
                <w:sz w:val="20"/>
                <w:lang w:val="en-US"/>
              </w:rPr>
              <w:t>Kinderrechteverbesserungsg</w:t>
            </w:r>
            <w:r>
              <w:rPr>
                <w:sz w:val="20"/>
                <w:lang w:val="en-US"/>
              </w:rPr>
              <w:t>e</w:t>
            </w:r>
            <w:r>
              <w:rPr>
                <w:sz w:val="20"/>
                <w:lang w:val="en-US"/>
              </w:rPr>
              <w:t>setz</w:t>
            </w:r>
            <w:r>
              <w:rPr>
                <w:sz w:val="20"/>
              </w:rPr>
              <w:t>). В частности, он предусматривает упрощение проц</w:t>
            </w:r>
            <w:r>
              <w:rPr>
                <w:sz w:val="20"/>
              </w:rPr>
              <w:t>е</w:t>
            </w:r>
            <w:r>
              <w:rPr>
                <w:sz w:val="20"/>
              </w:rPr>
              <w:t>дуры удаления из непосредственного окружения ребенка лиц, совершающих насил</w:t>
            </w:r>
            <w:r>
              <w:rPr>
                <w:sz w:val="20"/>
              </w:rPr>
              <w:t>ь</w:t>
            </w:r>
            <w:r>
              <w:rPr>
                <w:sz w:val="20"/>
              </w:rPr>
              <w:t>ственные действия.</w:t>
            </w:r>
          </w:p>
        </w:tc>
      </w:tr>
      <w:tr w:rsidR="00000000">
        <w:tblPrEx>
          <w:tblCellMar>
            <w:top w:w="0" w:type="dxa"/>
            <w:bottom w:w="0" w:type="dxa"/>
          </w:tblCellMar>
        </w:tblPrEx>
        <w:tc>
          <w:tcPr>
            <w:tcW w:w="1679" w:type="dxa"/>
          </w:tcPr>
          <w:p w:rsidR="00000000" w:rsidRDefault="00000000">
            <w:pPr>
              <w:pStyle w:val="table"/>
              <w:rPr>
                <w:b/>
                <w:sz w:val="20"/>
              </w:rPr>
            </w:pPr>
            <w:r>
              <w:rPr>
                <w:b/>
                <w:sz w:val="20"/>
              </w:rPr>
              <w:t>Май 2002 года</w:t>
            </w:r>
          </w:p>
        </w:tc>
        <w:tc>
          <w:tcPr>
            <w:tcW w:w="5670" w:type="dxa"/>
          </w:tcPr>
          <w:p w:rsidR="00000000" w:rsidRDefault="00000000">
            <w:pPr>
              <w:pStyle w:val="table"/>
              <w:jc w:val="both"/>
              <w:rPr>
                <w:sz w:val="20"/>
              </w:rPr>
            </w:pPr>
            <w:r>
              <w:rPr>
                <w:sz w:val="20"/>
              </w:rPr>
              <w:t xml:space="preserve">1 мая 2002 года вступает в силу </w:t>
            </w:r>
            <w:r>
              <w:rPr>
                <w:b/>
                <w:sz w:val="20"/>
              </w:rPr>
              <w:t>Закон о равных возмо</w:t>
            </w:r>
            <w:r>
              <w:rPr>
                <w:b/>
                <w:sz w:val="20"/>
              </w:rPr>
              <w:t>ж</w:t>
            </w:r>
            <w:r>
              <w:rPr>
                <w:b/>
                <w:sz w:val="20"/>
              </w:rPr>
              <w:t>ностях для инвалидов</w:t>
            </w:r>
            <w:r>
              <w:rPr>
                <w:sz w:val="20"/>
              </w:rPr>
              <w:t xml:space="preserve"> (</w:t>
            </w:r>
            <w:r>
              <w:rPr>
                <w:sz w:val="20"/>
                <w:lang w:val="en-US"/>
              </w:rPr>
              <w:t>Gesetz</w:t>
            </w:r>
            <w:r>
              <w:rPr>
                <w:sz w:val="20"/>
              </w:rPr>
              <w:t xml:space="preserve"> </w:t>
            </w:r>
            <w:r>
              <w:rPr>
                <w:sz w:val="20"/>
                <w:lang w:val="en-US"/>
              </w:rPr>
              <w:t>zur</w:t>
            </w:r>
            <w:r>
              <w:rPr>
                <w:sz w:val="20"/>
              </w:rPr>
              <w:t xml:space="preserve"> </w:t>
            </w:r>
            <w:r>
              <w:rPr>
                <w:sz w:val="20"/>
                <w:lang w:val="en-US"/>
              </w:rPr>
              <w:t>Gleichstellung</w:t>
            </w:r>
            <w:r>
              <w:rPr>
                <w:sz w:val="20"/>
              </w:rPr>
              <w:t xml:space="preserve"> </w:t>
            </w:r>
            <w:r>
              <w:rPr>
                <w:sz w:val="20"/>
                <w:lang w:val="en-US"/>
              </w:rPr>
              <w:t>behi</w:t>
            </w:r>
            <w:r>
              <w:rPr>
                <w:sz w:val="20"/>
                <w:lang w:val="en-US"/>
              </w:rPr>
              <w:t>n</w:t>
            </w:r>
            <w:r>
              <w:rPr>
                <w:sz w:val="20"/>
                <w:lang w:val="en-US"/>
              </w:rPr>
              <w:t>derter</w:t>
            </w:r>
            <w:r>
              <w:rPr>
                <w:sz w:val="20"/>
              </w:rPr>
              <w:t xml:space="preserve"> </w:t>
            </w:r>
            <w:r>
              <w:rPr>
                <w:sz w:val="20"/>
                <w:lang w:val="en-US"/>
              </w:rPr>
              <w:t>Menschen </w:t>
            </w:r>
            <w:r>
              <w:rPr>
                <w:sz w:val="20"/>
              </w:rPr>
              <w:t xml:space="preserve">– </w:t>
            </w:r>
            <w:r>
              <w:rPr>
                <w:sz w:val="20"/>
                <w:lang w:val="en-US"/>
              </w:rPr>
              <w:t>BGG</w:t>
            </w:r>
            <w:r>
              <w:rPr>
                <w:sz w:val="20"/>
              </w:rPr>
              <w:t>). Закон о равных возможностях для инвалидов предоставляет инвалидам новые возможности для осуществления самостоятельной деятельности и ра</w:t>
            </w:r>
            <w:r>
              <w:rPr>
                <w:sz w:val="20"/>
              </w:rPr>
              <w:t>в</w:t>
            </w:r>
            <w:r>
              <w:rPr>
                <w:sz w:val="20"/>
              </w:rPr>
              <w:t>ноправного участия в жизни общества. Путем создания в широких масштабах свободных от ограничений условий и запрещения дискриминации со стороны лиц, осущест</w:t>
            </w:r>
            <w:r>
              <w:rPr>
                <w:sz w:val="20"/>
              </w:rPr>
              <w:t>в</w:t>
            </w:r>
            <w:r>
              <w:rPr>
                <w:sz w:val="20"/>
              </w:rPr>
              <w:t>ляющих государственные функции, было обеспечено в</w:t>
            </w:r>
            <w:r>
              <w:rPr>
                <w:sz w:val="20"/>
              </w:rPr>
              <w:t>ы</w:t>
            </w:r>
            <w:r>
              <w:rPr>
                <w:sz w:val="20"/>
              </w:rPr>
              <w:t>полнение в полной мере положения о запрете дискримин</w:t>
            </w:r>
            <w:r>
              <w:rPr>
                <w:sz w:val="20"/>
              </w:rPr>
              <w:t>а</w:t>
            </w:r>
            <w:r>
              <w:rPr>
                <w:sz w:val="20"/>
              </w:rPr>
              <w:t>ции, содержащегося в статье 3 Основного закона. В целях обеспечения равноправия мужчин и женщин необходимо учитывать особые проблемы женщин-инвалидов и ликв</w:t>
            </w:r>
            <w:r>
              <w:rPr>
                <w:sz w:val="20"/>
              </w:rPr>
              <w:t>и</w:t>
            </w:r>
            <w:r>
              <w:rPr>
                <w:sz w:val="20"/>
              </w:rPr>
              <w:t>дировать случаи существующей дискриминации (ра</w:t>
            </w:r>
            <w:r>
              <w:rPr>
                <w:sz w:val="20"/>
              </w:rPr>
              <w:t>з</w:t>
            </w:r>
            <w:r>
              <w:rPr>
                <w:sz w:val="20"/>
              </w:rPr>
              <w:t>дел 2 Закона о Женщинах-инвалидах). Кроме того, в законе говорится о возможности принятия особых мер, напра</w:t>
            </w:r>
            <w:r>
              <w:rPr>
                <w:sz w:val="20"/>
              </w:rPr>
              <w:t>в</w:t>
            </w:r>
            <w:r>
              <w:rPr>
                <w:sz w:val="20"/>
              </w:rPr>
              <w:t>ленных на поощрение осуществления де-факто в принуд</w:t>
            </w:r>
            <w:r>
              <w:rPr>
                <w:sz w:val="20"/>
              </w:rPr>
              <w:t>и</w:t>
            </w:r>
            <w:r>
              <w:rPr>
                <w:sz w:val="20"/>
              </w:rPr>
              <w:t>тельном порядке равных прав женщин-инвалидов и на л</w:t>
            </w:r>
            <w:r>
              <w:rPr>
                <w:sz w:val="20"/>
              </w:rPr>
              <w:t>и</w:t>
            </w:r>
            <w:r>
              <w:rPr>
                <w:sz w:val="20"/>
              </w:rPr>
              <w:t>квидацию существующей дискрим</w:t>
            </w:r>
            <w:r>
              <w:rPr>
                <w:sz w:val="20"/>
              </w:rPr>
              <w:t>и</w:t>
            </w:r>
            <w:r>
              <w:rPr>
                <w:sz w:val="20"/>
              </w:rPr>
              <w:t>нации.</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Июнь 2002 года</w:t>
            </w:r>
          </w:p>
        </w:tc>
        <w:tc>
          <w:tcPr>
            <w:tcW w:w="5670" w:type="dxa"/>
          </w:tcPr>
          <w:p w:rsidR="00000000" w:rsidRDefault="00000000">
            <w:pPr>
              <w:pStyle w:val="table"/>
              <w:jc w:val="both"/>
              <w:rPr>
                <w:sz w:val="20"/>
              </w:rPr>
            </w:pPr>
            <w:r>
              <w:rPr>
                <w:sz w:val="20"/>
              </w:rPr>
              <w:t xml:space="preserve">20 июня 2002 года вступают в силу </w:t>
            </w:r>
            <w:r>
              <w:rPr>
                <w:b/>
                <w:sz w:val="20"/>
              </w:rPr>
              <w:t>Поправки к Закону о защите материнства</w:t>
            </w:r>
            <w:r>
              <w:rPr>
                <w:sz w:val="20"/>
              </w:rPr>
              <w:t xml:space="preserve"> (</w:t>
            </w:r>
            <w:r>
              <w:rPr>
                <w:sz w:val="20"/>
                <w:lang w:val="en-US"/>
              </w:rPr>
              <w:t>Mutterschutzgesetz</w:t>
            </w:r>
            <w:r>
              <w:rPr>
                <w:sz w:val="20"/>
              </w:rPr>
              <w:t>). Закон о защите материнства действует в отношении всех матерей в теч</w:t>
            </w:r>
            <w:r>
              <w:rPr>
                <w:sz w:val="20"/>
              </w:rPr>
              <w:t>е</w:t>
            </w:r>
            <w:r>
              <w:rPr>
                <w:sz w:val="20"/>
              </w:rPr>
              <w:t>ние не менее 14 недель и охватывает матерей, у которых роды произошли раньше срока. Кроме того, в законе ук</w:t>
            </w:r>
            <w:r>
              <w:rPr>
                <w:sz w:val="20"/>
              </w:rPr>
              <w:t>а</w:t>
            </w:r>
            <w:r>
              <w:rPr>
                <w:sz w:val="20"/>
              </w:rPr>
              <w:t>зано, что время, в течение которого в соответствии с зак</w:t>
            </w:r>
            <w:r>
              <w:rPr>
                <w:sz w:val="20"/>
              </w:rPr>
              <w:t>о</w:t>
            </w:r>
            <w:r>
              <w:rPr>
                <w:sz w:val="20"/>
              </w:rPr>
              <w:t>ном о защите материнства запрещается работать по найму, засчитывается в качестве времени работы при расчете о</w:t>
            </w:r>
            <w:r>
              <w:rPr>
                <w:sz w:val="20"/>
              </w:rPr>
              <w:t>т</w:t>
            </w:r>
            <w:r>
              <w:rPr>
                <w:sz w:val="20"/>
              </w:rPr>
              <w:t>пуска.</w:t>
            </w:r>
          </w:p>
        </w:tc>
      </w:tr>
    </w:tbl>
    <w:p w:rsidR="00000000" w:rsidRDefault="00000000">
      <w:pPr>
        <w:pStyle w:val="H1"/>
      </w:pPr>
      <w:bookmarkStart w:id="828" w:name="_Toc44113574"/>
      <w:bookmarkStart w:id="829" w:name="_Toc44113875"/>
      <w:bookmarkStart w:id="830" w:name="_Toc44114384"/>
      <w:bookmarkStart w:id="831" w:name="_Toc44115632"/>
      <w:bookmarkStart w:id="832" w:name="_Toc44116064"/>
      <w:r>
        <w:t>2)</w:t>
      </w:r>
      <w:r>
        <w:tab/>
        <w:t>Другие мероприятия и события, связанные с политикой обеспечения равных прав (н</w:t>
      </w:r>
      <w:r>
        <w:t>а</w:t>
      </w:r>
      <w:r>
        <w:t>чиная с мая 1998 года)</w:t>
      </w:r>
      <w:bookmarkEnd w:id="828"/>
      <w:bookmarkEnd w:id="829"/>
      <w:bookmarkEnd w:id="830"/>
      <w:bookmarkEnd w:id="831"/>
      <w:bookmarkEnd w:id="832"/>
    </w:p>
    <w:tbl>
      <w:tblPr>
        <w:tblW w:w="0" w:type="auto"/>
        <w:tblInd w:w="1158" w:type="dxa"/>
        <w:tblLayout w:type="fixed"/>
        <w:tblLook w:val="0000" w:firstRow="0" w:lastRow="0" w:firstColumn="0" w:lastColumn="0" w:noHBand="0" w:noVBand="0"/>
      </w:tblPr>
      <w:tblGrid>
        <w:gridCol w:w="1679"/>
        <w:gridCol w:w="5670"/>
      </w:tblGrid>
      <w:tr w:rsidR="00000000">
        <w:tblPrEx>
          <w:tblCellMar>
            <w:top w:w="0" w:type="dxa"/>
            <w:bottom w:w="0" w:type="dxa"/>
          </w:tblCellMar>
        </w:tblPrEx>
        <w:tc>
          <w:tcPr>
            <w:tcW w:w="1679" w:type="dxa"/>
          </w:tcPr>
          <w:p w:rsidR="00000000" w:rsidRDefault="00000000">
            <w:pPr>
              <w:pStyle w:val="table"/>
              <w:rPr>
                <w:b/>
                <w:sz w:val="20"/>
              </w:rPr>
            </w:pPr>
            <w:r>
              <w:rPr>
                <w:b/>
                <w:sz w:val="20"/>
              </w:rPr>
              <w:t>Май 1998 года</w:t>
            </w:r>
          </w:p>
        </w:tc>
        <w:tc>
          <w:tcPr>
            <w:tcW w:w="5670" w:type="dxa"/>
          </w:tcPr>
          <w:p w:rsidR="00000000" w:rsidRDefault="00000000">
            <w:pPr>
              <w:pStyle w:val="table"/>
              <w:jc w:val="both"/>
              <w:rPr>
                <w:sz w:val="20"/>
              </w:rPr>
            </w:pPr>
            <w:r>
              <w:rPr>
                <w:sz w:val="20"/>
              </w:rPr>
              <w:t xml:space="preserve">Федеральному парламенту Германии представлен </w:t>
            </w:r>
            <w:r>
              <w:rPr>
                <w:b/>
                <w:sz w:val="20"/>
              </w:rPr>
              <w:t>Второй доклад федерального правительства о пропорционал</w:t>
            </w:r>
            <w:r>
              <w:rPr>
                <w:b/>
                <w:sz w:val="20"/>
              </w:rPr>
              <w:t>ь</w:t>
            </w:r>
            <w:r>
              <w:rPr>
                <w:b/>
                <w:sz w:val="20"/>
              </w:rPr>
              <w:t>ной доле женщин, представленных в основных органах, находящихся в сфере влияния Федерации</w:t>
            </w:r>
            <w:r>
              <w:rPr>
                <w:sz w:val="20"/>
              </w:rPr>
              <w:t xml:space="preserve"> (</w:t>
            </w:r>
            <w:r>
              <w:rPr>
                <w:sz w:val="20"/>
                <w:lang w:val="en-US"/>
              </w:rPr>
              <w:t>Zweiter</w:t>
            </w:r>
            <w:r>
              <w:rPr>
                <w:sz w:val="20"/>
              </w:rPr>
              <w:t xml:space="preserve"> </w:t>
            </w:r>
            <w:r>
              <w:rPr>
                <w:sz w:val="20"/>
                <w:lang w:val="en-US"/>
              </w:rPr>
              <w:t>B</w:t>
            </w:r>
            <w:r>
              <w:rPr>
                <w:sz w:val="20"/>
                <w:lang w:val="en-US"/>
              </w:rPr>
              <w:t>e</w:t>
            </w:r>
            <w:r>
              <w:rPr>
                <w:sz w:val="20"/>
                <w:lang w:val="en-US"/>
              </w:rPr>
              <w:t>richt</w:t>
            </w:r>
            <w:r>
              <w:rPr>
                <w:sz w:val="20"/>
              </w:rPr>
              <w:t xml:space="preserve"> </w:t>
            </w:r>
            <w:r>
              <w:rPr>
                <w:sz w:val="20"/>
                <w:lang w:val="en-US"/>
              </w:rPr>
              <w:t>der</w:t>
            </w:r>
            <w:r>
              <w:rPr>
                <w:sz w:val="20"/>
              </w:rPr>
              <w:t xml:space="preserve"> </w:t>
            </w:r>
            <w:r>
              <w:rPr>
                <w:sz w:val="20"/>
                <w:lang w:val="en-US"/>
              </w:rPr>
              <w:t>Bundesregierung</w:t>
            </w:r>
            <w:r>
              <w:rPr>
                <w:sz w:val="20"/>
              </w:rPr>
              <w:t xml:space="preserve"> ü</w:t>
            </w:r>
            <w:r>
              <w:rPr>
                <w:sz w:val="20"/>
                <w:lang w:val="en-US"/>
              </w:rPr>
              <w:t>ber</w:t>
            </w:r>
            <w:r>
              <w:rPr>
                <w:sz w:val="20"/>
              </w:rPr>
              <w:t xml:space="preserve"> </w:t>
            </w:r>
            <w:r>
              <w:rPr>
                <w:sz w:val="20"/>
                <w:lang w:val="en-US"/>
              </w:rPr>
              <w:t>den</w:t>
            </w:r>
            <w:r>
              <w:rPr>
                <w:sz w:val="20"/>
              </w:rPr>
              <w:t xml:space="preserve"> </w:t>
            </w:r>
            <w:r>
              <w:rPr>
                <w:sz w:val="20"/>
                <w:lang w:val="en-US"/>
              </w:rPr>
              <w:t>Anteil</w:t>
            </w:r>
            <w:r>
              <w:rPr>
                <w:sz w:val="20"/>
              </w:rPr>
              <w:t xml:space="preserve"> </w:t>
            </w:r>
            <w:r>
              <w:rPr>
                <w:sz w:val="20"/>
                <w:lang w:val="en-US"/>
              </w:rPr>
              <w:t>von</w:t>
            </w:r>
            <w:r>
              <w:rPr>
                <w:sz w:val="20"/>
              </w:rPr>
              <w:t xml:space="preserve"> </w:t>
            </w:r>
            <w:r>
              <w:rPr>
                <w:sz w:val="20"/>
                <w:lang w:val="en-US"/>
              </w:rPr>
              <w:t>Frauen</w:t>
            </w:r>
            <w:r>
              <w:rPr>
                <w:sz w:val="20"/>
              </w:rPr>
              <w:t xml:space="preserve"> </w:t>
            </w:r>
            <w:r>
              <w:rPr>
                <w:sz w:val="20"/>
                <w:lang w:val="en-US"/>
              </w:rPr>
              <w:t>in</w:t>
            </w:r>
            <w:r>
              <w:rPr>
                <w:sz w:val="20"/>
              </w:rPr>
              <w:t xml:space="preserve"> </w:t>
            </w:r>
            <w:r>
              <w:rPr>
                <w:sz w:val="20"/>
                <w:lang w:val="en-US"/>
              </w:rPr>
              <w:t>w</w:t>
            </w:r>
            <w:r>
              <w:rPr>
                <w:sz w:val="20"/>
                <w:lang w:val="en-US"/>
              </w:rPr>
              <w:t>e</w:t>
            </w:r>
            <w:r>
              <w:rPr>
                <w:sz w:val="20"/>
                <w:lang w:val="en-US"/>
              </w:rPr>
              <w:t>sentlichen</w:t>
            </w:r>
            <w:r>
              <w:rPr>
                <w:sz w:val="20"/>
              </w:rPr>
              <w:t xml:space="preserve"> </w:t>
            </w:r>
            <w:r>
              <w:rPr>
                <w:sz w:val="20"/>
                <w:lang w:val="en-US"/>
              </w:rPr>
              <w:t>Gremien</w:t>
            </w:r>
            <w:r>
              <w:rPr>
                <w:sz w:val="20"/>
              </w:rPr>
              <w:t xml:space="preserve"> </w:t>
            </w:r>
            <w:r>
              <w:rPr>
                <w:sz w:val="20"/>
                <w:lang w:val="en-US"/>
              </w:rPr>
              <w:t>im</w:t>
            </w:r>
            <w:r>
              <w:rPr>
                <w:sz w:val="20"/>
              </w:rPr>
              <w:t xml:space="preserve"> </w:t>
            </w:r>
            <w:r>
              <w:rPr>
                <w:sz w:val="20"/>
                <w:lang w:val="en-US"/>
              </w:rPr>
              <w:t>Einflussbereich</w:t>
            </w:r>
            <w:r>
              <w:rPr>
                <w:sz w:val="20"/>
              </w:rPr>
              <w:t xml:space="preserve"> </w:t>
            </w:r>
            <w:r>
              <w:rPr>
                <w:sz w:val="20"/>
                <w:lang w:val="en-US"/>
              </w:rPr>
              <w:t>des</w:t>
            </w:r>
            <w:r>
              <w:rPr>
                <w:sz w:val="20"/>
              </w:rPr>
              <w:t xml:space="preserve"> </w:t>
            </w:r>
            <w:r>
              <w:rPr>
                <w:sz w:val="20"/>
                <w:lang w:val="en-US"/>
              </w:rPr>
              <w:t>Bundes</w:t>
            </w:r>
            <w:r>
              <w:rPr>
                <w:sz w:val="20"/>
              </w:rPr>
              <w:t>).</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Июнь 1999 года</w:t>
            </w:r>
          </w:p>
        </w:tc>
        <w:tc>
          <w:tcPr>
            <w:tcW w:w="5670" w:type="dxa"/>
          </w:tcPr>
          <w:p w:rsidR="00000000" w:rsidRDefault="00000000">
            <w:pPr>
              <w:pStyle w:val="table"/>
              <w:jc w:val="both"/>
              <w:rPr>
                <w:sz w:val="20"/>
              </w:rPr>
            </w:pPr>
            <w:r>
              <w:rPr>
                <w:b/>
                <w:sz w:val="20"/>
              </w:rPr>
              <w:t>Принятие программы "Женщины и работа".</w:t>
            </w:r>
            <w:r>
              <w:rPr>
                <w:sz w:val="20"/>
              </w:rPr>
              <w:t xml:space="preserve"> Програ</w:t>
            </w:r>
            <w:r>
              <w:rPr>
                <w:sz w:val="20"/>
              </w:rPr>
              <w:t>м</w:t>
            </w:r>
            <w:r>
              <w:rPr>
                <w:sz w:val="20"/>
              </w:rPr>
              <w:t>ма федерального правительства "Женщины и работа" пр</w:t>
            </w:r>
            <w:r>
              <w:rPr>
                <w:sz w:val="20"/>
              </w:rPr>
              <w:t>е</w:t>
            </w:r>
            <w:r>
              <w:rPr>
                <w:sz w:val="20"/>
              </w:rPr>
              <w:t>дусматривает, помимо прочего, принятие мер по улучш</w:t>
            </w:r>
            <w:r>
              <w:rPr>
                <w:sz w:val="20"/>
              </w:rPr>
              <w:t>е</w:t>
            </w:r>
            <w:r>
              <w:rPr>
                <w:sz w:val="20"/>
              </w:rPr>
              <w:t>нию положения женщин в частном секторе, награждение образцовых предприятий за составление соответствующих графиков работы, создание учреждений по уходу за детьми или осуществление целенаправленных мер по улучшению положения женщин, таких, как награждение знаком «Вс</w:t>
            </w:r>
            <w:r>
              <w:rPr>
                <w:sz w:val="20"/>
              </w:rPr>
              <w:t>е</w:t>
            </w:r>
            <w:r>
              <w:rPr>
                <w:sz w:val="20"/>
              </w:rPr>
              <w:t>общее равноправие», проведение опросов семей и рабочих инспекций. Для руководителей новых малых предприятий организована стажировка, которая проводится, в частн</w:t>
            </w:r>
            <w:r>
              <w:rPr>
                <w:sz w:val="20"/>
              </w:rPr>
              <w:t>о</w:t>
            </w:r>
            <w:r>
              <w:rPr>
                <w:sz w:val="20"/>
              </w:rPr>
              <w:t>сти, на средства, выделяемые в рамках новой кредитной программы «СТАРТГЕЛД» Немецкого банка равноправия, направленной на повышение квалификации женщин, д</w:t>
            </w:r>
            <w:r>
              <w:rPr>
                <w:sz w:val="20"/>
              </w:rPr>
              <w:t>е</w:t>
            </w:r>
            <w:r>
              <w:rPr>
                <w:sz w:val="20"/>
              </w:rPr>
              <w:t>лающих первые шаги в сфере предпринимательской де</w:t>
            </w:r>
            <w:r>
              <w:rPr>
                <w:sz w:val="20"/>
              </w:rPr>
              <w:t>я</w:t>
            </w:r>
            <w:r>
              <w:rPr>
                <w:sz w:val="20"/>
              </w:rPr>
              <w:t>тельности. В целях расширения возможностей занятости для молодых женщин, особенно в секторе информацио</w:t>
            </w:r>
            <w:r>
              <w:rPr>
                <w:sz w:val="20"/>
              </w:rPr>
              <w:t>н</w:t>
            </w:r>
            <w:r>
              <w:rPr>
                <w:sz w:val="20"/>
              </w:rPr>
              <w:t>ных технологий, принимается ряд других мер. Еще одна задача заключается в том, чтобы расширить возможности по совмещению семейных и производственных обязанн</w:t>
            </w:r>
            <w:r>
              <w:rPr>
                <w:sz w:val="20"/>
              </w:rPr>
              <w:t>о</w:t>
            </w:r>
            <w:r>
              <w:rPr>
                <w:sz w:val="20"/>
              </w:rPr>
              <w:t>стей для матерей и отцов, способствуя в то же время фо</w:t>
            </w:r>
            <w:r>
              <w:rPr>
                <w:sz w:val="20"/>
              </w:rPr>
              <w:t>р</w:t>
            </w:r>
            <w:r>
              <w:rPr>
                <w:sz w:val="20"/>
              </w:rPr>
              <w:t>мированию нового отношения к мужчинам. Эти меры включают введение гибкого графика отпусков для восп</w:t>
            </w:r>
            <w:r>
              <w:rPr>
                <w:sz w:val="20"/>
              </w:rPr>
              <w:t>и</w:t>
            </w:r>
            <w:r>
              <w:rPr>
                <w:sz w:val="20"/>
              </w:rPr>
              <w:t>тания детей и увеличение предельного дохода, дающего право на получение пособия на воспитание детей. Прин</w:t>
            </w:r>
            <w:r>
              <w:rPr>
                <w:sz w:val="20"/>
              </w:rPr>
              <w:t>я</w:t>
            </w:r>
            <w:r>
              <w:rPr>
                <w:sz w:val="20"/>
              </w:rPr>
              <w:t>тие этой поправки законодательного характера сопрово</w:t>
            </w:r>
            <w:r>
              <w:rPr>
                <w:sz w:val="20"/>
              </w:rPr>
              <w:t>ж</w:t>
            </w:r>
            <w:r>
              <w:rPr>
                <w:sz w:val="20"/>
              </w:rPr>
              <w:t>дается проведением целенаправленной кампании, предн</w:t>
            </w:r>
            <w:r>
              <w:rPr>
                <w:sz w:val="20"/>
              </w:rPr>
              <w:t>а</w:t>
            </w:r>
            <w:r>
              <w:rPr>
                <w:sz w:val="20"/>
              </w:rPr>
              <w:t>значенной для отцов.</w:t>
            </w:r>
          </w:p>
        </w:tc>
      </w:tr>
      <w:tr w:rsidR="00000000">
        <w:tblPrEx>
          <w:tblCellMar>
            <w:top w:w="0" w:type="dxa"/>
            <w:bottom w:w="0" w:type="dxa"/>
          </w:tblCellMar>
        </w:tblPrEx>
        <w:tc>
          <w:tcPr>
            <w:tcW w:w="1679" w:type="dxa"/>
          </w:tcPr>
          <w:p w:rsidR="00000000" w:rsidRDefault="00000000">
            <w:pPr>
              <w:pStyle w:val="table"/>
              <w:rPr>
                <w:b/>
                <w:sz w:val="20"/>
              </w:rPr>
            </w:pPr>
            <w:r>
              <w:rPr>
                <w:b/>
                <w:sz w:val="20"/>
              </w:rPr>
              <w:t>Декабрь 1999 года</w:t>
            </w:r>
          </w:p>
        </w:tc>
        <w:tc>
          <w:tcPr>
            <w:tcW w:w="5670" w:type="dxa"/>
          </w:tcPr>
          <w:p w:rsidR="00000000" w:rsidRDefault="00000000">
            <w:pPr>
              <w:pStyle w:val="table"/>
              <w:jc w:val="both"/>
              <w:rPr>
                <w:sz w:val="20"/>
              </w:rPr>
            </w:pPr>
            <w:r>
              <w:rPr>
                <w:sz w:val="20"/>
              </w:rPr>
              <w:t xml:space="preserve">Утвердив </w:t>
            </w:r>
            <w:r>
              <w:rPr>
                <w:b/>
                <w:sz w:val="20"/>
              </w:rPr>
              <w:t>План действий по борьбе с насилием в отн</w:t>
            </w:r>
            <w:r>
              <w:rPr>
                <w:b/>
                <w:sz w:val="20"/>
              </w:rPr>
              <w:t>о</w:t>
            </w:r>
            <w:r>
              <w:rPr>
                <w:b/>
                <w:sz w:val="20"/>
              </w:rPr>
              <w:t>шении женщин</w:t>
            </w:r>
            <w:r>
              <w:rPr>
                <w:sz w:val="20"/>
              </w:rPr>
              <w:t>, федеральное правительство впервые в</w:t>
            </w:r>
            <w:r>
              <w:rPr>
                <w:sz w:val="20"/>
              </w:rPr>
              <w:t>ы</w:t>
            </w:r>
            <w:r>
              <w:rPr>
                <w:sz w:val="20"/>
              </w:rPr>
              <w:t>ступило с общей комплексной программой по борьбе с н</w:t>
            </w:r>
            <w:r>
              <w:rPr>
                <w:sz w:val="20"/>
              </w:rPr>
              <w:t>а</w:t>
            </w:r>
            <w:r>
              <w:rPr>
                <w:sz w:val="20"/>
              </w:rPr>
              <w:t>силием на всех уровнях. Этот документ направлен на ос</w:t>
            </w:r>
            <w:r>
              <w:rPr>
                <w:sz w:val="20"/>
              </w:rPr>
              <w:t>у</w:t>
            </w:r>
            <w:r>
              <w:rPr>
                <w:sz w:val="20"/>
              </w:rPr>
              <w:t>ществление изменений структурного характера, начиная с принятия мер по предотвращению насилия путем провед</w:t>
            </w:r>
            <w:r>
              <w:rPr>
                <w:sz w:val="20"/>
              </w:rPr>
              <w:t>е</w:t>
            </w:r>
            <w:r>
              <w:rPr>
                <w:sz w:val="20"/>
              </w:rPr>
              <w:t>ния соответствующей работы с правонарушителями и со</w:t>
            </w:r>
            <w:r>
              <w:rPr>
                <w:sz w:val="20"/>
              </w:rPr>
              <w:t>з</w:t>
            </w:r>
            <w:r>
              <w:rPr>
                <w:sz w:val="20"/>
              </w:rPr>
              <w:t>данию более эффективных сетей по предоставлению п</w:t>
            </w:r>
            <w:r>
              <w:rPr>
                <w:sz w:val="20"/>
              </w:rPr>
              <w:t>о</w:t>
            </w:r>
            <w:r>
              <w:rPr>
                <w:sz w:val="20"/>
              </w:rPr>
              <w:t>мощи жертвам и заканчивая осуществлением мер правов</w:t>
            </w:r>
            <w:r>
              <w:rPr>
                <w:sz w:val="20"/>
              </w:rPr>
              <w:t>о</w:t>
            </w:r>
            <w:r>
              <w:rPr>
                <w:sz w:val="20"/>
              </w:rPr>
              <w:t>го характера, таких, как принятие Закона о защите женщин от насилия и проведение более крупномасштабных камп</w:t>
            </w:r>
            <w:r>
              <w:rPr>
                <w:sz w:val="20"/>
              </w:rPr>
              <w:t>а</w:t>
            </w:r>
            <w:r>
              <w:rPr>
                <w:sz w:val="20"/>
              </w:rPr>
              <w:t>ний по повышению уровня осведомленности обществе</w:t>
            </w:r>
            <w:r>
              <w:rPr>
                <w:sz w:val="20"/>
              </w:rPr>
              <w:t>н</w:t>
            </w:r>
            <w:r>
              <w:rPr>
                <w:sz w:val="20"/>
              </w:rPr>
              <w:t>ности. "Закон о защите от насилия" предусматривает и</w:t>
            </w:r>
            <w:r>
              <w:rPr>
                <w:sz w:val="20"/>
              </w:rPr>
              <w:t>с</w:t>
            </w:r>
            <w:r>
              <w:rPr>
                <w:sz w:val="20"/>
              </w:rPr>
              <w:t>пользование упрощенной процедуры введения запрета на доступ к семейному дому и содержит правовые положения, регулирующие запрещение контактов, преследований и приближения к семейному дому для склонных к насилию партнеров. План действий способствует укреплению с</w:t>
            </w:r>
            <w:r>
              <w:rPr>
                <w:sz w:val="20"/>
              </w:rPr>
              <w:t>о</w:t>
            </w:r>
            <w:r>
              <w:rPr>
                <w:sz w:val="20"/>
              </w:rPr>
              <w:t>трудничества между государственными институтами и н</w:t>
            </w:r>
            <w:r>
              <w:rPr>
                <w:sz w:val="20"/>
              </w:rPr>
              <w:t>е</w:t>
            </w:r>
            <w:r>
              <w:rPr>
                <w:sz w:val="20"/>
              </w:rPr>
              <w:t>правительственными проектами, стимулируя создание н</w:t>
            </w:r>
            <w:r>
              <w:rPr>
                <w:sz w:val="20"/>
              </w:rPr>
              <w:t>а</w:t>
            </w:r>
            <w:r>
              <w:rPr>
                <w:sz w:val="20"/>
              </w:rPr>
              <w:t>циональных сетей по оказанию помощи и развитие отн</w:t>
            </w:r>
            <w:r>
              <w:rPr>
                <w:sz w:val="20"/>
              </w:rPr>
              <w:t>о</w:t>
            </w:r>
            <w:r>
              <w:rPr>
                <w:sz w:val="20"/>
              </w:rPr>
              <w:t>сительно нового направления деятельности по работе с правонарушителями.</w:t>
            </w:r>
          </w:p>
        </w:tc>
      </w:tr>
      <w:tr w:rsidR="00000000">
        <w:tblPrEx>
          <w:tblCellMar>
            <w:top w:w="0" w:type="dxa"/>
            <w:bottom w:w="0" w:type="dxa"/>
          </w:tblCellMar>
        </w:tblPrEx>
        <w:tc>
          <w:tcPr>
            <w:tcW w:w="1679" w:type="dxa"/>
          </w:tcPr>
          <w:p w:rsidR="00000000" w:rsidRDefault="00000000">
            <w:pPr>
              <w:pStyle w:val="table"/>
              <w:rPr>
                <w:b/>
                <w:sz w:val="20"/>
              </w:rPr>
            </w:pPr>
            <w:r>
              <w:rPr>
                <w:b/>
                <w:sz w:val="20"/>
              </w:rPr>
              <w:t>Сентябрь 2000 года</w:t>
            </w:r>
          </w:p>
        </w:tc>
        <w:tc>
          <w:tcPr>
            <w:tcW w:w="5670" w:type="dxa"/>
          </w:tcPr>
          <w:p w:rsidR="00000000" w:rsidRDefault="00000000">
            <w:pPr>
              <w:pStyle w:val="table"/>
              <w:jc w:val="both"/>
              <w:rPr>
                <w:sz w:val="20"/>
              </w:rPr>
            </w:pPr>
            <w:r>
              <w:rPr>
                <w:b/>
                <w:sz w:val="20"/>
              </w:rPr>
              <w:t>Поправка к совместным правилам процедуры</w:t>
            </w:r>
            <w:r>
              <w:rPr>
                <w:sz w:val="20"/>
              </w:rPr>
              <w:t xml:space="preserve"> (</w:t>
            </w:r>
            <w:r>
              <w:rPr>
                <w:sz w:val="20"/>
                <w:lang w:val="fr-CA"/>
              </w:rPr>
              <w:t>Gemeinsame</w:t>
            </w:r>
            <w:r>
              <w:rPr>
                <w:sz w:val="20"/>
              </w:rPr>
              <w:t xml:space="preserve"> </w:t>
            </w:r>
            <w:r>
              <w:rPr>
                <w:sz w:val="20"/>
                <w:lang w:val="fr-CA"/>
              </w:rPr>
              <w:t>Gesch</w:t>
            </w:r>
            <w:r>
              <w:rPr>
                <w:sz w:val="20"/>
              </w:rPr>
              <w:t>ä</w:t>
            </w:r>
            <w:r>
              <w:rPr>
                <w:sz w:val="20"/>
                <w:lang w:val="fr-CA"/>
              </w:rPr>
              <w:t>ftsordnung</w:t>
            </w:r>
            <w:r>
              <w:rPr>
                <w:sz w:val="20"/>
              </w:rPr>
              <w:t xml:space="preserve"> </w:t>
            </w:r>
            <w:r>
              <w:rPr>
                <w:sz w:val="20"/>
                <w:lang w:val="fr-CA"/>
              </w:rPr>
              <w:t>der</w:t>
            </w:r>
            <w:r>
              <w:rPr>
                <w:sz w:val="20"/>
              </w:rPr>
              <w:t xml:space="preserve"> </w:t>
            </w:r>
            <w:r>
              <w:rPr>
                <w:sz w:val="20"/>
                <w:lang w:val="fr-CA"/>
              </w:rPr>
              <w:t>Bundesministerien</w:t>
            </w:r>
            <w:r>
              <w:rPr>
                <w:sz w:val="20"/>
              </w:rPr>
              <w:t>) от 1 сентября 2000 года. (</w:t>
            </w:r>
            <w:r>
              <w:rPr>
                <w:sz w:val="20"/>
                <w:lang w:val="en-US"/>
              </w:rPr>
              <w:t>GMBI</w:t>
            </w:r>
            <w:r>
              <w:rPr>
                <w:sz w:val="20"/>
              </w:rPr>
              <w:t>.</w:t>
            </w:r>
            <w:r>
              <w:rPr>
                <w:sz w:val="20"/>
                <w:lang w:val="en-US"/>
              </w:rPr>
              <w:t> p</w:t>
            </w:r>
            <w:r>
              <w:rPr>
                <w:sz w:val="20"/>
              </w:rPr>
              <w:t>.526). Эти правила прим</w:t>
            </w:r>
            <w:r>
              <w:rPr>
                <w:sz w:val="20"/>
              </w:rPr>
              <w:t>е</w:t>
            </w:r>
            <w:r>
              <w:rPr>
                <w:sz w:val="20"/>
              </w:rPr>
              <w:t>няются по отношению ко всем федеральным министерс</w:t>
            </w:r>
            <w:r>
              <w:rPr>
                <w:sz w:val="20"/>
              </w:rPr>
              <w:t>т</w:t>
            </w:r>
            <w:r>
              <w:rPr>
                <w:sz w:val="20"/>
              </w:rPr>
              <w:t>вам и содержат положение о том, что равенство мужчин и женщин является общим руководящим принципом по смыслу концепции равноправия мужчин и женщин. Теперь новые федеральные правовые и административные пол</w:t>
            </w:r>
            <w:r>
              <w:rPr>
                <w:sz w:val="20"/>
              </w:rPr>
              <w:t>о</w:t>
            </w:r>
            <w:r>
              <w:rPr>
                <w:sz w:val="20"/>
              </w:rPr>
              <w:t>жения должны разрабатываться с использованием форм</w:t>
            </w:r>
            <w:r>
              <w:rPr>
                <w:sz w:val="20"/>
              </w:rPr>
              <w:t>у</w:t>
            </w:r>
            <w:r>
              <w:rPr>
                <w:sz w:val="20"/>
              </w:rPr>
              <w:t>лировок, нейтральных с ге</w:t>
            </w:r>
            <w:r>
              <w:rPr>
                <w:sz w:val="20"/>
              </w:rPr>
              <w:t>н</w:t>
            </w:r>
            <w:r>
              <w:rPr>
                <w:sz w:val="20"/>
              </w:rPr>
              <w:t>дерной точки зрения.</w:t>
            </w:r>
          </w:p>
        </w:tc>
      </w:tr>
      <w:tr w:rsidR="00000000">
        <w:tblPrEx>
          <w:tblCellMar>
            <w:top w:w="0" w:type="dxa"/>
            <w:bottom w:w="0" w:type="dxa"/>
          </w:tblCellMar>
        </w:tblPrEx>
        <w:tc>
          <w:tcPr>
            <w:tcW w:w="1679" w:type="dxa"/>
          </w:tcPr>
          <w:p w:rsidR="00000000" w:rsidRDefault="00000000">
            <w:pPr>
              <w:pStyle w:val="table"/>
              <w:rPr>
                <w:b/>
                <w:sz w:val="20"/>
              </w:rPr>
            </w:pPr>
            <w:r>
              <w:rPr>
                <w:b/>
                <w:sz w:val="20"/>
              </w:rPr>
              <w:t>Декабрь 2000 года</w:t>
            </w:r>
          </w:p>
        </w:tc>
        <w:tc>
          <w:tcPr>
            <w:tcW w:w="5670" w:type="dxa"/>
          </w:tcPr>
          <w:p w:rsidR="00000000" w:rsidRDefault="00000000">
            <w:pPr>
              <w:pStyle w:val="table"/>
              <w:jc w:val="both"/>
              <w:rPr>
                <w:sz w:val="20"/>
              </w:rPr>
            </w:pPr>
            <w:r>
              <w:rPr>
                <w:sz w:val="20"/>
              </w:rPr>
              <w:t xml:space="preserve">Федеральное правительство представляет Федеральному парламенту Германии </w:t>
            </w:r>
            <w:r>
              <w:rPr>
                <w:b/>
                <w:sz w:val="20"/>
              </w:rPr>
              <w:t>Четвертый доклад о мерах по улучшению положения женщин в федеральной службе</w:t>
            </w:r>
            <w:r>
              <w:rPr>
                <w:sz w:val="20"/>
              </w:rPr>
              <w:t xml:space="preserve">, принятых за отчетный период 1995 –1998 годов, и </w:t>
            </w:r>
            <w:r>
              <w:rPr>
                <w:b/>
                <w:sz w:val="20"/>
              </w:rPr>
              <w:t>проект закона о предоставлении равных возможностей в фед</w:t>
            </w:r>
            <w:r>
              <w:rPr>
                <w:b/>
                <w:sz w:val="20"/>
              </w:rPr>
              <w:t>е</w:t>
            </w:r>
            <w:r>
              <w:rPr>
                <w:b/>
                <w:sz w:val="20"/>
              </w:rPr>
              <w:t>ральных административных и суде</w:t>
            </w:r>
            <w:r>
              <w:rPr>
                <w:b/>
                <w:sz w:val="20"/>
              </w:rPr>
              <w:t>б</w:t>
            </w:r>
            <w:r>
              <w:rPr>
                <w:b/>
                <w:sz w:val="20"/>
              </w:rPr>
              <w:t>ных органах</w:t>
            </w:r>
            <w:r>
              <w:rPr>
                <w:sz w:val="20"/>
              </w:rPr>
              <w:t>.</w:t>
            </w:r>
          </w:p>
        </w:tc>
      </w:tr>
      <w:tr w:rsidR="00000000">
        <w:tblPrEx>
          <w:tblCellMar>
            <w:top w:w="0" w:type="dxa"/>
            <w:bottom w:w="0" w:type="dxa"/>
          </w:tblCellMar>
        </w:tblPrEx>
        <w:tc>
          <w:tcPr>
            <w:tcW w:w="1679" w:type="dxa"/>
          </w:tcPr>
          <w:p w:rsidR="00000000" w:rsidRDefault="00000000">
            <w:pPr>
              <w:pStyle w:val="table"/>
              <w:rPr>
                <w:b/>
                <w:sz w:val="20"/>
              </w:rPr>
            </w:pPr>
            <w:r>
              <w:rPr>
                <w:b/>
                <w:sz w:val="20"/>
              </w:rPr>
              <w:t>Январь 2001 года</w:t>
            </w:r>
          </w:p>
        </w:tc>
        <w:tc>
          <w:tcPr>
            <w:tcW w:w="5670" w:type="dxa"/>
          </w:tcPr>
          <w:p w:rsidR="00000000" w:rsidRDefault="00000000">
            <w:pPr>
              <w:pStyle w:val="table"/>
              <w:jc w:val="both"/>
              <w:rPr>
                <w:sz w:val="20"/>
              </w:rPr>
            </w:pPr>
            <w:r>
              <w:rPr>
                <w:b/>
                <w:sz w:val="20"/>
              </w:rPr>
              <w:t>2 января 2001 года 244 женщины-новобранцы впервые добровольно приступили к военной службе в рядах ф</w:t>
            </w:r>
            <w:r>
              <w:rPr>
                <w:b/>
                <w:sz w:val="20"/>
              </w:rPr>
              <w:t>е</w:t>
            </w:r>
            <w:r>
              <w:rPr>
                <w:b/>
                <w:sz w:val="20"/>
              </w:rPr>
              <w:t>деральных вооруженных сил</w:t>
            </w:r>
            <w:r>
              <w:rPr>
                <w:sz w:val="20"/>
              </w:rPr>
              <w:t>. Предоставление женщинам возможности на добровольной основе служить в фед</w:t>
            </w:r>
            <w:r>
              <w:rPr>
                <w:sz w:val="20"/>
              </w:rPr>
              <w:t>е</w:t>
            </w:r>
            <w:r>
              <w:rPr>
                <w:sz w:val="20"/>
              </w:rPr>
              <w:t>ральных вооруженных силах относится к числу новых я</w:t>
            </w:r>
            <w:r>
              <w:rPr>
                <w:sz w:val="20"/>
              </w:rPr>
              <w:t>в</w:t>
            </w:r>
            <w:r>
              <w:rPr>
                <w:sz w:val="20"/>
              </w:rPr>
              <w:t>лений и поэтому представляет собой вызов, как для фед</w:t>
            </w:r>
            <w:r>
              <w:rPr>
                <w:sz w:val="20"/>
              </w:rPr>
              <w:t>е</w:t>
            </w:r>
            <w:r>
              <w:rPr>
                <w:sz w:val="20"/>
              </w:rPr>
              <w:t>ральных вооруженных сил, так и для женщин, которые б</w:t>
            </w:r>
            <w:r>
              <w:rPr>
                <w:sz w:val="20"/>
              </w:rPr>
              <w:t>о</w:t>
            </w:r>
            <w:r>
              <w:rPr>
                <w:sz w:val="20"/>
              </w:rPr>
              <w:t>р</w:t>
            </w:r>
            <w:r>
              <w:rPr>
                <w:sz w:val="20"/>
              </w:rPr>
              <w:t>о</w:t>
            </w:r>
            <w:r>
              <w:rPr>
                <w:sz w:val="20"/>
              </w:rPr>
              <w:t>лись за свое право служить в армии.</w:t>
            </w:r>
          </w:p>
        </w:tc>
      </w:tr>
      <w:tr w:rsidR="00000000">
        <w:tblPrEx>
          <w:tblCellMar>
            <w:top w:w="0" w:type="dxa"/>
            <w:bottom w:w="0" w:type="dxa"/>
          </w:tblCellMar>
        </w:tblPrEx>
        <w:tc>
          <w:tcPr>
            <w:tcW w:w="1679" w:type="dxa"/>
          </w:tcPr>
          <w:p w:rsidR="00000000" w:rsidRDefault="00000000">
            <w:pPr>
              <w:pStyle w:val="table"/>
              <w:rPr>
                <w:b/>
                <w:sz w:val="20"/>
              </w:rPr>
            </w:pPr>
            <w:r>
              <w:rPr>
                <w:b/>
                <w:sz w:val="20"/>
              </w:rPr>
              <w:t>Май 2001 года</w:t>
            </w:r>
          </w:p>
        </w:tc>
        <w:tc>
          <w:tcPr>
            <w:tcW w:w="5670" w:type="dxa"/>
          </w:tcPr>
          <w:p w:rsidR="00000000" w:rsidRDefault="00000000">
            <w:pPr>
              <w:pStyle w:val="table"/>
              <w:jc w:val="both"/>
              <w:rPr>
                <w:sz w:val="20"/>
              </w:rPr>
            </w:pPr>
            <w:r>
              <w:rPr>
                <w:b/>
                <w:sz w:val="20"/>
              </w:rPr>
              <w:t>Доклад о состоянии здоровья женщин в Германии</w:t>
            </w:r>
            <w:r>
              <w:rPr>
                <w:sz w:val="20"/>
              </w:rPr>
              <w:t>. Вс</w:t>
            </w:r>
            <w:r>
              <w:rPr>
                <w:sz w:val="20"/>
              </w:rPr>
              <w:t>е</w:t>
            </w:r>
            <w:r>
              <w:rPr>
                <w:sz w:val="20"/>
              </w:rPr>
              <w:t>объемлющий обзор различных тенденций, существующих в восточной и западной частях Германии. В данном докл</w:t>
            </w:r>
            <w:r>
              <w:rPr>
                <w:sz w:val="20"/>
              </w:rPr>
              <w:t>а</w:t>
            </w:r>
            <w:r>
              <w:rPr>
                <w:sz w:val="20"/>
              </w:rPr>
              <w:t>де, опубликованным федеральным министерством по д</w:t>
            </w:r>
            <w:r>
              <w:rPr>
                <w:sz w:val="20"/>
              </w:rPr>
              <w:t>е</w:t>
            </w:r>
            <w:r>
              <w:rPr>
                <w:sz w:val="20"/>
              </w:rPr>
              <w:t>лам семьи, престарелых, женщин и молодежи, впервые представлены данные и подробная научная информация о состоянии здоровья женщин на федеральном уровне, а также анализ и описание различий по гендерному и кла</w:t>
            </w:r>
            <w:r>
              <w:rPr>
                <w:sz w:val="20"/>
              </w:rPr>
              <w:t>с</w:t>
            </w:r>
            <w:r>
              <w:rPr>
                <w:sz w:val="20"/>
              </w:rPr>
              <w:t>совому признакам.</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Июль 2001 года</w:t>
            </w:r>
          </w:p>
        </w:tc>
        <w:tc>
          <w:tcPr>
            <w:tcW w:w="5670" w:type="dxa"/>
          </w:tcPr>
          <w:p w:rsidR="00000000" w:rsidRDefault="00000000">
            <w:pPr>
              <w:pStyle w:val="table"/>
              <w:jc w:val="both"/>
              <w:rPr>
                <w:sz w:val="20"/>
              </w:rPr>
            </w:pPr>
            <w:r>
              <w:rPr>
                <w:b/>
                <w:sz w:val="20"/>
              </w:rPr>
              <w:t>Федеральное правительство заключает с национал</w:t>
            </w:r>
            <w:r>
              <w:rPr>
                <w:b/>
                <w:sz w:val="20"/>
              </w:rPr>
              <w:t>ь</w:t>
            </w:r>
            <w:r>
              <w:rPr>
                <w:b/>
                <w:sz w:val="20"/>
              </w:rPr>
              <w:t>ными ассоциациями немецких промышленников дог</w:t>
            </w:r>
            <w:r>
              <w:rPr>
                <w:b/>
                <w:sz w:val="20"/>
              </w:rPr>
              <w:t>о</w:t>
            </w:r>
            <w:r>
              <w:rPr>
                <w:b/>
                <w:sz w:val="20"/>
              </w:rPr>
              <w:t>воренность</w:t>
            </w:r>
            <w:r>
              <w:rPr>
                <w:sz w:val="20"/>
              </w:rPr>
              <w:t xml:space="preserve"> о поощрении равных возможностей в частном секторе промышленн</w:t>
            </w:r>
            <w:r>
              <w:rPr>
                <w:sz w:val="20"/>
              </w:rPr>
              <w:t>о</w:t>
            </w:r>
            <w:r>
              <w:rPr>
                <w:sz w:val="20"/>
              </w:rPr>
              <w:t>сти.</w:t>
            </w:r>
          </w:p>
        </w:tc>
      </w:tr>
      <w:tr w:rsidR="00000000">
        <w:tblPrEx>
          <w:tblCellMar>
            <w:top w:w="0" w:type="dxa"/>
            <w:bottom w:w="0" w:type="dxa"/>
          </w:tblCellMar>
        </w:tblPrEx>
        <w:tc>
          <w:tcPr>
            <w:tcW w:w="1679" w:type="dxa"/>
          </w:tcPr>
          <w:p w:rsidR="00000000" w:rsidRDefault="00000000">
            <w:pPr>
              <w:pStyle w:val="table"/>
              <w:rPr>
                <w:b/>
                <w:sz w:val="20"/>
              </w:rPr>
            </w:pPr>
            <w:r>
              <w:rPr>
                <w:b/>
                <w:sz w:val="20"/>
              </w:rPr>
              <w:t>Май 2002 года</w:t>
            </w:r>
          </w:p>
        </w:tc>
        <w:tc>
          <w:tcPr>
            <w:tcW w:w="5670" w:type="dxa"/>
          </w:tcPr>
          <w:p w:rsidR="00000000" w:rsidRDefault="00000000">
            <w:pPr>
              <w:pStyle w:val="table"/>
              <w:jc w:val="both"/>
              <w:rPr>
                <w:sz w:val="20"/>
              </w:rPr>
            </w:pPr>
            <w:r>
              <w:rPr>
                <w:b/>
                <w:sz w:val="20"/>
              </w:rPr>
              <w:t>Доклад о положении мужчин и женщин с точки зрения профессиональной деятельности и размеров доходов</w:t>
            </w:r>
            <w:r>
              <w:rPr>
                <w:sz w:val="20"/>
              </w:rPr>
              <w:t>. Федеральное правительство представляет Федеральному парламенту Германии комплексный доклад о заработной плате и дох</w:t>
            </w:r>
            <w:r>
              <w:rPr>
                <w:sz w:val="20"/>
              </w:rPr>
              <w:t>о</w:t>
            </w:r>
            <w:r>
              <w:rPr>
                <w:sz w:val="20"/>
              </w:rPr>
              <w:t>дах женщин и мужчин.</w:t>
            </w:r>
          </w:p>
        </w:tc>
      </w:tr>
      <w:tr w:rsidR="00000000">
        <w:tblPrEx>
          <w:tblCellMar>
            <w:top w:w="0" w:type="dxa"/>
            <w:bottom w:w="0" w:type="dxa"/>
          </w:tblCellMar>
        </w:tblPrEx>
        <w:tc>
          <w:tcPr>
            <w:tcW w:w="1679" w:type="dxa"/>
          </w:tcPr>
          <w:p w:rsidR="00000000" w:rsidRDefault="00000000">
            <w:pPr>
              <w:pStyle w:val="table"/>
              <w:rPr>
                <w:b/>
                <w:sz w:val="20"/>
              </w:rPr>
            </w:pPr>
            <w:r>
              <w:rPr>
                <w:b/>
                <w:sz w:val="20"/>
              </w:rPr>
              <w:t>Май 2002 года</w:t>
            </w:r>
          </w:p>
        </w:tc>
        <w:tc>
          <w:tcPr>
            <w:tcW w:w="5670" w:type="dxa"/>
          </w:tcPr>
          <w:p w:rsidR="00000000" w:rsidRDefault="00000000">
            <w:pPr>
              <w:pStyle w:val="table"/>
              <w:jc w:val="both"/>
              <w:rPr>
                <w:sz w:val="20"/>
              </w:rPr>
            </w:pPr>
            <w:r>
              <w:rPr>
                <w:sz w:val="20"/>
              </w:rPr>
              <w:t xml:space="preserve">Федеральный кабинет принимает </w:t>
            </w:r>
            <w:r>
              <w:rPr>
                <w:b/>
                <w:sz w:val="20"/>
              </w:rPr>
              <w:t>"Третий доклад фед</w:t>
            </w:r>
            <w:r>
              <w:rPr>
                <w:b/>
                <w:sz w:val="20"/>
              </w:rPr>
              <w:t>е</w:t>
            </w:r>
            <w:r>
              <w:rPr>
                <w:b/>
                <w:sz w:val="20"/>
              </w:rPr>
              <w:t>рального правительства о пропорциональной доле женщин, представленных в основных органах, наход</w:t>
            </w:r>
            <w:r>
              <w:rPr>
                <w:b/>
                <w:sz w:val="20"/>
              </w:rPr>
              <w:t>я</w:t>
            </w:r>
            <w:r>
              <w:rPr>
                <w:b/>
                <w:sz w:val="20"/>
              </w:rPr>
              <w:t>щихся в сфере влияния Федерации"</w:t>
            </w:r>
            <w:r>
              <w:rPr>
                <w:sz w:val="20"/>
              </w:rPr>
              <w:t xml:space="preserve"> (3</w:t>
            </w:r>
            <w:r>
              <w:rPr>
                <w:sz w:val="20"/>
              </w:rPr>
              <w:noBreakHyphen/>
              <w:t>й доклад о сост</w:t>
            </w:r>
            <w:r>
              <w:rPr>
                <w:sz w:val="20"/>
              </w:rPr>
              <w:t>а</w:t>
            </w:r>
            <w:r>
              <w:rPr>
                <w:sz w:val="20"/>
              </w:rPr>
              <w:t>ве органов). Приведенные в докладе данные свидетельс</w:t>
            </w:r>
            <w:r>
              <w:rPr>
                <w:sz w:val="20"/>
              </w:rPr>
              <w:t>т</w:t>
            </w:r>
            <w:r>
              <w:rPr>
                <w:sz w:val="20"/>
              </w:rPr>
              <w:t>вуют о незначительном увеличении пропорциональной д</w:t>
            </w:r>
            <w:r>
              <w:rPr>
                <w:sz w:val="20"/>
              </w:rPr>
              <w:t>о</w:t>
            </w:r>
            <w:r>
              <w:rPr>
                <w:sz w:val="20"/>
              </w:rPr>
              <w:t>ли женщин, представленных в органах, находящихся в сфере влияния Федерации. В Федеральном законе о пр</w:t>
            </w:r>
            <w:r>
              <w:rPr>
                <w:sz w:val="20"/>
              </w:rPr>
              <w:t>е</w:t>
            </w:r>
            <w:r>
              <w:rPr>
                <w:sz w:val="20"/>
              </w:rPr>
              <w:t>доставлении равных возможностей для сотрудников фед</w:t>
            </w:r>
            <w:r>
              <w:rPr>
                <w:sz w:val="20"/>
              </w:rPr>
              <w:t>е</w:t>
            </w:r>
            <w:r>
              <w:rPr>
                <w:sz w:val="20"/>
              </w:rPr>
              <w:t>ральной службы предусмотрено создание для женщин б</w:t>
            </w:r>
            <w:r>
              <w:rPr>
                <w:sz w:val="20"/>
              </w:rPr>
              <w:t>о</w:t>
            </w:r>
            <w:r>
              <w:rPr>
                <w:sz w:val="20"/>
              </w:rPr>
              <w:t>лее благоприятных условий для работы на руководящих должностях. Закон также позволяет увеличить число же</w:t>
            </w:r>
            <w:r>
              <w:rPr>
                <w:sz w:val="20"/>
              </w:rPr>
              <w:t>н</w:t>
            </w:r>
            <w:r>
              <w:rPr>
                <w:sz w:val="20"/>
              </w:rPr>
              <w:t>щин в органах высокого уровня, если в таких органах р</w:t>
            </w:r>
            <w:r>
              <w:rPr>
                <w:sz w:val="20"/>
              </w:rPr>
              <w:t>а</w:t>
            </w:r>
            <w:r>
              <w:rPr>
                <w:sz w:val="20"/>
              </w:rPr>
              <w:t>ботают преимущественно сотрудники управленческого а</w:t>
            </w:r>
            <w:r>
              <w:rPr>
                <w:sz w:val="20"/>
              </w:rPr>
              <w:t>п</w:t>
            </w:r>
            <w:r>
              <w:rPr>
                <w:sz w:val="20"/>
              </w:rPr>
              <w:t>парата.</w:t>
            </w:r>
          </w:p>
        </w:tc>
      </w:tr>
      <w:tr w:rsidR="00000000">
        <w:tblPrEx>
          <w:tblCellMar>
            <w:top w:w="0" w:type="dxa"/>
            <w:bottom w:w="0" w:type="dxa"/>
          </w:tblCellMar>
        </w:tblPrEx>
        <w:tc>
          <w:tcPr>
            <w:tcW w:w="1679" w:type="dxa"/>
          </w:tcPr>
          <w:p w:rsidR="00000000" w:rsidRDefault="00000000">
            <w:pPr>
              <w:pStyle w:val="table"/>
              <w:rPr>
                <w:b/>
                <w:sz w:val="20"/>
              </w:rPr>
            </w:pPr>
            <w:r>
              <w:rPr>
                <w:b/>
                <w:sz w:val="20"/>
              </w:rPr>
              <w:t>Июнь 2002 года</w:t>
            </w:r>
          </w:p>
        </w:tc>
        <w:tc>
          <w:tcPr>
            <w:tcW w:w="5670" w:type="dxa"/>
          </w:tcPr>
          <w:p w:rsidR="00000000" w:rsidRDefault="00000000">
            <w:pPr>
              <w:pStyle w:val="table"/>
              <w:jc w:val="both"/>
              <w:rPr>
                <w:sz w:val="20"/>
              </w:rPr>
            </w:pPr>
            <w:r>
              <w:rPr>
                <w:b/>
                <w:sz w:val="20"/>
              </w:rPr>
              <w:t>Исследование по вопросу о роли отцов в семье</w:t>
            </w:r>
            <w:r>
              <w:rPr>
                <w:sz w:val="20"/>
              </w:rPr>
              <w:t>. В этой работе анализируется роль отцов в процессе формирования семьи и сделаны интересные выводы в отношении хара</w:t>
            </w:r>
            <w:r>
              <w:rPr>
                <w:sz w:val="20"/>
              </w:rPr>
              <w:t>к</w:t>
            </w:r>
            <w:r>
              <w:rPr>
                <w:sz w:val="20"/>
              </w:rPr>
              <w:t>тера наиболее распространенных предрассудков, сущес</w:t>
            </w:r>
            <w:r>
              <w:rPr>
                <w:sz w:val="20"/>
              </w:rPr>
              <w:t>т</w:t>
            </w:r>
            <w:r>
              <w:rPr>
                <w:sz w:val="20"/>
              </w:rPr>
              <w:t>вующих в отношении отцовства, и факторов, влияющих на эти функции.</w:t>
            </w:r>
          </w:p>
        </w:tc>
      </w:tr>
    </w:tbl>
    <w:p w:rsidR="00000000" w:rsidRDefault="00000000">
      <w:pPr>
        <w:pStyle w:val="H1"/>
      </w:pPr>
      <w:bookmarkStart w:id="833" w:name="_Toc44113575"/>
      <w:bookmarkStart w:id="834" w:name="_Toc44113876"/>
      <w:bookmarkStart w:id="835" w:name="_Toc44114385"/>
      <w:bookmarkStart w:id="836" w:name="_Toc44115633"/>
      <w:bookmarkStart w:id="837" w:name="_Toc44116065"/>
      <w:r>
        <w:t>3)</w:t>
      </w:r>
      <w:r>
        <w:tab/>
        <w:t>Меры, осуществляемые агентствами земель по обеспечению равных прав</w:t>
      </w:r>
      <w:bookmarkEnd w:id="833"/>
      <w:bookmarkEnd w:id="834"/>
      <w:bookmarkEnd w:id="835"/>
      <w:bookmarkEnd w:id="836"/>
      <w:bookmarkEnd w:id="837"/>
    </w:p>
    <w:p w:rsidR="00000000" w:rsidRDefault="00000000">
      <w:pPr>
        <w:pStyle w:val="H23"/>
      </w:pPr>
      <w:bookmarkStart w:id="838" w:name="_Toc44115634"/>
      <w:bookmarkStart w:id="839" w:name="_Toc44116066"/>
      <w:r>
        <w:t>3.1</w:t>
      </w:r>
      <w:r>
        <w:tab/>
        <w:t>Основные направления деятельности</w:t>
      </w:r>
      <w:bookmarkEnd w:id="838"/>
      <w:bookmarkEnd w:id="839"/>
    </w:p>
    <w:p w:rsidR="00000000" w:rsidRDefault="00000000">
      <w:pPr>
        <w:pStyle w:val="dot"/>
      </w:pPr>
      <w:r>
        <w:rPr>
          <w:b/>
        </w:rPr>
        <w:tab/>
      </w:r>
      <w:r>
        <w:rPr>
          <w:b/>
        </w:rPr>
        <w:tab/>
      </w:r>
      <w:r>
        <w:t>а)</w:t>
      </w:r>
      <w:r>
        <w:tab/>
        <w:t>школа, образование и профессиональная подготовка</w:t>
      </w:r>
    </w:p>
    <w:p w:rsidR="00000000" w:rsidRDefault="00000000">
      <w:pPr>
        <w:pStyle w:val="dot"/>
      </w:pPr>
      <w:r>
        <w:tab/>
      </w:r>
      <w:r>
        <w:tab/>
      </w:r>
      <w:r>
        <w:rPr>
          <w:lang w:val="en-US"/>
        </w:rPr>
        <w:t>b</w:t>
      </w:r>
      <w:r>
        <w:t>)</w:t>
      </w:r>
      <w:r>
        <w:tab/>
        <w:t>положение женщин на работе, повышение их профессиональной квал</w:t>
      </w:r>
      <w:r>
        <w:t>и</w:t>
      </w:r>
      <w:r>
        <w:t>фик</w:t>
      </w:r>
      <w:r>
        <w:t>а</w:t>
      </w:r>
      <w:r>
        <w:t>ции</w:t>
      </w:r>
    </w:p>
    <w:p w:rsidR="00000000" w:rsidRDefault="00000000">
      <w:pPr>
        <w:pStyle w:val="dot"/>
      </w:pPr>
      <w:r>
        <w:tab/>
      </w:r>
      <w:r>
        <w:tab/>
        <w:t>с)</w:t>
      </w:r>
      <w:r>
        <w:tab/>
        <w:t>совмещение семейных и производственных обязанностей</w:t>
      </w:r>
    </w:p>
    <w:p w:rsidR="00000000" w:rsidRDefault="00000000">
      <w:pPr>
        <w:pStyle w:val="dot"/>
      </w:pPr>
      <w:r>
        <w:tab/>
      </w:r>
      <w:r>
        <w:tab/>
      </w:r>
      <w:r>
        <w:rPr>
          <w:lang w:val="en-US"/>
        </w:rPr>
        <w:t>d</w:t>
      </w:r>
      <w:r>
        <w:t>)</w:t>
      </w:r>
      <w:r>
        <w:tab/>
        <w:t>возобновление трудовой деятельности</w:t>
      </w:r>
    </w:p>
    <w:p w:rsidR="00000000" w:rsidRDefault="00000000">
      <w:pPr>
        <w:pStyle w:val="dot"/>
      </w:pPr>
      <w:r>
        <w:tab/>
      </w:r>
      <w:r>
        <w:tab/>
      </w:r>
      <w:r>
        <w:rPr>
          <w:lang w:val="en-US"/>
        </w:rPr>
        <w:t>e</w:t>
      </w:r>
      <w:r>
        <w:t>)</w:t>
      </w:r>
      <w:r>
        <w:tab/>
        <w:t>насилие в отношении женщин и девушек</w:t>
      </w:r>
    </w:p>
    <w:p w:rsidR="00000000" w:rsidRDefault="00000000">
      <w:pPr>
        <w:pStyle w:val="dot"/>
      </w:pPr>
      <w:r>
        <w:tab/>
      </w:r>
      <w:r>
        <w:tab/>
      </w:r>
      <w:r>
        <w:rPr>
          <w:lang w:val="en-US"/>
        </w:rPr>
        <w:t>f</w:t>
      </w:r>
      <w:r>
        <w:t>)</w:t>
      </w:r>
      <w:r>
        <w:tab/>
        <w:t>женщины-иностранки</w:t>
      </w:r>
    </w:p>
    <w:p w:rsidR="00000000" w:rsidRDefault="00000000">
      <w:pPr>
        <w:pStyle w:val="dot"/>
      </w:pPr>
      <w:r>
        <w:tab/>
      </w:r>
      <w:r>
        <w:tab/>
      </w:r>
      <w:r>
        <w:rPr>
          <w:lang w:val="en-US"/>
        </w:rPr>
        <w:t>g</w:t>
      </w:r>
      <w:r>
        <w:t>)</w:t>
      </w:r>
      <w:r>
        <w:tab/>
        <w:t>женщины на научно-исследовательской работе, исследования по женской проблематике</w:t>
      </w:r>
    </w:p>
    <w:p w:rsidR="00000000" w:rsidRDefault="00000000">
      <w:pPr>
        <w:pStyle w:val="dot"/>
      </w:pPr>
      <w:r>
        <w:tab/>
      </w:r>
      <w:r>
        <w:tab/>
      </w:r>
      <w:r>
        <w:rPr>
          <w:lang w:val="en-US"/>
        </w:rPr>
        <w:t>h</w:t>
      </w:r>
      <w:r>
        <w:t>)</w:t>
      </w:r>
      <w:r>
        <w:tab/>
        <w:t>социальное обеспечение женщин</w:t>
      </w:r>
    </w:p>
    <w:p w:rsidR="00000000" w:rsidRDefault="00000000">
      <w:pPr>
        <w:pStyle w:val="dot"/>
      </w:pPr>
      <w:r>
        <w:tab/>
      </w:r>
      <w:r>
        <w:tab/>
      </w:r>
      <w:r>
        <w:rPr>
          <w:lang w:val="en-US"/>
        </w:rPr>
        <w:t>i</w:t>
      </w:r>
      <w:r>
        <w:t>)</w:t>
      </w:r>
      <w:r>
        <w:tab/>
        <w:t>жилищное, городское, транспортное и региональное планирование</w:t>
      </w:r>
    </w:p>
    <w:p w:rsidR="00000000" w:rsidRDefault="00000000">
      <w:pPr>
        <w:pStyle w:val="dot"/>
      </w:pPr>
      <w:r>
        <w:tab/>
      </w:r>
      <w:r>
        <w:tab/>
      </w:r>
      <w:r>
        <w:rPr>
          <w:lang w:val="en-US"/>
        </w:rPr>
        <w:t>j</w:t>
      </w:r>
      <w:r>
        <w:t>)</w:t>
      </w:r>
      <w:r>
        <w:tab/>
        <w:t>политика, которая проводится в отношении женщин на местном уровне</w:t>
      </w:r>
    </w:p>
    <w:p w:rsidR="00000000" w:rsidRDefault="00000000">
      <w:pPr>
        <w:pStyle w:val="dot"/>
      </w:pPr>
      <w:r>
        <w:tab/>
      </w:r>
      <w:r>
        <w:tab/>
      </w:r>
      <w:r>
        <w:rPr>
          <w:lang w:val="en-US"/>
        </w:rPr>
        <w:t>k</w:t>
      </w:r>
      <w:r>
        <w:t>)</w:t>
      </w:r>
      <w:r>
        <w:tab/>
        <w:t>улучшение положения девушек</w:t>
      </w:r>
    </w:p>
    <w:p w:rsidR="00000000" w:rsidRDefault="00000000">
      <w:pPr>
        <w:pStyle w:val="dot"/>
      </w:pPr>
      <w:r>
        <w:tab/>
      </w:r>
      <w:r>
        <w:tab/>
      </w:r>
      <w:r>
        <w:rPr>
          <w:lang w:val="en-US"/>
        </w:rPr>
        <w:t>l</w:t>
      </w:r>
      <w:r>
        <w:t>)</w:t>
      </w:r>
      <w:r>
        <w:tab/>
        <w:t>юридические формулировки</w:t>
      </w:r>
    </w:p>
    <w:p w:rsidR="00000000" w:rsidRDefault="00000000">
      <w:pPr>
        <w:pStyle w:val="dot"/>
      </w:pPr>
      <w:r>
        <w:tab/>
      </w:r>
      <w:r>
        <w:tab/>
      </w:r>
      <w:r>
        <w:rPr>
          <w:lang w:val="en-US"/>
        </w:rPr>
        <w:t>m</w:t>
      </w:r>
      <w:r>
        <w:t>)</w:t>
      </w:r>
      <w:r>
        <w:tab/>
        <w:t>неправительственные женские организации</w:t>
      </w:r>
    </w:p>
    <w:p w:rsidR="00000000" w:rsidRDefault="00000000">
      <w:pPr>
        <w:pStyle w:val="dot"/>
      </w:pPr>
      <w:r>
        <w:tab/>
      </w:r>
      <w:r>
        <w:tab/>
      </w:r>
      <w:r>
        <w:rPr>
          <w:lang w:val="en-US"/>
        </w:rPr>
        <w:t>n</w:t>
      </w:r>
      <w:r>
        <w:t>)</w:t>
      </w:r>
      <w:r>
        <w:tab/>
        <w:t>охрана здоровья</w:t>
      </w:r>
    </w:p>
    <w:p w:rsidR="00000000" w:rsidRDefault="00000000">
      <w:pPr>
        <w:pStyle w:val="dot"/>
      </w:pPr>
      <w:r>
        <w:tab/>
      </w:r>
      <w:r>
        <w:tab/>
        <w:t>о)</w:t>
      </w:r>
      <w:r>
        <w:tab/>
        <w:t>лесбиянки и гомосексуалисты</w:t>
      </w:r>
    </w:p>
    <w:p w:rsidR="00000000" w:rsidRDefault="00000000">
      <w:pPr>
        <w:pStyle w:val="dot"/>
      </w:pPr>
      <w:r>
        <w:tab/>
      </w:r>
      <w:r>
        <w:tab/>
        <w:t>р)</w:t>
      </w:r>
      <w:r>
        <w:tab/>
        <w:t>женщины в искусстве, культуре и спорте</w:t>
      </w:r>
    </w:p>
    <w:p w:rsidR="00000000" w:rsidRDefault="00000000">
      <w:pPr>
        <w:pStyle w:val="dot"/>
      </w:pPr>
      <w:r>
        <w:tab/>
      </w:r>
      <w:r>
        <w:tab/>
      </w:r>
      <w:r>
        <w:rPr>
          <w:lang w:val="en-US"/>
        </w:rPr>
        <w:t>q</w:t>
      </w:r>
      <w:r>
        <w:t>)</w:t>
      </w:r>
      <w:r>
        <w:tab/>
        <w:t>женщины-инвалиды</w:t>
      </w:r>
    </w:p>
    <w:p w:rsidR="00000000" w:rsidRDefault="00000000">
      <w:pPr>
        <w:pStyle w:val="dot"/>
      </w:pPr>
      <w:r>
        <w:tab/>
      </w:r>
      <w:r>
        <w:tab/>
      </w:r>
      <w:r>
        <w:rPr>
          <w:lang w:val="en-US"/>
        </w:rPr>
        <w:t>r</w:t>
      </w:r>
      <w:r>
        <w:t>)</w:t>
      </w:r>
      <w:r>
        <w:tab/>
        <w:t>женщины и различные учреждения</w:t>
      </w:r>
    </w:p>
    <w:p w:rsidR="00000000" w:rsidRDefault="00000000">
      <w:pPr>
        <w:pStyle w:val="dot"/>
      </w:pPr>
      <w:r>
        <w:tab/>
      </w:r>
      <w:r>
        <w:tab/>
      </w:r>
      <w:r>
        <w:rPr>
          <w:lang w:val="en-US"/>
        </w:rPr>
        <w:t>s</w:t>
      </w:r>
      <w:r>
        <w:t>)</w:t>
      </w:r>
      <w:r>
        <w:tab/>
        <w:t>женщины, средства массовой информации, связь с общественностью и другие меры</w:t>
      </w:r>
    </w:p>
    <w:p w:rsidR="00000000" w:rsidRDefault="00000000">
      <w:pPr>
        <w:pStyle w:val="dot"/>
      </w:pPr>
      <w:r>
        <w:tab/>
      </w:r>
      <w:r>
        <w:tab/>
      </w:r>
      <w:r>
        <w:rPr>
          <w:lang w:val="en-US"/>
        </w:rPr>
        <w:t>t</w:t>
      </w:r>
      <w:r>
        <w:t>)</w:t>
      </w:r>
      <w:r>
        <w:tab/>
        <w:t>учет гендерной проблематики в основных направлениях деятельн</w:t>
      </w:r>
      <w:r>
        <w:t>о</w:t>
      </w:r>
      <w:r>
        <w:t>сти</w:t>
      </w:r>
    </w:p>
    <w:p w:rsidR="00000000" w:rsidRDefault="00000000">
      <w:pPr>
        <w:pStyle w:val="H23"/>
      </w:pPr>
      <w:bookmarkStart w:id="840" w:name="_Toc44115635"/>
      <w:bookmarkStart w:id="841" w:name="_Toc44116067"/>
      <w:r>
        <w:t>3.2</w:t>
      </w:r>
      <w:r>
        <w:tab/>
        <w:t>Общие и специальные меры и программы</w:t>
      </w:r>
      <w:bookmarkEnd w:id="840"/>
      <w:bookmarkEnd w:id="841"/>
    </w:p>
    <w:p w:rsidR="00000000" w:rsidRDefault="00000000">
      <w:pPr>
        <w:pStyle w:val="SingleTxt"/>
      </w:pPr>
      <w:r>
        <w:tab/>
        <w:t>(Данный перечень не является исчерпывающим. Он охватывает меры, принятые за период с 1998 года по июль 2002 года.) Резюме содержит данные по землям, приведенным в алфавитном порядке. В начале перечня указаны м</w:t>
      </w:r>
      <w:r>
        <w:t>е</w:t>
      </w:r>
      <w:r>
        <w:t>ры, которые осуществляются несколькими землями.</w:t>
      </w:r>
    </w:p>
    <w:p w:rsidR="00000000" w:rsidRDefault="00000000">
      <w:pPr>
        <w:pStyle w:val="H4"/>
      </w:pPr>
      <w:bookmarkStart w:id="842" w:name="_Toc44113877"/>
      <w:bookmarkStart w:id="843" w:name="_Toc44114386"/>
      <w:bookmarkStart w:id="844" w:name="_Toc44116068"/>
      <w:r>
        <w:t>а)</w:t>
      </w:r>
      <w:r>
        <w:tab/>
        <w:t>Школы, образование и профессиональная подготовка</w:t>
      </w:r>
      <w:bookmarkEnd w:id="842"/>
      <w:bookmarkEnd w:id="843"/>
      <w:bookmarkEnd w:id="844"/>
    </w:p>
    <w:p w:rsidR="00000000" w:rsidRDefault="00000000">
      <w:pPr>
        <w:pStyle w:val="SingleTxt"/>
        <w:tabs>
          <w:tab w:val="clear" w:pos="1267"/>
          <w:tab w:val="clear" w:pos="2218"/>
          <w:tab w:val="left" w:pos="1985"/>
        </w:tabs>
        <w:ind w:left="1985" w:hanging="245"/>
      </w:pPr>
      <w:r>
        <w:t>-</w:t>
      </w:r>
      <w:r>
        <w:tab/>
        <w:t>Проведение дней девушек по вопросам профессиональной ориентации (Берлин, Бранденбург, Бремен, Гамбург, Гессен, Нижняя Сакс</w:t>
      </w:r>
      <w:r>
        <w:t>о</w:t>
      </w:r>
      <w:r>
        <w:t>ния)</w:t>
      </w:r>
    </w:p>
    <w:p w:rsidR="00000000" w:rsidRDefault="00000000">
      <w:pPr>
        <w:pStyle w:val="SingleTxt"/>
        <w:tabs>
          <w:tab w:val="clear" w:pos="1267"/>
          <w:tab w:val="clear" w:pos="2218"/>
          <w:tab w:val="left" w:pos="1985"/>
        </w:tabs>
        <w:ind w:left="1985" w:hanging="245"/>
      </w:pPr>
      <w:r>
        <w:t>-</w:t>
      </w:r>
      <w:r>
        <w:tab/>
        <w:t>Включение в базовый учебный план для всех уровней и видов школ</w:t>
      </w:r>
      <w:r>
        <w:t>ь</w:t>
      </w:r>
      <w:r>
        <w:t>ного образования информации, касающейся обеспечения равных во</w:t>
      </w:r>
      <w:r>
        <w:t>з</w:t>
      </w:r>
      <w:r>
        <w:t>можностей и организации целенаправленной подготовки (Саксония–Анхальт, Тюрингия)</w:t>
      </w:r>
    </w:p>
    <w:p w:rsidR="00000000" w:rsidRDefault="00000000">
      <w:pPr>
        <w:pStyle w:val="SingleTxt"/>
        <w:tabs>
          <w:tab w:val="clear" w:pos="1267"/>
          <w:tab w:val="clear" w:pos="2218"/>
          <w:tab w:val="left" w:pos="1985"/>
        </w:tabs>
        <w:ind w:left="1985" w:hanging="245"/>
      </w:pPr>
      <w:r>
        <w:t>-</w:t>
      </w:r>
      <w:r>
        <w:tab/>
        <w:t>Школьные проекты, посвященные гендерной проблематике "Кампании средств массовой информации в школах" (Баден, Вюртемберг)</w:t>
      </w:r>
    </w:p>
    <w:p w:rsidR="00000000" w:rsidRDefault="00000000">
      <w:pPr>
        <w:pStyle w:val="SingleTxt"/>
        <w:tabs>
          <w:tab w:val="clear" w:pos="1267"/>
          <w:tab w:val="clear" w:pos="2218"/>
          <w:tab w:val="left" w:pos="1985"/>
        </w:tabs>
        <w:ind w:left="1985" w:hanging="245"/>
      </w:pPr>
      <w:r>
        <w:t>-</w:t>
      </w:r>
      <w:r>
        <w:tab/>
        <w:t>Публикация бесплатной брошюры "Завершение профессиональной подготовки – оказание финансового содействия молодым матерям в п</w:t>
      </w:r>
      <w:r>
        <w:t>о</w:t>
      </w:r>
      <w:r>
        <w:t>лучении профессиональной подготовки" (Берлин)</w:t>
      </w:r>
    </w:p>
    <w:p w:rsidR="00000000" w:rsidRDefault="00000000">
      <w:pPr>
        <w:pStyle w:val="SingleTxt"/>
        <w:tabs>
          <w:tab w:val="clear" w:pos="1267"/>
          <w:tab w:val="clear" w:pos="2218"/>
          <w:tab w:val="left" w:pos="1985"/>
        </w:tabs>
        <w:ind w:left="1985" w:hanging="245"/>
      </w:pPr>
      <w:r>
        <w:t>-</w:t>
      </w:r>
      <w:r>
        <w:tab/>
        <w:t>Рабочее совещание по вопросам занятости девушек (Берлин)</w:t>
      </w:r>
    </w:p>
    <w:p w:rsidR="00000000" w:rsidRDefault="00000000">
      <w:pPr>
        <w:pStyle w:val="SingleTxt"/>
        <w:tabs>
          <w:tab w:val="clear" w:pos="1267"/>
          <w:tab w:val="clear" w:pos="2218"/>
          <w:tab w:val="left" w:pos="1985"/>
        </w:tabs>
        <w:ind w:left="1985" w:hanging="245"/>
      </w:pPr>
      <w:r>
        <w:t>-</w:t>
      </w:r>
      <w:r>
        <w:tab/>
        <w:t>Равноправие в школе – публикуемый два раза в год доклад о мерах по борьбе с дискримин</w:t>
      </w:r>
      <w:r>
        <w:t>а</w:t>
      </w:r>
      <w:r>
        <w:t>цией в школах по признаку пола (Берлин)</w:t>
      </w:r>
    </w:p>
    <w:p w:rsidR="00000000" w:rsidRDefault="00000000">
      <w:pPr>
        <w:pStyle w:val="SingleTxt"/>
        <w:tabs>
          <w:tab w:val="clear" w:pos="1267"/>
          <w:tab w:val="clear" w:pos="2218"/>
          <w:tab w:val="left" w:pos="1985"/>
        </w:tabs>
        <w:ind w:left="1985" w:hanging="245"/>
      </w:pPr>
      <w:r>
        <w:t>-</w:t>
      </w:r>
      <w:r>
        <w:tab/>
        <w:t>Совещание за круглым столом по вопросу о предоставлении мальчикам и девочкам в шк</w:t>
      </w:r>
      <w:r>
        <w:t>о</w:t>
      </w:r>
      <w:r>
        <w:t>лах равных возможностей (Берлин)</w:t>
      </w:r>
    </w:p>
    <w:p w:rsidR="00000000" w:rsidRDefault="00000000">
      <w:pPr>
        <w:pStyle w:val="SingleTxt"/>
        <w:tabs>
          <w:tab w:val="clear" w:pos="1267"/>
          <w:tab w:val="clear" w:pos="2218"/>
          <w:tab w:val="left" w:pos="1985"/>
        </w:tabs>
        <w:ind w:left="1985" w:hanging="245"/>
      </w:pPr>
      <w:r>
        <w:t>-</w:t>
      </w:r>
      <w:r>
        <w:tab/>
        <w:t>Экспериментальная программа "Девочки – лучше, мальчики -тоже", направленная на урегулирование конфликтных ситуаций между дево</w:t>
      </w:r>
      <w:r>
        <w:t>ч</w:t>
      </w:r>
      <w:r>
        <w:t>ками и мальчиками и осуществляемая в качестве вклада в деятельность по развитию навыков социального общения на уровне начальных школ (Берлин)</w:t>
      </w:r>
    </w:p>
    <w:p w:rsidR="00000000" w:rsidRDefault="00000000">
      <w:pPr>
        <w:pStyle w:val="SingleTxt"/>
        <w:tabs>
          <w:tab w:val="clear" w:pos="1267"/>
          <w:tab w:val="clear" w:pos="2218"/>
          <w:tab w:val="left" w:pos="1985"/>
        </w:tabs>
        <w:ind w:left="1985" w:hanging="245"/>
      </w:pPr>
      <w:r>
        <w:t>-</w:t>
      </w:r>
      <w:r>
        <w:tab/>
        <w:t>Организация обучения учениц женских классов по специальности "Электронные компьютерные и телекоммуникационные системы" (Бе</w:t>
      </w:r>
      <w:r>
        <w:t>р</w:t>
      </w:r>
      <w:r>
        <w:t>лин)</w:t>
      </w:r>
    </w:p>
    <w:p w:rsidR="00000000" w:rsidRDefault="00000000">
      <w:pPr>
        <w:pStyle w:val="SingleTxt"/>
        <w:tabs>
          <w:tab w:val="clear" w:pos="1267"/>
          <w:tab w:val="clear" w:pos="2218"/>
          <w:tab w:val="left" w:pos="1985"/>
        </w:tabs>
        <w:ind w:left="1985" w:hanging="245"/>
      </w:pPr>
      <w:r>
        <w:t>-</w:t>
      </w:r>
      <w:r>
        <w:tab/>
        <w:t>Результаты осуществления Федеральной/земельной комиссией по в</w:t>
      </w:r>
      <w:r>
        <w:t>о</w:t>
      </w:r>
      <w:r>
        <w:t>просам планирования образования и стимулирования исследований экспериментального проекта по теме "Профессиональная ориентация девочек и мальчиков – экспериментальный проект по разработке, пр</w:t>
      </w:r>
      <w:r>
        <w:t>о</w:t>
      </w:r>
      <w:r>
        <w:t>верке и реализации системы профессиональной подготовки с учетом характера будущей трудовой деятельности и гендерной проблематики" (Бранденбург)</w:t>
      </w:r>
    </w:p>
    <w:p w:rsidR="00000000" w:rsidRDefault="00000000">
      <w:pPr>
        <w:pStyle w:val="SingleTxt"/>
        <w:tabs>
          <w:tab w:val="clear" w:pos="1267"/>
          <w:tab w:val="clear" w:pos="1742"/>
          <w:tab w:val="left" w:pos="1985"/>
        </w:tabs>
        <w:ind w:left="1985" w:hanging="245"/>
      </w:pPr>
      <w:r>
        <w:t>-</w:t>
      </w:r>
      <w:r>
        <w:tab/>
        <w:t>Теоретическое исследование, озаглавленное "Предварительное план</w:t>
      </w:r>
      <w:r>
        <w:t>и</w:t>
      </w:r>
      <w:r>
        <w:t>рование жизни. Мальчики и девочки Бранденбурга на переходном этапе м</w:t>
      </w:r>
      <w:r>
        <w:t>е</w:t>
      </w:r>
      <w:r>
        <w:t>жду обучением и началом трудовой деятельности (Бранденбург)»</w:t>
      </w:r>
    </w:p>
    <w:p w:rsidR="00000000" w:rsidRDefault="00000000">
      <w:pPr>
        <w:pStyle w:val="SingleTxt"/>
        <w:tabs>
          <w:tab w:val="clear" w:pos="1267"/>
          <w:tab w:val="clear" w:pos="1742"/>
          <w:tab w:val="left" w:pos="1985"/>
        </w:tabs>
        <w:ind w:left="1985" w:hanging="245"/>
      </w:pPr>
      <w:r>
        <w:t>-</w:t>
      </w:r>
      <w:r>
        <w:tab/>
        <w:t>Модель школьного образования и дополнительные учебные материалы для детей возрастом 7 – 11 лет (Бранденбург)</w:t>
      </w:r>
    </w:p>
    <w:p w:rsidR="00000000" w:rsidRDefault="00000000">
      <w:pPr>
        <w:pStyle w:val="SingleTxt"/>
        <w:tabs>
          <w:tab w:val="clear" w:pos="1267"/>
          <w:tab w:val="clear" w:pos="1742"/>
          <w:tab w:val="left" w:pos="1985"/>
        </w:tabs>
        <w:ind w:left="1985" w:hanging="245"/>
      </w:pPr>
      <w:r>
        <w:t>-</w:t>
      </w:r>
      <w:r>
        <w:tab/>
        <w:t>Пособие для проведения семинара по теме "Физическое развитие мал</w:t>
      </w:r>
      <w:r>
        <w:t>ь</w:t>
      </w:r>
      <w:r>
        <w:t>чиков. Усовершенствование планов подготовки мальчиков" (Бранде</w:t>
      </w:r>
      <w:r>
        <w:t>н</w:t>
      </w:r>
      <w:r>
        <w:t>бург)</w:t>
      </w:r>
    </w:p>
    <w:p w:rsidR="00000000" w:rsidRDefault="00000000">
      <w:pPr>
        <w:pStyle w:val="SingleTxt"/>
        <w:tabs>
          <w:tab w:val="clear" w:pos="1267"/>
          <w:tab w:val="clear" w:pos="1742"/>
          <w:tab w:val="left" w:pos="1985"/>
        </w:tabs>
        <w:ind w:left="1985" w:hanging="245"/>
      </w:pPr>
      <w:r>
        <w:t>-</w:t>
      </w:r>
      <w:r>
        <w:tab/>
        <w:t>Материалы по вопросам планирования профессиональной деятельн</w:t>
      </w:r>
      <w:r>
        <w:t>о</w:t>
      </w:r>
      <w:r>
        <w:t>сти и жизни: "Характер разделения труда в восточной и западной ча</w:t>
      </w:r>
      <w:r>
        <w:t>с</w:t>
      </w:r>
      <w:r>
        <w:t>тях Германии после 1945 года" (Бранде</w:t>
      </w:r>
      <w:r>
        <w:t>н</w:t>
      </w:r>
      <w:r>
        <w:t>бург)</w:t>
      </w:r>
    </w:p>
    <w:p w:rsidR="00000000" w:rsidRDefault="00000000">
      <w:pPr>
        <w:pStyle w:val="SingleTxt"/>
        <w:tabs>
          <w:tab w:val="clear" w:pos="1267"/>
          <w:tab w:val="clear" w:pos="1742"/>
          <w:tab w:val="left" w:pos="1985"/>
        </w:tabs>
        <w:ind w:left="1985" w:hanging="245"/>
      </w:pPr>
      <w:r>
        <w:t>-</w:t>
      </w:r>
      <w:r>
        <w:tab/>
        <w:t>Конференция специалистов по вопросам совместного обучения "Все в одной лодке" (Бр</w:t>
      </w:r>
      <w:r>
        <w:t>е</w:t>
      </w:r>
      <w:r>
        <w:t>мен)</w:t>
      </w:r>
    </w:p>
    <w:p w:rsidR="00000000" w:rsidRDefault="00000000">
      <w:pPr>
        <w:pStyle w:val="SingleTxt"/>
        <w:tabs>
          <w:tab w:val="clear" w:pos="1267"/>
          <w:tab w:val="clear" w:pos="1742"/>
          <w:tab w:val="left" w:pos="1985"/>
        </w:tabs>
        <w:ind w:left="1985" w:hanging="245"/>
      </w:pPr>
      <w:r>
        <w:t>-</w:t>
      </w:r>
      <w:r>
        <w:tab/>
        <w:t>Практика наставничества в сфере профессиональной ориентации дев</w:t>
      </w:r>
      <w:r>
        <w:t>о</w:t>
      </w:r>
      <w:r>
        <w:t>чек (Бремен)</w:t>
      </w:r>
    </w:p>
    <w:p w:rsidR="00000000" w:rsidRDefault="00000000">
      <w:pPr>
        <w:pStyle w:val="SingleTxt"/>
        <w:tabs>
          <w:tab w:val="clear" w:pos="1267"/>
          <w:tab w:val="clear" w:pos="1742"/>
          <w:tab w:val="left" w:pos="1985"/>
        </w:tabs>
        <w:ind w:left="1985" w:hanging="245"/>
      </w:pPr>
      <w:r>
        <w:t>-</w:t>
      </w:r>
      <w:r>
        <w:tab/>
        <w:t>Проект "Профессиональная ориентация девочек в области использов</w:t>
      </w:r>
      <w:r>
        <w:t>а</w:t>
      </w:r>
      <w:r>
        <w:t>ния информационных технологий" (Бремен)</w:t>
      </w:r>
    </w:p>
    <w:p w:rsidR="00000000" w:rsidRDefault="00000000">
      <w:pPr>
        <w:pStyle w:val="SingleTxt"/>
        <w:tabs>
          <w:tab w:val="clear" w:pos="1267"/>
          <w:tab w:val="clear" w:pos="1742"/>
          <w:tab w:val="left" w:pos="1985"/>
        </w:tabs>
        <w:ind w:left="1985" w:hanging="245"/>
      </w:pPr>
      <w:r>
        <w:t>-</w:t>
      </w:r>
      <w:r>
        <w:tab/>
        <w:t>Краткосрочные подготовительные курсы для молодых матерей (Бр</w:t>
      </w:r>
      <w:r>
        <w:t>е</w:t>
      </w:r>
      <w:r>
        <w:t>мен)</w:t>
      </w:r>
    </w:p>
    <w:p w:rsidR="00000000" w:rsidRDefault="00000000">
      <w:pPr>
        <w:pStyle w:val="SingleTxt"/>
        <w:tabs>
          <w:tab w:val="clear" w:pos="1267"/>
          <w:tab w:val="clear" w:pos="1742"/>
          <w:tab w:val="left" w:pos="1985"/>
        </w:tabs>
        <w:ind w:left="1985" w:hanging="245"/>
      </w:pPr>
      <w:r>
        <w:t>-</w:t>
      </w:r>
      <w:r>
        <w:tab/>
        <w:t>Мероприятия по созданию для девушек стимулов к работе с компьют</w:t>
      </w:r>
      <w:r>
        <w:t>е</w:t>
      </w:r>
      <w:r>
        <w:t>рами и освоению новых профессий, связанных с использованием и</w:t>
      </w:r>
      <w:r>
        <w:t>н</w:t>
      </w:r>
      <w:r>
        <w:t>форм</w:t>
      </w:r>
      <w:r>
        <w:t>а</w:t>
      </w:r>
      <w:r>
        <w:t>ционных технологий (Бремен)</w:t>
      </w:r>
    </w:p>
    <w:p w:rsidR="00000000" w:rsidRDefault="00000000">
      <w:pPr>
        <w:pStyle w:val="SingleTxt"/>
        <w:tabs>
          <w:tab w:val="clear" w:pos="1267"/>
          <w:tab w:val="clear" w:pos="1742"/>
          <w:tab w:val="left" w:pos="1985"/>
        </w:tabs>
        <w:ind w:left="1985" w:hanging="245"/>
      </w:pPr>
      <w:r>
        <w:t>-</w:t>
      </w:r>
      <w:r>
        <w:tab/>
        <w:t>Повышение информационной подготовки девочек и мальчиков: "Об</w:t>
      </w:r>
      <w:r>
        <w:t>у</w:t>
      </w:r>
      <w:r>
        <w:t>чение работе с Интерн</w:t>
      </w:r>
      <w:r>
        <w:t>е</w:t>
      </w:r>
      <w:r>
        <w:t>том" (Гамбург)</w:t>
      </w:r>
    </w:p>
    <w:p w:rsidR="00000000" w:rsidRDefault="00000000">
      <w:pPr>
        <w:pStyle w:val="SingleTxt"/>
        <w:tabs>
          <w:tab w:val="clear" w:pos="1267"/>
          <w:tab w:val="clear" w:pos="1742"/>
          <w:tab w:val="left" w:pos="1985"/>
        </w:tabs>
        <w:ind w:left="1985" w:hanging="245"/>
      </w:pPr>
      <w:r>
        <w:t>-</w:t>
      </w:r>
      <w:r>
        <w:tab/>
        <w:t>Предназначенная для учащихся и их родителей брошюра "Для девушек открыты все профессии" (Гамбург)</w:t>
      </w:r>
    </w:p>
    <w:p w:rsidR="00000000" w:rsidRDefault="00000000">
      <w:pPr>
        <w:pStyle w:val="SingleTxt"/>
        <w:tabs>
          <w:tab w:val="clear" w:pos="1267"/>
          <w:tab w:val="clear" w:pos="1742"/>
          <w:tab w:val="left" w:pos="1985"/>
        </w:tabs>
        <w:ind w:left="1985" w:hanging="245"/>
      </w:pPr>
      <w:r>
        <w:t>-</w:t>
      </w:r>
      <w:r>
        <w:tab/>
        <w:t>Расширение масштабов участия родителей в школьных программах профессиональной ориентации, брошюра, озаглавленная "Разумеется, мы, родители, играем важную роль, – но какую!? Пособие для родит</w:t>
      </w:r>
      <w:r>
        <w:t>е</w:t>
      </w:r>
      <w:r>
        <w:t>лей в выборе профессии (и не только) для дочерей"; брошюра для пр</w:t>
      </w:r>
      <w:r>
        <w:t>е</w:t>
      </w:r>
      <w:r>
        <w:t>подавателей, озаглавленная "Взаимодействие с родителями в процессе выбора профессий (и не только) для девушек" (Га</w:t>
      </w:r>
      <w:r>
        <w:t>м</w:t>
      </w:r>
      <w:r>
        <w:t>бург)</w:t>
      </w:r>
    </w:p>
    <w:p w:rsidR="00000000" w:rsidRDefault="00000000">
      <w:pPr>
        <w:pStyle w:val="SingleTxt"/>
        <w:tabs>
          <w:tab w:val="clear" w:pos="1267"/>
          <w:tab w:val="clear" w:pos="1742"/>
          <w:tab w:val="left" w:pos="1985"/>
        </w:tabs>
        <w:ind w:left="1985" w:hanging="245"/>
      </w:pPr>
      <w:r>
        <w:t>-</w:t>
      </w:r>
      <w:r>
        <w:tab/>
        <w:t>Компьютерные курсы для учениц первой ступени средней школы на период осенних кан</w:t>
      </w:r>
      <w:r>
        <w:t>и</w:t>
      </w:r>
      <w:r>
        <w:t>кул (с 1999 года) (Гессен)</w:t>
      </w:r>
    </w:p>
    <w:p w:rsidR="00000000" w:rsidRDefault="00000000">
      <w:pPr>
        <w:pStyle w:val="SingleTxt"/>
        <w:tabs>
          <w:tab w:val="clear" w:pos="1267"/>
          <w:tab w:val="clear" w:pos="1742"/>
          <w:tab w:val="left" w:pos="1985"/>
        </w:tabs>
        <w:ind w:left="1985" w:hanging="245"/>
      </w:pPr>
      <w:r>
        <w:t>-</w:t>
      </w:r>
      <w:r>
        <w:tab/>
        <w:t>Брошюра, содержащая информацию о профессиях, связанных с испол</w:t>
      </w:r>
      <w:r>
        <w:t>ь</w:t>
      </w:r>
      <w:r>
        <w:t>зованием информационных технологий, и о технических профессиях для учениц первой и второй ступеней средней школы (Гессен)</w:t>
      </w:r>
    </w:p>
    <w:p w:rsidR="00000000" w:rsidRDefault="00000000">
      <w:pPr>
        <w:pStyle w:val="SingleTxt"/>
        <w:tabs>
          <w:tab w:val="clear" w:pos="1267"/>
          <w:tab w:val="clear" w:pos="1742"/>
          <w:tab w:val="left" w:pos="1985"/>
        </w:tabs>
        <w:ind w:left="1985" w:hanging="245"/>
      </w:pPr>
      <w:r>
        <w:t>-</w:t>
      </w:r>
      <w:r>
        <w:tab/>
        <w:t>Совместное финансирование деятельности по разработке на КД-ПЗУ "Рабочей лаборатории", предназначенной для обеспечения професси</w:t>
      </w:r>
      <w:r>
        <w:t>о</w:t>
      </w:r>
      <w:r>
        <w:t>нальной ориентации девушек в областях, в которых они обычно не р</w:t>
      </w:r>
      <w:r>
        <w:t>а</w:t>
      </w:r>
      <w:r>
        <w:t>ботают (Гессен)</w:t>
      </w:r>
    </w:p>
    <w:p w:rsidR="00000000" w:rsidRDefault="00000000">
      <w:pPr>
        <w:pStyle w:val="SingleTxt"/>
        <w:tabs>
          <w:tab w:val="clear" w:pos="1267"/>
          <w:tab w:val="clear" w:pos="1742"/>
          <w:tab w:val="left" w:pos="1985"/>
        </w:tabs>
        <w:ind w:left="1985" w:hanging="245"/>
      </w:pPr>
      <w:r>
        <w:t>-</w:t>
      </w:r>
      <w:r>
        <w:tab/>
        <w:t>Обеспечение равенства как одна из задач для школ, упомянутых в З</w:t>
      </w:r>
      <w:r>
        <w:t>а</w:t>
      </w:r>
      <w:r>
        <w:t>коне о школах (</w:t>
      </w:r>
      <w:r>
        <w:rPr>
          <w:lang w:val="en-US"/>
        </w:rPr>
        <w:t>Schulg</w:t>
      </w:r>
      <w:r>
        <w:rPr>
          <w:lang w:val="en-US"/>
        </w:rPr>
        <w:t>e</w:t>
      </w:r>
      <w:r>
        <w:rPr>
          <w:lang w:val="en-US"/>
        </w:rPr>
        <w:t>setz</w:t>
      </w:r>
      <w:r>
        <w:t>) (Мекленбург–Западная Померания)</w:t>
      </w:r>
    </w:p>
    <w:p w:rsidR="00000000" w:rsidRDefault="00000000">
      <w:pPr>
        <w:pStyle w:val="SingleTxt"/>
        <w:tabs>
          <w:tab w:val="clear" w:pos="1267"/>
          <w:tab w:val="clear" w:pos="1742"/>
          <w:tab w:val="left" w:pos="1985"/>
        </w:tabs>
        <w:ind w:left="1985" w:hanging="245"/>
      </w:pPr>
      <w:r>
        <w:t>-</w:t>
      </w:r>
      <w:r>
        <w:tab/>
        <w:t>Экспериментальный проект "Девочки и мальчики – учет и развитие их особых возможностей в школах", а также документация и конференции специалистов по этой теме (Мекленбург–Западная Пом</w:t>
      </w:r>
      <w:r>
        <w:t>е</w:t>
      </w:r>
      <w:r>
        <w:t>рания)</w:t>
      </w:r>
    </w:p>
    <w:p w:rsidR="00000000" w:rsidRDefault="00000000">
      <w:pPr>
        <w:pStyle w:val="SingleTxt"/>
        <w:tabs>
          <w:tab w:val="clear" w:pos="1267"/>
          <w:tab w:val="clear" w:pos="1742"/>
          <w:tab w:val="left" w:pos="1985"/>
        </w:tabs>
        <w:ind w:left="1985" w:hanging="245"/>
      </w:pPr>
      <w:r>
        <w:t>-</w:t>
      </w:r>
      <w:r>
        <w:tab/>
        <w:t>Передвижная экспозиция "Для выбора профессии пол не имеет знач</w:t>
      </w:r>
      <w:r>
        <w:t>е</w:t>
      </w:r>
      <w:r>
        <w:t>ния", посвященная:</w:t>
      </w:r>
    </w:p>
    <w:p w:rsidR="00000000" w:rsidRDefault="00000000">
      <w:pPr>
        <w:pStyle w:val="SingleTxt"/>
        <w:tabs>
          <w:tab w:val="clear" w:pos="1267"/>
          <w:tab w:val="clear" w:pos="1742"/>
        </w:tabs>
        <w:ind w:left="2268" w:hanging="283"/>
      </w:pPr>
      <w:r>
        <w:t>*</w:t>
      </w:r>
      <w:r>
        <w:tab/>
        <w:t>ориентации девушек в выборе профессии</w:t>
      </w:r>
    </w:p>
    <w:p w:rsidR="00000000" w:rsidRDefault="00000000">
      <w:pPr>
        <w:pStyle w:val="SingleTxt"/>
        <w:tabs>
          <w:tab w:val="clear" w:pos="1267"/>
          <w:tab w:val="clear" w:pos="1742"/>
        </w:tabs>
        <w:ind w:left="2268" w:hanging="283"/>
      </w:pPr>
      <w:r>
        <w:t>*</w:t>
      </w:r>
      <w:r>
        <w:tab/>
        <w:t>созданию для девушек стимулов к освоению новых профессий</w:t>
      </w:r>
    </w:p>
    <w:p w:rsidR="00000000" w:rsidRDefault="00000000">
      <w:pPr>
        <w:pStyle w:val="SingleTxt"/>
        <w:tabs>
          <w:tab w:val="clear" w:pos="1267"/>
          <w:tab w:val="clear" w:pos="1742"/>
        </w:tabs>
        <w:ind w:left="2268" w:hanging="283"/>
      </w:pPr>
      <w:r>
        <w:t>*</w:t>
      </w:r>
      <w:r>
        <w:tab/>
        <w:t>результатам важной дискуссии по теме "Тайные советники по вопр</w:t>
      </w:r>
      <w:r>
        <w:t>о</w:t>
      </w:r>
      <w:r>
        <w:t>сам продвижения по службе", участники экономической деятельн</w:t>
      </w:r>
      <w:r>
        <w:t>о</w:t>
      </w:r>
      <w:r>
        <w:t>сти и факторы, влияющие на служебный рост (Мекленбург–Запа</w:t>
      </w:r>
      <w:r>
        <w:t>д</w:t>
      </w:r>
      <w:r>
        <w:t>ная Померания)</w:t>
      </w:r>
    </w:p>
    <w:p w:rsidR="00000000" w:rsidRDefault="00000000">
      <w:pPr>
        <w:pStyle w:val="SingleTxt"/>
        <w:tabs>
          <w:tab w:val="clear" w:pos="1267"/>
          <w:tab w:val="clear" w:pos="1742"/>
          <w:tab w:val="left" w:pos="1985"/>
        </w:tabs>
        <w:ind w:left="1985" w:hanging="245"/>
      </w:pPr>
      <w:r>
        <w:t>-</w:t>
      </w:r>
      <w:r>
        <w:tab/>
        <w:t>Положения, касающиеся участия и принятия особых мер по повыш</w:t>
      </w:r>
      <w:r>
        <w:t>е</w:t>
      </w:r>
      <w:r>
        <w:t>нию профессиональной квалификации женщин (рассмотрение критер</w:t>
      </w:r>
      <w:r>
        <w:t>и</w:t>
      </w:r>
      <w:r>
        <w:t>ев, касающихся наличия неполного рабочего дня, компенсации затрат на воспитание ребенка и т.д.) (Мекленбург–Западная Померания)</w:t>
      </w:r>
    </w:p>
    <w:p w:rsidR="00000000" w:rsidRDefault="00000000">
      <w:pPr>
        <w:pStyle w:val="SingleTxt"/>
        <w:tabs>
          <w:tab w:val="clear" w:pos="1267"/>
          <w:tab w:val="clear" w:pos="1742"/>
          <w:tab w:val="left" w:pos="1985"/>
        </w:tabs>
        <w:ind w:left="1985" w:hanging="245"/>
      </w:pPr>
      <w:r>
        <w:t>-</w:t>
      </w:r>
      <w:r>
        <w:tab/>
        <w:t>Сеть по профессиональной подготовке женщин (Мекленбург–Западная Померания)</w:t>
      </w:r>
    </w:p>
    <w:p w:rsidR="00000000" w:rsidRDefault="00000000">
      <w:pPr>
        <w:pStyle w:val="SingleTxt"/>
        <w:tabs>
          <w:tab w:val="clear" w:pos="1267"/>
          <w:tab w:val="clear" w:pos="1742"/>
          <w:tab w:val="left" w:pos="1985"/>
        </w:tabs>
        <w:ind w:left="1985" w:hanging="245"/>
      </w:pPr>
      <w:r>
        <w:t>-</w:t>
      </w:r>
      <w:r>
        <w:tab/>
        <w:t>Рабочее пособие по разработке поэтапных планов и кадровых мер</w:t>
      </w:r>
      <w:r>
        <w:t>о</w:t>
      </w:r>
      <w:r>
        <w:t>приятий (Нижняя Сакс</w:t>
      </w:r>
      <w:r>
        <w:t>о</w:t>
      </w:r>
      <w:r>
        <w:t>ния)</w:t>
      </w:r>
    </w:p>
    <w:p w:rsidR="00000000" w:rsidRDefault="00000000">
      <w:pPr>
        <w:pStyle w:val="SingleTxt"/>
        <w:tabs>
          <w:tab w:val="clear" w:pos="1267"/>
          <w:tab w:val="clear" w:pos="1742"/>
          <w:tab w:val="left" w:pos="1985"/>
        </w:tabs>
        <w:ind w:left="1985" w:hanging="245"/>
      </w:pPr>
      <w:r>
        <w:t>-</w:t>
      </w:r>
      <w:r>
        <w:tab/>
        <w:t>Первый доклад правительства земли об осуществлении в Нижней Са</w:t>
      </w:r>
      <w:r>
        <w:t>к</w:t>
      </w:r>
      <w:r>
        <w:t>сонии Закона о ра</w:t>
      </w:r>
      <w:r>
        <w:t>в</w:t>
      </w:r>
      <w:r>
        <w:t>ных правах (Нижняя Саксония)</w:t>
      </w:r>
    </w:p>
    <w:p w:rsidR="00000000" w:rsidRDefault="00000000">
      <w:pPr>
        <w:pStyle w:val="SingleTxt"/>
        <w:tabs>
          <w:tab w:val="clear" w:pos="1267"/>
          <w:tab w:val="clear" w:pos="1742"/>
          <w:tab w:val="left" w:pos="1985"/>
        </w:tabs>
        <w:ind w:left="1985" w:hanging="245"/>
      </w:pPr>
      <w:r>
        <w:t>-</w:t>
      </w:r>
      <w:r>
        <w:tab/>
        <w:t>Разработка и распространение учебных материалов, предназначенных для борьбы с традиционными подходами к оценке роли мужчин и же</w:t>
      </w:r>
      <w:r>
        <w:t>н</w:t>
      </w:r>
      <w:r>
        <w:t>щин (Северный Рейн–Вестфалия)</w:t>
      </w:r>
    </w:p>
    <w:p w:rsidR="00000000" w:rsidRDefault="00000000">
      <w:pPr>
        <w:pStyle w:val="SingleTxt"/>
        <w:tabs>
          <w:tab w:val="clear" w:pos="1267"/>
          <w:tab w:val="clear" w:pos="1742"/>
          <w:tab w:val="left" w:pos="1985"/>
        </w:tabs>
        <w:ind w:left="1985" w:hanging="245"/>
      </w:pPr>
      <w:r>
        <w:t>-</w:t>
      </w:r>
      <w:r>
        <w:tab/>
        <w:t>Инициативная программа по воспитанию самостоятельности и разв</w:t>
      </w:r>
      <w:r>
        <w:t>и</w:t>
      </w:r>
      <w:r>
        <w:t>тию навыков поведения в конфликтных ситуациях, предназначенная для мальчиков и девочек (Северный Рейн–Вестфалия)</w:t>
      </w:r>
    </w:p>
    <w:p w:rsidR="00000000" w:rsidRDefault="00000000">
      <w:pPr>
        <w:pStyle w:val="SingleTxt"/>
        <w:tabs>
          <w:tab w:val="clear" w:pos="1267"/>
          <w:tab w:val="clear" w:pos="1742"/>
          <w:tab w:val="left" w:pos="1985"/>
        </w:tabs>
        <w:ind w:left="1985" w:hanging="245"/>
      </w:pPr>
      <w:r>
        <w:t>-</w:t>
      </w:r>
      <w:r>
        <w:tab/>
        <w:t>Информационные материалы по экспериментальному проекту "Деву</w:t>
      </w:r>
      <w:r>
        <w:t>ш</w:t>
      </w:r>
      <w:r>
        <w:t>ки и поиск работы", предназначенному для проведения в различных школах занятий по вопросам профессиональной деятельности (Севе</w:t>
      </w:r>
      <w:r>
        <w:t>р</w:t>
      </w:r>
      <w:r>
        <w:t>ный Рейн–Вестфалия)</w:t>
      </w:r>
    </w:p>
    <w:p w:rsidR="00000000" w:rsidRDefault="00000000">
      <w:pPr>
        <w:pStyle w:val="SingleTxt"/>
        <w:tabs>
          <w:tab w:val="clear" w:pos="1267"/>
          <w:tab w:val="clear" w:pos="1742"/>
          <w:tab w:val="left" w:pos="1985"/>
        </w:tabs>
        <w:ind w:left="1985" w:hanging="245"/>
      </w:pPr>
      <w:r>
        <w:t>-</w:t>
      </w:r>
      <w:r>
        <w:tab/>
        <w:t>Решение проблемы рефлексивного совместного обучения в рамках пр</w:t>
      </w:r>
      <w:r>
        <w:t>о</w:t>
      </w:r>
      <w:r>
        <w:t>ектов, направленных на организацию информационной подготовки с уч</w:t>
      </w:r>
      <w:r>
        <w:t>е</w:t>
      </w:r>
      <w:r>
        <w:t>том гендерной проблематики (Северный Рейн–Вестфалия)</w:t>
      </w:r>
    </w:p>
    <w:p w:rsidR="00000000" w:rsidRDefault="00000000">
      <w:pPr>
        <w:pStyle w:val="SingleTxt"/>
        <w:tabs>
          <w:tab w:val="clear" w:pos="1267"/>
          <w:tab w:val="clear" w:pos="1742"/>
          <w:tab w:val="left" w:pos="1985"/>
        </w:tabs>
        <w:ind w:left="1985" w:hanging="245"/>
      </w:pPr>
      <w:r>
        <w:t>-</w:t>
      </w:r>
      <w:r>
        <w:tab/>
        <w:t>Проект Ады Лавлейс по созданию сети "Женщины -наставники для курсов по изучению технических и естественнонаучных предметов" (Рей</w:t>
      </w:r>
      <w:r>
        <w:t>н</w:t>
      </w:r>
      <w:r>
        <w:t>ланд–Пфальц)</w:t>
      </w:r>
    </w:p>
    <w:p w:rsidR="00000000" w:rsidRDefault="00000000">
      <w:pPr>
        <w:pStyle w:val="SingleTxt"/>
        <w:tabs>
          <w:tab w:val="clear" w:pos="1267"/>
          <w:tab w:val="clear" w:pos="1742"/>
          <w:tab w:val="left" w:pos="1985"/>
        </w:tabs>
        <w:ind w:left="1985" w:hanging="245"/>
      </w:pPr>
      <w:r>
        <w:t>-</w:t>
      </w:r>
      <w:r>
        <w:tab/>
        <w:t>Проект Ады Лавлейс – сеть "Двойное обучение" (Рейнланд</w:t>
      </w:r>
      <w:r>
        <w:noBreakHyphen/>
        <w:t>Пфальц)</w:t>
      </w:r>
    </w:p>
    <w:p w:rsidR="00000000" w:rsidRDefault="00000000">
      <w:pPr>
        <w:pStyle w:val="SingleTxt"/>
        <w:tabs>
          <w:tab w:val="clear" w:pos="1267"/>
          <w:tab w:val="clear" w:pos="1742"/>
          <w:tab w:val="left" w:pos="1985"/>
        </w:tabs>
        <w:ind w:left="1985" w:hanging="245"/>
      </w:pPr>
      <w:r>
        <w:t>-</w:t>
      </w:r>
      <w:r>
        <w:tab/>
        <w:t>Компьютерный семинар, который проводится для девушек с 1998 года (Рейнланд–Пфальц)</w:t>
      </w:r>
    </w:p>
    <w:p w:rsidR="00000000" w:rsidRDefault="00000000">
      <w:pPr>
        <w:pStyle w:val="SingleTxt"/>
        <w:tabs>
          <w:tab w:val="clear" w:pos="1267"/>
          <w:tab w:val="clear" w:pos="1742"/>
          <w:tab w:val="left" w:pos="1985"/>
        </w:tabs>
        <w:ind w:left="1985" w:hanging="245"/>
      </w:pPr>
      <w:r>
        <w:t>-</w:t>
      </w:r>
      <w:r>
        <w:tab/>
        <w:t>Экспериментальный проект "Перспективы трудоустройства для дев</w:t>
      </w:r>
      <w:r>
        <w:t>у</w:t>
      </w:r>
      <w:r>
        <w:t>шек", расширение для девушек возможностей в области выбора пр</w:t>
      </w:r>
      <w:r>
        <w:t>о</w:t>
      </w:r>
      <w:r>
        <w:t>фессии (Саар)</w:t>
      </w:r>
    </w:p>
    <w:p w:rsidR="00000000" w:rsidRDefault="00000000">
      <w:pPr>
        <w:pStyle w:val="SingleTxt"/>
        <w:tabs>
          <w:tab w:val="clear" w:pos="1267"/>
          <w:tab w:val="clear" w:pos="1742"/>
          <w:tab w:val="left" w:pos="1985"/>
        </w:tabs>
        <w:ind w:left="1985" w:hanging="245"/>
      </w:pPr>
      <w:r>
        <w:t>-</w:t>
      </w:r>
      <w:r>
        <w:tab/>
        <w:t>Неделя по изучению компьютеров, предназначенная для учениц 9</w:t>
      </w:r>
      <w:r>
        <w:noBreakHyphen/>
        <w:t>х и 10</w:t>
      </w:r>
      <w:r>
        <w:noBreakHyphen/>
        <w:t>х классов (Саар)</w:t>
      </w:r>
    </w:p>
    <w:p w:rsidR="00000000" w:rsidRDefault="00000000">
      <w:pPr>
        <w:pStyle w:val="SingleTxt"/>
        <w:tabs>
          <w:tab w:val="clear" w:pos="1267"/>
          <w:tab w:val="clear" w:pos="1742"/>
          <w:tab w:val="left" w:pos="1985"/>
        </w:tabs>
        <w:ind w:left="1985" w:hanging="245"/>
      </w:pPr>
      <w:r>
        <w:t>-</w:t>
      </w:r>
      <w:r>
        <w:tab/>
        <w:t>Экспериментальное мероприятие КОУС (сотрудничество с предпр</w:t>
      </w:r>
      <w:r>
        <w:t>и</w:t>
      </w:r>
      <w:r>
        <w:t>ятиями в рамках оказания содействия разработке школьной програ</w:t>
      </w:r>
      <w:r>
        <w:t>м</w:t>
      </w:r>
      <w:r>
        <w:t>мы), которое проводится по вопросам профессиональной ориентации с учетом особых интересов девочек (Саар)</w:t>
      </w:r>
    </w:p>
    <w:p w:rsidR="00000000" w:rsidRDefault="00000000">
      <w:pPr>
        <w:pStyle w:val="SingleTxt"/>
        <w:tabs>
          <w:tab w:val="clear" w:pos="1267"/>
          <w:tab w:val="clear" w:pos="1742"/>
          <w:tab w:val="left" w:pos="1985"/>
        </w:tabs>
        <w:ind w:left="1985" w:hanging="245"/>
      </w:pPr>
      <w:r>
        <w:t>-</w:t>
      </w:r>
      <w:r>
        <w:tab/>
        <w:t>Совместная конференция специалистов "Новая культура обучения", п</w:t>
      </w:r>
      <w:r>
        <w:t>о</w:t>
      </w:r>
      <w:r>
        <w:t>священная вопросам профессиональной ориентации в рамках экспер</w:t>
      </w:r>
      <w:r>
        <w:t>и</w:t>
      </w:r>
      <w:r>
        <w:t>ментального проекта КОУС и проекта "Перспективы трудоустройства для дев</w:t>
      </w:r>
      <w:r>
        <w:t>у</w:t>
      </w:r>
      <w:r>
        <w:t>шек" (Саар)</w:t>
      </w:r>
    </w:p>
    <w:p w:rsidR="00000000" w:rsidRDefault="00000000">
      <w:pPr>
        <w:pStyle w:val="SingleTxt"/>
        <w:tabs>
          <w:tab w:val="clear" w:pos="1267"/>
          <w:tab w:val="clear" w:pos="1742"/>
          <w:tab w:val="left" w:pos="1985"/>
        </w:tabs>
        <w:ind w:left="1985" w:hanging="245"/>
      </w:pPr>
      <w:r>
        <w:t>-</w:t>
      </w:r>
      <w:r>
        <w:tab/>
        <w:t>Мероприятия по развитию возможностей в сфере профессиональной подготовки – "Обучение девушек коммерческим и техническим спец</w:t>
      </w:r>
      <w:r>
        <w:t>и</w:t>
      </w:r>
      <w:r>
        <w:t>альн</w:t>
      </w:r>
      <w:r>
        <w:t>о</w:t>
      </w:r>
      <w:r>
        <w:t>стям" (Саксония)</w:t>
      </w:r>
    </w:p>
    <w:p w:rsidR="00000000" w:rsidRDefault="00000000">
      <w:pPr>
        <w:pStyle w:val="SingleTxt"/>
        <w:tabs>
          <w:tab w:val="clear" w:pos="1267"/>
          <w:tab w:val="clear" w:pos="1742"/>
          <w:tab w:val="left" w:pos="1985"/>
        </w:tabs>
        <w:ind w:left="1985" w:hanging="245"/>
      </w:pPr>
      <w:r>
        <w:t>-</w:t>
      </w:r>
      <w:r>
        <w:tab/>
        <w:t>Компьютерные курсы для девушек "Обучение девушек работе с комп</w:t>
      </w:r>
      <w:r>
        <w:t>ь</w:t>
      </w:r>
      <w:r>
        <w:t>ютерами " (с июня 2000 года) (Саксония)</w:t>
      </w:r>
    </w:p>
    <w:p w:rsidR="00000000" w:rsidRDefault="00000000">
      <w:pPr>
        <w:pStyle w:val="SingleTxt"/>
        <w:tabs>
          <w:tab w:val="clear" w:pos="1267"/>
          <w:tab w:val="clear" w:pos="1742"/>
          <w:tab w:val="left" w:pos="1985"/>
        </w:tabs>
        <w:ind w:left="1985" w:hanging="245"/>
      </w:pPr>
      <w:r>
        <w:t>-</w:t>
      </w:r>
      <w:r>
        <w:tab/>
        <w:t>Поощрение мер по оказанию помощи девушкам и молодым женщинам в выборе профессии (с января 2002 года) (Саксония)</w:t>
      </w:r>
    </w:p>
    <w:p w:rsidR="00000000" w:rsidRDefault="00000000">
      <w:pPr>
        <w:pStyle w:val="SingleTxt"/>
        <w:tabs>
          <w:tab w:val="clear" w:pos="1267"/>
          <w:tab w:val="clear" w:pos="1742"/>
          <w:tab w:val="left" w:pos="1985"/>
        </w:tabs>
        <w:ind w:left="1985" w:hanging="245"/>
      </w:pPr>
      <w:r>
        <w:t>-</w:t>
      </w:r>
      <w:r>
        <w:tab/>
        <w:t>Проекты по организации профессиональной подготовки для одиноких матерей, получа</w:t>
      </w:r>
      <w:r>
        <w:t>ю</w:t>
      </w:r>
      <w:r>
        <w:t>щих социальное пособие (Саксония)</w:t>
      </w:r>
    </w:p>
    <w:p w:rsidR="00000000" w:rsidRDefault="00000000">
      <w:pPr>
        <w:pStyle w:val="SingleTxt"/>
        <w:tabs>
          <w:tab w:val="clear" w:pos="1267"/>
          <w:tab w:val="clear" w:pos="1742"/>
          <w:tab w:val="left" w:pos="1985"/>
        </w:tabs>
        <w:ind w:left="1985" w:hanging="245"/>
      </w:pPr>
      <w:r>
        <w:t>-</w:t>
      </w:r>
      <w:r>
        <w:tab/>
        <w:t>Осуществление плана действий правительства земли по "Подготовке девушек и молодых женщин к работе по перспективным специальн</w:t>
      </w:r>
      <w:r>
        <w:t>о</w:t>
      </w:r>
      <w:r>
        <w:t>стям" (Саксония–Анхальт)</w:t>
      </w:r>
    </w:p>
    <w:p w:rsidR="00000000" w:rsidRDefault="00000000">
      <w:pPr>
        <w:pStyle w:val="SingleTxt"/>
        <w:tabs>
          <w:tab w:val="clear" w:pos="1267"/>
          <w:tab w:val="clear" w:pos="1742"/>
          <w:tab w:val="left" w:pos="1985"/>
        </w:tabs>
        <w:ind w:left="1985" w:hanging="245"/>
      </w:pPr>
      <w:r>
        <w:t>-</w:t>
      </w:r>
      <w:r>
        <w:tab/>
        <w:t>Интернет-проект, озаглавленный "Информация о перспективных пр</w:t>
      </w:r>
      <w:r>
        <w:t>о</w:t>
      </w:r>
      <w:r>
        <w:t>фессиях для девушек в Интернете" (Саксония–Анхальт)</w:t>
      </w:r>
    </w:p>
    <w:p w:rsidR="00000000" w:rsidRDefault="00000000">
      <w:pPr>
        <w:pStyle w:val="SingleTxt"/>
        <w:tabs>
          <w:tab w:val="clear" w:pos="1267"/>
          <w:tab w:val="clear" w:pos="1742"/>
          <w:tab w:val="left" w:pos="1985"/>
        </w:tabs>
        <w:ind w:left="1985" w:hanging="245"/>
      </w:pPr>
      <w:r>
        <w:t>-</w:t>
      </w:r>
      <w:r>
        <w:tab/>
        <w:t>"План работы для девушек" (сборник домашних заданий, предназн</w:t>
      </w:r>
      <w:r>
        <w:t>а</w:t>
      </w:r>
      <w:r>
        <w:t>ченный для оказания помощи девушкам в выборе перспективных пр</w:t>
      </w:r>
      <w:r>
        <w:t>о</w:t>
      </w:r>
      <w:r>
        <w:t>фессий) (Саксония–Анхальт)</w:t>
      </w:r>
    </w:p>
    <w:p w:rsidR="00000000" w:rsidRDefault="00000000">
      <w:pPr>
        <w:pStyle w:val="SingleTxt"/>
        <w:tabs>
          <w:tab w:val="clear" w:pos="1267"/>
          <w:tab w:val="clear" w:pos="1742"/>
          <w:tab w:val="left" w:pos="1985"/>
        </w:tabs>
        <w:ind w:left="1985" w:hanging="245"/>
      </w:pPr>
      <w:r>
        <w:t>-</w:t>
      </w:r>
      <w:r>
        <w:tab/>
        <w:t>Включение в "Принципы выплаты пособий, необходимых для создания в рамках проекта учебных сетей" задачи по предоставлению женщинам и девушкам специальной помощи в организации профессиональной подготовки внутри учреждения (Саксония–Анхальт)</w:t>
      </w:r>
    </w:p>
    <w:p w:rsidR="00000000" w:rsidRDefault="00000000">
      <w:pPr>
        <w:pStyle w:val="SingleTxt"/>
        <w:tabs>
          <w:tab w:val="clear" w:pos="1267"/>
          <w:tab w:val="clear" w:pos="1742"/>
          <w:tab w:val="left" w:pos="1985"/>
        </w:tabs>
        <w:ind w:left="1985" w:hanging="245"/>
      </w:pPr>
      <w:r>
        <w:t>-</w:t>
      </w:r>
      <w:r>
        <w:tab/>
        <w:t>Курсы по изучению компьютеров и Интернета для женщин и девушек, проживающих, в частности, в сельских районах (проект "Мобильная киберкоролева") (Саксония–Анхальт)</w:t>
      </w:r>
    </w:p>
    <w:p w:rsidR="00000000" w:rsidRDefault="00000000">
      <w:pPr>
        <w:pStyle w:val="SingleTxt"/>
        <w:tabs>
          <w:tab w:val="clear" w:pos="1267"/>
          <w:tab w:val="clear" w:pos="1742"/>
          <w:tab w:val="left" w:pos="1985"/>
        </w:tabs>
        <w:ind w:left="1985" w:hanging="245"/>
      </w:pPr>
      <w:r>
        <w:t>-</w:t>
      </w:r>
      <w:r>
        <w:tab/>
        <w:t>Брошюра, озаглавленная "Предотвращение конфликтов, агрессивных действий и насилия, а также методы эффективной борьбы с этими я</w:t>
      </w:r>
      <w:r>
        <w:t>в</w:t>
      </w:r>
      <w:r>
        <w:t>лениями" (Принципы и предложения по практической работе в школах) и продолжение брошюры, озаглавленной "Движение в школах" (Сакс</w:t>
      </w:r>
      <w:r>
        <w:t>о</w:t>
      </w:r>
      <w:r>
        <w:t>ния–Анхальт)</w:t>
      </w:r>
    </w:p>
    <w:p w:rsidR="00000000" w:rsidRDefault="00000000">
      <w:pPr>
        <w:pStyle w:val="SingleTxt"/>
        <w:tabs>
          <w:tab w:val="clear" w:pos="1267"/>
          <w:tab w:val="clear" w:pos="1742"/>
          <w:tab w:val="left" w:pos="1985"/>
        </w:tabs>
        <w:ind w:left="1985" w:hanging="245"/>
      </w:pPr>
      <w:r>
        <w:t>-</w:t>
      </w:r>
      <w:r>
        <w:tab/>
        <w:t>Реализация концепции правительства земли "Равные возможности для девочек и мальчиков в школах" (Саксония–Анхальт)</w:t>
      </w:r>
    </w:p>
    <w:p w:rsidR="00000000" w:rsidRDefault="00000000">
      <w:pPr>
        <w:pStyle w:val="SingleTxt"/>
        <w:tabs>
          <w:tab w:val="clear" w:pos="1267"/>
          <w:tab w:val="clear" w:pos="1742"/>
          <w:tab w:val="left" w:pos="1985"/>
        </w:tabs>
        <w:ind w:left="1985" w:hanging="245"/>
      </w:pPr>
      <w:r>
        <w:t>-</w:t>
      </w:r>
      <w:r>
        <w:tab/>
        <w:t>Назначенные уполномоченные по вопросам равноправия, работающие в бюро государственных школ, и добровольные уполномоченные по вопросам равноправия, выбранные в школах (Саксония–Анхальт)</w:t>
      </w:r>
    </w:p>
    <w:p w:rsidR="00000000" w:rsidRDefault="00000000">
      <w:pPr>
        <w:pStyle w:val="SingleTxt"/>
        <w:tabs>
          <w:tab w:val="clear" w:pos="1267"/>
          <w:tab w:val="clear" w:pos="1742"/>
          <w:tab w:val="left" w:pos="1985"/>
        </w:tabs>
        <w:ind w:left="1985" w:hanging="245"/>
      </w:pPr>
      <w:r>
        <w:t>-</w:t>
      </w:r>
      <w:r>
        <w:tab/>
        <w:t>Учебная программа для начальных и средних школ "Подготовка к по</w:t>
      </w:r>
      <w:r>
        <w:t>л</w:t>
      </w:r>
      <w:r>
        <w:t>ноценной жизни" (развитие личности с учетом гендерной проблемат</w:t>
      </w:r>
      <w:r>
        <w:t>и</w:t>
      </w:r>
      <w:r>
        <w:t>ки) (Саксония–Анхальт)</w:t>
      </w:r>
    </w:p>
    <w:p w:rsidR="00000000" w:rsidRDefault="00000000">
      <w:pPr>
        <w:pStyle w:val="SingleTxt"/>
        <w:tabs>
          <w:tab w:val="clear" w:pos="1267"/>
        </w:tabs>
        <w:ind w:left="1985" w:firstLine="0"/>
      </w:pPr>
      <w:r>
        <w:t>Брошюра, озаглавленная "Рассмотрение вопроса обеспечения равн</w:t>
      </w:r>
      <w:r>
        <w:t>о</w:t>
      </w:r>
      <w:r>
        <w:t>правия мальчиков и девочек, женщин и мужчин в школьных учебниках земли Са</w:t>
      </w:r>
      <w:r>
        <w:t>к</w:t>
      </w:r>
      <w:r>
        <w:t xml:space="preserve">сония–Анхальт", </w:t>
      </w:r>
    </w:p>
    <w:p w:rsidR="00000000" w:rsidRDefault="00000000">
      <w:pPr>
        <w:pStyle w:val="SingleTxt"/>
        <w:tabs>
          <w:tab w:val="clear" w:pos="1267"/>
        </w:tabs>
        <w:ind w:left="1985" w:firstLine="12"/>
      </w:pPr>
      <w:r>
        <w:t>"Школа, гендерные вопросы, будущая профессиональная деятел</w:t>
      </w:r>
      <w:r>
        <w:t>ь</w:t>
      </w:r>
      <w:r>
        <w:t>ность – организация обучения с учетом гендерных аспектов как основа для планирования жизни в условиях равноправия и для обеспечения профессиональной ориентации", "Равные возможности для девочек и мальчиков в школах земли Сакс</w:t>
      </w:r>
      <w:r>
        <w:t>о</w:t>
      </w:r>
      <w:r>
        <w:t>ния–Анхальт"</w:t>
      </w:r>
    </w:p>
    <w:p w:rsidR="00000000" w:rsidRDefault="00000000">
      <w:pPr>
        <w:pStyle w:val="SingleTxt"/>
        <w:tabs>
          <w:tab w:val="clear" w:pos="1267"/>
          <w:tab w:val="clear" w:pos="1742"/>
          <w:tab w:val="left" w:pos="1985"/>
        </w:tabs>
        <w:ind w:left="1985" w:hanging="245"/>
      </w:pPr>
      <w:r>
        <w:t>-</w:t>
      </w:r>
      <w:r>
        <w:tab/>
        <w:t>Меры по разработке учебных материалов и выдаче свидетельств о п</w:t>
      </w:r>
      <w:r>
        <w:t>о</w:t>
      </w:r>
      <w:r>
        <w:t>лучении первоначальной подготовки, предназначенные для борьбы с традиционными предрассудками о роли мужчин и женщин (Саксония–Анхальт)</w:t>
      </w:r>
    </w:p>
    <w:p w:rsidR="00000000" w:rsidRDefault="00000000">
      <w:pPr>
        <w:pStyle w:val="SingleTxt"/>
        <w:tabs>
          <w:tab w:val="clear" w:pos="1267"/>
          <w:tab w:val="clear" w:pos="1742"/>
          <w:tab w:val="left" w:pos="1985"/>
        </w:tabs>
        <w:ind w:left="1985" w:hanging="245"/>
      </w:pPr>
      <w:r>
        <w:t>-</w:t>
      </w:r>
      <w:r>
        <w:tab/>
        <w:t>Начало осуществления проекта "Роль мужчин и женщин в качестве творческих работников в школах" (Саксония–Анхальт)</w:t>
      </w:r>
    </w:p>
    <w:p w:rsidR="00000000" w:rsidRDefault="00000000">
      <w:pPr>
        <w:pStyle w:val="SingleTxt"/>
        <w:tabs>
          <w:tab w:val="clear" w:pos="1267"/>
          <w:tab w:val="clear" w:pos="1742"/>
          <w:tab w:val="left" w:pos="1985"/>
        </w:tabs>
        <w:ind w:left="1985" w:hanging="245"/>
      </w:pPr>
      <w:r>
        <w:t>-</w:t>
      </w:r>
      <w:r>
        <w:tab/>
        <w:t>Ежегодное присуждение премии правительства земли за оказание с</w:t>
      </w:r>
      <w:r>
        <w:t>о</w:t>
      </w:r>
      <w:r>
        <w:t>действия усилиям по предоставлению равных возможностей девочкам и мальчикам в школах (Саксония–Анхальт)</w:t>
      </w:r>
    </w:p>
    <w:p w:rsidR="00000000" w:rsidRDefault="00000000">
      <w:pPr>
        <w:pStyle w:val="SingleTxt"/>
        <w:tabs>
          <w:tab w:val="clear" w:pos="1267"/>
          <w:tab w:val="clear" w:pos="1742"/>
          <w:tab w:val="left" w:pos="1985"/>
        </w:tabs>
        <w:ind w:left="1985" w:hanging="245"/>
      </w:pPr>
      <w:r>
        <w:t>-</w:t>
      </w:r>
      <w:r>
        <w:tab/>
        <w:t>Осуществление различных проектов в рамках инициативы "Работа в режиме "он-лайн" – т</w:t>
      </w:r>
      <w:r>
        <w:t>е</w:t>
      </w:r>
      <w:r>
        <w:t>перь очередь женщин" (Шлезвиг-Гольштейн)</w:t>
      </w:r>
    </w:p>
    <w:p w:rsidR="00000000" w:rsidRDefault="00000000">
      <w:pPr>
        <w:pStyle w:val="SingleTxt"/>
        <w:tabs>
          <w:tab w:val="clear" w:pos="1267"/>
          <w:tab w:val="clear" w:pos="1742"/>
          <w:tab w:val="left" w:pos="1985"/>
        </w:tabs>
        <w:ind w:left="1985" w:hanging="245"/>
      </w:pPr>
      <w:r>
        <w:t>-</w:t>
      </w:r>
      <w:r>
        <w:tab/>
        <w:t>Вспомогательное исследование по вопросам проведения недели по о</w:t>
      </w:r>
      <w:r>
        <w:t>р</w:t>
      </w:r>
      <w:r>
        <w:t>ганизации обучения учащихся-девушек работе с компьютерами (Шле</w:t>
      </w:r>
      <w:r>
        <w:t>з</w:t>
      </w:r>
      <w:r>
        <w:t>виг-Гольштейн)</w:t>
      </w:r>
    </w:p>
    <w:p w:rsidR="00000000" w:rsidRDefault="00000000">
      <w:pPr>
        <w:pStyle w:val="SingleTxt"/>
        <w:tabs>
          <w:tab w:val="clear" w:pos="1267"/>
          <w:tab w:val="clear" w:pos="1742"/>
          <w:tab w:val="left" w:pos="1985"/>
        </w:tabs>
        <w:ind w:left="1985" w:hanging="245"/>
      </w:pPr>
      <w:r>
        <w:t>-</w:t>
      </w:r>
      <w:r>
        <w:tab/>
        <w:t>Мероприятия по информированию девушек о возможностях профе</w:t>
      </w:r>
      <w:r>
        <w:t>с</w:t>
      </w:r>
      <w:r>
        <w:t>сиональной деятельности в сфере информационных технологий (Шле</w:t>
      </w:r>
      <w:r>
        <w:t>з</w:t>
      </w:r>
      <w:r>
        <w:t>виг-Гольштейн)</w:t>
      </w:r>
    </w:p>
    <w:p w:rsidR="00000000" w:rsidRDefault="00000000">
      <w:pPr>
        <w:pStyle w:val="SingleTxt"/>
        <w:tabs>
          <w:tab w:val="clear" w:pos="1267"/>
          <w:tab w:val="clear" w:pos="1742"/>
          <w:tab w:val="left" w:pos="1985"/>
        </w:tabs>
        <w:ind w:left="1985" w:hanging="245"/>
      </w:pPr>
      <w:r>
        <w:t>-</w:t>
      </w:r>
      <w:r>
        <w:tab/>
        <w:t>Серия мероприятий по организации в школах Тюрингии дальнейшей подготовки "опекунов" (в соответствии с принятым в Тюрингии Зак</w:t>
      </w:r>
      <w:r>
        <w:t>о</w:t>
      </w:r>
      <w:r>
        <w:t>ном о равенстве (</w:t>
      </w:r>
      <w:r>
        <w:rPr>
          <w:lang w:val="en-US"/>
        </w:rPr>
        <w:t>ThurGleichG</w:t>
      </w:r>
      <w:r>
        <w:t>)) в целях распространения информации о принципе р</w:t>
      </w:r>
      <w:r>
        <w:t>а</w:t>
      </w:r>
      <w:r>
        <w:t>венства и его осуществлении в ходе обучения (Тюрингия)</w:t>
      </w:r>
    </w:p>
    <w:p w:rsidR="00000000" w:rsidRDefault="00000000">
      <w:pPr>
        <w:pStyle w:val="SingleTxt"/>
        <w:tabs>
          <w:tab w:val="clear" w:pos="1267"/>
          <w:tab w:val="clear" w:pos="1742"/>
          <w:tab w:val="left" w:pos="1985"/>
        </w:tabs>
        <w:ind w:left="1985" w:hanging="245"/>
      </w:pPr>
      <w:r>
        <w:t>-</w:t>
      </w:r>
      <w:r>
        <w:tab/>
        <w:t>Включение "аспектов равенства" в перечень критериев, используемых при утверждении школьных учебников (Тюрингия)</w:t>
      </w:r>
    </w:p>
    <w:p w:rsidR="00000000" w:rsidRDefault="00000000">
      <w:pPr>
        <w:pStyle w:val="SingleTxt"/>
        <w:tabs>
          <w:tab w:val="clear" w:pos="1267"/>
          <w:tab w:val="clear" w:pos="1742"/>
          <w:tab w:val="left" w:pos="1985"/>
        </w:tabs>
        <w:ind w:left="1985" w:hanging="245"/>
      </w:pPr>
      <w:r>
        <w:t>-</w:t>
      </w:r>
      <w:r>
        <w:tab/>
        <w:t>Проект по профессиональной ориентации девушек в целях получения ими коммерческих и технических специальностей, а также проведение научно-технических исследований: календарь "Возможности профе</w:t>
      </w:r>
      <w:r>
        <w:t>с</w:t>
      </w:r>
      <w:r>
        <w:t>сиональной деятельности для девушек" (издается с 1999 года, в н</w:t>
      </w:r>
      <w:r>
        <w:t>а</w:t>
      </w:r>
      <w:r>
        <w:t>стоящее время гот</w:t>
      </w:r>
      <w:r>
        <w:t>о</w:t>
      </w:r>
      <w:r>
        <w:t>вится его третье издание) (Тюрингия)</w:t>
      </w:r>
    </w:p>
    <w:p w:rsidR="00000000" w:rsidRDefault="00000000">
      <w:pPr>
        <w:pStyle w:val="SingleTxt"/>
        <w:tabs>
          <w:tab w:val="clear" w:pos="1267"/>
          <w:tab w:val="clear" w:pos="1742"/>
          <w:tab w:val="left" w:pos="1985"/>
        </w:tabs>
        <w:ind w:left="1985" w:hanging="245"/>
      </w:pPr>
      <w:r>
        <w:t>-</w:t>
      </w:r>
      <w:r>
        <w:tab/>
        <w:t>Ярмарка "Женщины и бизнес – вместе больше шансов на успех": орг</w:t>
      </w:r>
      <w:r>
        <w:t>а</w:t>
      </w:r>
      <w:r>
        <w:t>низация дня по информированию учащихся о различных профессиях (2000 год) (Тюрингия)</w:t>
      </w:r>
    </w:p>
    <w:p w:rsidR="00000000" w:rsidRDefault="00000000">
      <w:pPr>
        <w:pStyle w:val="H4"/>
      </w:pPr>
      <w:bookmarkStart w:id="845" w:name="_Toc44113878"/>
      <w:bookmarkStart w:id="846" w:name="_Toc44114387"/>
      <w:bookmarkStart w:id="847" w:name="_Toc44116069"/>
      <w:r>
        <w:rPr>
          <w:lang w:val="en-US"/>
        </w:rPr>
        <w:t>b</w:t>
      </w:r>
      <w:r>
        <w:t>)</w:t>
      </w:r>
      <w:r>
        <w:tab/>
        <w:t>Положение женщин на работе, повышение их профессиональной квалификации</w:t>
      </w:r>
      <w:bookmarkEnd w:id="845"/>
      <w:bookmarkEnd w:id="846"/>
      <w:bookmarkEnd w:id="847"/>
    </w:p>
    <w:p w:rsidR="00000000" w:rsidRDefault="00000000">
      <w:pPr>
        <w:pStyle w:val="SingleTxt"/>
        <w:tabs>
          <w:tab w:val="clear" w:pos="1267"/>
          <w:tab w:val="clear" w:pos="1742"/>
          <w:tab w:val="left" w:pos="1985"/>
        </w:tabs>
        <w:ind w:left="1985" w:hanging="245"/>
      </w:pPr>
      <w:r>
        <w:t>-</w:t>
      </w:r>
      <w:r>
        <w:tab/>
        <w:t>Регулярное представление докладов о ходе выполнения и степени э</w:t>
      </w:r>
      <w:r>
        <w:t>ф</w:t>
      </w:r>
      <w:r>
        <w:t>фективности принятых правительствами земель указов о равенстве и постановлений об улучшении положения женщин с уделением особого внимание тенденциям в области занятости женщин в администрати</w:t>
      </w:r>
      <w:r>
        <w:t>в</w:t>
      </w:r>
      <w:r>
        <w:t>ных органах земель (Берлин, Бранденбург, Гамбург, Гессен)</w:t>
      </w:r>
    </w:p>
    <w:p w:rsidR="00000000" w:rsidRDefault="00000000">
      <w:pPr>
        <w:pStyle w:val="SingleTxt"/>
        <w:tabs>
          <w:tab w:val="clear" w:pos="1267"/>
          <w:tab w:val="clear" w:pos="1742"/>
          <w:tab w:val="left" w:pos="1985"/>
        </w:tabs>
        <w:ind w:left="1985" w:hanging="245"/>
      </w:pPr>
      <w:r>
        <w:t>-</w:t>
      </w:r>
      <w:r>
        <w:tab/>
        <w:t>Проведение конкурса под девизом "Компании, обеспечивающие для женщин благоприятные условия для работы " (Бранденбург, Бремен, Северный Рейн-Вестфалия, Саксония-Анхальт, Тюрингия)</w:t>
      </w:r>
    </w:p>
    <w:p w:rsidR="00000000" w:rsidRDefault="00000000">
      <w:pPr>
        <w:pStyle w:val="SingleTxt"/>
        <w:tabs>
          <w:tab w:val="clear" w:pos="1267"/>
          <w:tab w:val="clear" w:pos="1742"/>
          <w:tab w:val="left" w:pos="1985"/>
        </w:tabs>
        <w:ind w:left="1985" w:hanging="245"/>
      </w:pPr>
      <w:r>
        <w:t>-</w:t>
      </w:r>
      <w:r>
        <w:tab/>
        <w:t>Оказание содействия деятельности консультативным бюро по вопросам трудовой деятельности женщин (Баден-Вюртемберг, Бранденбург, Ге</w:t>
      </w:r>
      <w:r>
        <w:t>с</w:t>
      </w:r>
      <w:r>
        <w:t>сен, Саар, Саксония-Анхальт, Шле</w:t>
      </w:r>
      <w:r>
        <w:t>з</w:t>
      </w:r>
      <w:r>
        <w:t>виг-Гольштейн)</w:t>
      </w:r>
    </w:p>
    <w:p w:rsidR="00000000" w:rsidRDefault="00000000">
      <w:pPr>
        <w:pStyle w:val="SingleTxt"/>
        <w:tabs>
          <w:tab w:val="clear" w:pos="1267"/>
          <w:tab w:val="clear" w:pos="1742"/>
          <w:tab w:val="left" w:pos="1985"/>
        </w:tabs>
        <w:ind w:left="1985" w:hanging="245"/>
      </w:pPr>
      <w:r>
        <w:t>-</w:t>
      </w:r>
      <w:r>
        <w:tab/>
        <w:t>Проведение форума по вопросам финансирования женщин-предпринимателей, цель которого заключается в информировании женщин, начинающих или уже продолжающих заниматься предприн</w:t>
      </w:r>
      <w:r>
        <w:t>и</w:t>
      </w:r>
      <w:r>
        <w:t>мательской деятельностью, предоставлении соответствующих сведений и консультаций и обеспечении возможностей по созданию сетей для новых или уже работающих предпринимателей из числа женщин (Б</w:t>
      </w:r>
      <w:r>
        <w:t>а</w:t>
      </w:r>
      <w:r>
        <w:t>ден-Вюртемберг, Берлин, Бремен, Мекле</w:t>
      </w:r>
      <w:r>
        <w:t>н</w:t>
      </w:r>
      <w:r>
        <w:t>бург-Западная Померания)</w:t>
      </w:r>
    </w:p>
    <w:p w:rsidR="00000000" w:rsidRDefault="00000000">
      <w:pPr>
        <w:pStyle w:val="SingleTxt"/>
        <w:tabs>
          <w:tab w:val="clear" w:pos="1267"/>
          <w:tab w:val="clear" w:pos="1742"/>
          <w:tab w:val="left" w:pos="1985"/>
        </w:tabs>
        <w:ind w:left="1985" w:hanging="245"/>
      </w:pPr>
      <w:r>
        <w:t>-</w:t>
      </w:r>
      <w:r>
        <w:tab/>
        <w:t>Женский форум по вопросам информационных технологий – предо</w:t>
      </w:r>
      <w:r>
        <w:t>с</w:t>
      </w:r>
      <w:r>
        <w:t>тавление информации о возможностях в области профессиональной деятельности женщин в секторе информационных технол</w:t>
      </w:r>
      <w:r>
        <w:t>о</w:t>
      </w:r>
      <w:r>
        <w:t>гий (Баден-Вюртемберг, Бранденбург)</w:t>
      </w:r>
    </w:p>
    <w:p w:rsidR="00000000" w:rsidRDefault="00000000">
      <w:pPr>
        <w:pStyle w:val="SingleTxt"/>
        <w:tabs>
          <w:tab w:val="clear" w:pos="1267"/>
          <w:tab w:val="clear" w:pos="1742"/>
          <w:tab w:val="left" w:pos="1985"/>
        </w:tabs>
        <w:ind w:left="1985" w:hanging="245"/>
      </w:pPr>
      <w:r>
        <w:t>-</w:t>
      </w:r>
      <w:r>
        <w:tab/>
        <w:t>Деятельность уполномоченных по делам женщин, связанная с обесп</w:t>
      </w:r>
      <w:r>
        <w:t>е</w:t>
      </w:r>
      <w:r>
        <w:t>чением применения принятого землями Закона о равноправии (Саар, Шле</w:t>
      </w:r>
      <w:r>
        <w:t>з</w:t>
      </w:r>
      <w:r>
        <w:t>виг-Гольштейн)</w:t>
      </w:r>
    </w:p>
    <w:p w:rsidR="00000000" w:rsidRDefault="00000000">
      <w:pPr>
        <w:pStyle w:val="SingleTxt"/>
        <w:tabs>
          <w:tab w:val="clear" w:pos="1267"/>
          <w:tab w:val="clear" w:pos="1742"/>
          <w:tab w:val="left" w:pos="1985"/>
        </w:tabs>
        <w:ind w:left="1985" w:hanging="245"/>
      </w:pPr>
      <w:r>
        <w:t>-</w:t>
      </w:r>
      <w:r>
        <w:tab/>
        <w:t>Экспериментальный проект "Неполный рабочий день для руководит</w:t>
      </w:r>
      <w:r>
        <w:t>е</w:t>
      </w:r>
      <w:r>
        <w:t>лей" (Рейнланд-Пфальц, Саар)</w:t>
      </w:r>
    </w:p>
    <w:p w:rsidR="00000000" w:rsidRDefault="00000000">
      <w:pPr>
        <w:pStyle w:val="SingleTxt"/>
        <w:tabs>
          <w:tab w:val="clear" w:pos="1267"/>
          <w:tab w:val="clear" w:pos="1742"/>
          <w:tab w:val="left" w:pos="1985"/>
        </w:tabs>
        <w:ind w:left="1985" w:hanging="245"/>
      </w:pPr>
      <w:r>
        <w:t>-</w:t>
      </w:r>
      <w:r>
        <w:tab/>
        <w:t>Конкурс земель 2000-2002 годов "Равные возможности для женщин и мужчин, работающих в компаниях" (Баден-Вюртемберг)</w:t>
      </w:r>
    </w:p>
    <w:p w:rsidR="00000000" w:rsidRDefault="00000000">
      <w:pPr>
        <w:pStyle w:val="SingleTxt"/>
        <w:tabs>
          <w:tab w:val="clear" w:pos="1267"/>
          <w:tab w:val="clear" w:pos="1742"/>
          <w:tab w:val="left" w:pos="1985"/>
        </w:tabs>
        <w:ind w:left="1985" w:hanging="245"/>
      </w:pPr>
      <w:r>
        <w:t>-</w:t>
      </w:r>
      <w:r>
        <w:tab/>
        <w:t>Женский форум "Женщины, работающие в компаниях – возможности для применения в эк</w:t>
      </w:r>
      <w:r>
        <w:t>о</w:t>
      </w:r>
      <w:r>
        <w:t>номике новаторских подходов" (Баден-Вюртемберг)</w:t>
      </w:r>
    </w:p>
    <w:p w:rsidR="00000000" w:rsidRDefault="00000000">
      <w:pPr>
        <w:pStyle w:val="SingleTxt"/>
        <w:tabs>
          <w:tab w:val="clear" w:pos="1267"/>
          <w:tab w:val="clear" w:pos="1742"/>
          <w:tab w:val="left" w:pos="1985"/>
        </w:tabs>
        <w:ind w:left="1985" w:hanging="245"/>
      </w:pPr>
      <w:r>
        <w:t>-</w:t>
      </w:r>
      <w:r>
        <w:tab/>
        <w:t>Брошюра, озаглавленная "Женщины – специалисты в области мульт</w:t>
      </w:r>
      <w:r>
        <w:t>и</w:t>
      </w:r>
      <w:r>
        <w:t>медийных и информац</w:t>
      </w:r>
      <w:r>
        <w:t>и</w:t>
      </w:r>
      <w:r>
        <w:t>онных технологий" (Баден-Вюртемберг)</w:t>
      </w:r>
    </w:p>
    <w:p w:rsidR="00000000" w:rsidRDefault="00000000">
      <w:pPr>
        <w:pStyle w:val="SingleTxt"/>
        <w:tabs>
          <w:tab w:val="clear" w:pos="1267"/>
          <w:tab w:val="clear" w:pos="1742"/>
          <w:tab w:val="left" w:pos="1985"/>
        </w:tabs>
        <w:ind w:left="1985" w:hanging="245"/>
      </w:pPr>
      <w:r>
        <w:t>-</w:t>
      </w:r>
      <w:r>
        <w:tab/>
        <w:t>Конкретные предложения по оказанию женщинам содействия в рамках осуществления инициативы для начинающих предпринимателей, ра</w:t>
      </w:r>
      <w:r>
        <w:t>з</w:t>
      </w:r>
      <w:r>
        <w:t>раб</w:t>
      </w:r>
      <w:r>
        <w:t>о</w:t>
      </w:r>
      <w:r>
        <w:t>танной в Баден-Вюртемберге</w:t>
      </w:r>
    </w:p>
    <w:p w:rsidR="00000000" w:rsidRDefault="00000000">
      <w:pPr>
        <w:pStyle w:val="SingleTxt"/>
        <w:tabs>
          <w:tab w:val="clear" w:pos="1267"/>
          <w:tab w:val="clear" w:pos="1742"/>
          <w:tab w:val="left" w:pos="1985"/>
        </w:tabs>
        <w:ind w:left="1985" w:hanging="245"/>
      </w:pPr>
      <w:r>
        <w:t>-</w:t>
      </w:r>
      <w:r>
        <w:tab/>
        <w:t>Форум женщин-предпринимателей (Баден-Вюртемберг)</w:t>
      </w:r>
    </w:p>
    <w:p w:rsidR="00000000" w:rsidRDefault="00000000">
      <w:pPr>
        <w:pStyle w:val="SingleTxt"/>
        <w:tabs>
          <w:tab w:val="clear" w:pos="1267"/>
          <w:tab w:val="clear" w:pos="1742"/>
          <w:tab w:val="left" w:pos="1985"/>
        </w:tabs>
        <w:ind w:left="1985" w:hanging="245"/>
      </w:pPr>
      <w:r>
        <w:t>-</w:t>
      </w:r>
      <w:r>
        <w:tab/>
        <w:t>Исследование проблем гендерного характера, связанных с преемстве</w:t>
      </w:r>
      <w:r>
        <w:t>н</w:t>
      </w:r>
      <w:r>
        <w:t>ностью на малых и средних предприятиях (программа стимулирования исследования в области женской проблематики) (Баден-Вюртемберг)</w:t>
      </w:r>
    </w:p>
    <w:p w:rsidR="00000000" w:rsidRDefault="00000000">
      <w:pPr>
        <w:pStyle w:val="SingleTxt"/>
        <w:tabs>
          <w:tab w:val="clear" w:pos="1267"/>
          <w:tab w:val="clear" w:pos="1742"/>
          <w:tab w:val="left" w:pos="1985"/>
        </w:tabs>
        <w:ind w:left="1985" w:hanging="245"/>
      </w:pPr>
      <w:r>
        <w:t>-</w:t>
      </w:r>
      <w:r>
        <w:tab/>
        <w:t>Инициатива по введению института наставничества, предпринятая уполномоченным по делам женщин правительства земли в целях п</w:t>
      </w:r>
      <w:r>
        <w:t>о</w:t>
      </w:r>
      <w:r>
        <w:t>вышения уровня представленности женщин на руководящих постах, и проект "Оказание содействия продвижению женщин по службе в ра</w:t>
      </w:r>
      <w:r>
        <w:t>м</w:t>
      </w:r>
      <w:r>
        <w:t>ках института наставнич</w:t>
      </w:r>
      <w:r>
        <w:t>е</w:t>
      </w:r>
      <w:r>
        <w:t>ства» (Баден-Вюртемберг)</w:t>
      </w:r>
    </w:p>
    <w:p w:rsidR="00000000" w:rsidRDefault="00000000">
      <w:pPr>
        <w:pStyle w:val="SingleTxt"/>
        <w:tabs>
          <w:tab w:val="clear" w:pos="1267"/>
          <w:tab w:val="clear" w:pos="1742"/>
          <w:tab w:val="left" w:pos="1985"/>
        </w:tabs>
        <w:ind w:left="1985" w:hanging="245"/>
      </w:pPr>
      <w:r>
        <w:t>-</w:t>
      </w:r>
      <w:r>
        <w:tab/>
        <w:t>Рабочее пособие по применению статей 16-19 Баварского указа о ра</w:t>
      </w:r>
      <w:r>
        <w:t>в</w:t>
      </w:r>
      <w:r>
        <w:t>ноправии</w:t>
      </w:r>
    </w:p>
    <w:p w:rsidR="00000000" w:rsidRDefault="00000000">
      <w:pPr>
        <w:pStyle w:val="SingleTxt"/>
        <w:tabs>
          <w:tab w:val="clear" w:pos="1267"/>
          <w:tab w:val="clear" w:pos="1742"/>
          <w:tab w:val="left" w:pos="1985"/>
        </w:tabs>
        <w:ind w:left="1985" w:hanging="245"/>
      </w:pPr>
      <w:r>
        <w:t>-</w:t>
      </w:r>
      <w:r>
        <w:tab/>
        <w:t>Практическое использование накопленных на основе собственного опыта профессиональных знаний специалистов со стажем и упра</w:t>
      </w:r>
      <w:r>
        <w:t>в</w:t>
      </w:r>
      <w:r>
        <w:t>ляющих из числа женщин в рамках сети по предоставлению экспер</w:t>
      </w:r>
      <w:r>
        <w:t>т</w:t>
      </w:r>
      <w:r>
        <w:t xml:space="preserve">ных консультаций (Берлин), </w:t>
      </w:r>
    </w:p>
    <w:p w:rsidR="00000000" w:rsidRDefault="00000000">
      <w:pPr>
        <w:pStyle w:val="SingleTxt"/>
        <w:tabs>
          <w:tab w:val="clear" w:pos="1267"/>
          <w:tab w:val="clear" w:pos="1742"/>
          <w:tab w:val="left" w:pos="1985"/>
        </w:tabs>
        <w:ind w:left="1985" w:hanging="245"/>
      </w:pPr>
      <w:r>
        <w:t>-</w:t>
      </w:r>
      <w:r>
        <w:tab/>
        <w:t>Осуществление мер по созданию новых возможностей для професси</w:t>
      </w:r>
      <w:r>
        <w:t>о</w:t>
      </w:r>
      <w:r>
        <w:t>нальной деятельности и занятости, в частности в области новых техн</w:t>
      </w:r>
      <w:r>
        <w:t>о</w:t>
      </w:r>
      <w:r>
        <w:t>логий, в целях диверсификации перечня доступных профессий (Бе</w:t>
      </w:r>
      <w:r>
        <w:t>р</w:t>
      </w:r>
      <w:r>
        <w:t>лин)</w:t>
      </w:r>
    </w:p>
    <w:p w:rsidR="00000000" w:rsidRDefault="00000000">
      <w:pPr>
        <w:pStyle w:val="SingleTxt"/>
        <w:tabs>
          <w:tab w:val="clear" w:pos="1267"/>
          <w:tab w:val="clear" w:pos="1742"/>
          <w:tab w:val="left" w:pos="1985"/>
        </w:tabs>
        <w:ind w:left="1985" w:hanging="245"/>
      </w:pPr>
      <w:r>
        <w:t>-</w:t>
      </w:r>
      <w:r>
        <w:tab/>
        <w:t>Повышение конкурентоспособности женщин на рынке труда путем принятия мер по подготовке работников перспективных и новаторских специальностей с учетом характера структурных изменений в эконом</w:t>
      </w:r>
      <w:r>
        <w:t>и</w:t>
      </w:r>
      <w:r>
        <w:t>ке (Берлин)</w:t>
      </w:r>
    </w:p>
    <w:p w:rsidR="00000000" w:rsidRDefault="00000000">
      <w:pPr>
        <w:pStyle w:val="SingleTxt"/>
        <w:tabs>
          <w:tab w:val="clear" w:pos="1267"/>
          <w:tab w:val="clear" w:pos="1742"/>
          <w:tab w:val="left" w:pos="1985"/>
        </w:tabs>
        <w:ind w:left="1985" w:hanging="245"/>
      </w:pPr>
      <w:r>
        <w:t>-</w:t>
      </w:r>
      <w:r>
        <w:tab/>
        <w:t>Учреждение "Консультативного гендерного совета по оказанию соде</w:t>
      </w:r>
      <w:r>
        <w:t>й</w:t>
      </w:r>
      <w:r>
        <w:t>ствия усилиям Европейского структурного фонда, предпринимаемым в земле Берлин" в целях организации дискуссионного форума с участием НПО, административных органов и лиц, ответственных за проведение политики на рынке труда, а также представителей научных кругов (Берлин)</w:t>
      </w:r>
    </w:p>
    <w:p w:rsidR="00000000" w:rsidRDefault="00000000">
      <w:pPr>
        <w:pStyle w:val="SingleTxt"/>
        <w:tabs>
          <w:tab w:val="clear" w:pos="1267"/>
          <w:tab w:val="clear" w:pos="1742"/>
          <w:tab w:val="left" w:pos="1985"/>
        </w:tabs>
        <w:ind w:left="1985" w:hanging="245"/>
      </w:pPr>
      <w:r>
        <w:t>-</w:t>
      </w:r>
      <w:r>
        <w:tab/>
        <w:t>Внесение изменений в Закон о равноправии, принятый землей Берлин (</w:t>
      </w:r>
      <w:r>
        <w:rPr>
          <w:lang w:val="en-US"/>
        </w:rPr>
        <w:t>LGG</w:t>
      </w:r>
      <w:r>
        <w:t>) в 2001 году. Опубликование Указа о подготовке статистической информации и проведении анализов структуры занятости и порядке н</w:t>
      </w:r>
      <w:r>
        <w:t>а</w:t>
      </w:r>
      <w:r>
        <w:t>значения в соответствующие органы в целях составления доклада о х</w:t>
      </w:r>
      <w:r>
        <w:t>о</w:t>
      </w:r>
      <w:r>
        <w:t>де осуществления принятого землей Закона о равноправии (указ о представлении докладов, содержащих информацию о положении в о</w:t>
      </w:r>
      <w:r>
        <w:t>б</w:t>
      </w:r>
      <w:r>
        <w:t>ласти обеспечения равнопр</w:t>
      </w:r>
      <w:r>
        <w:t>а</w:t>
      </w:r>
      <w:r>
        <w:t xml:space="preserve">вия – </w:t>
      </w:r>
      <w:r>
        <w:rPr>
          <w:lang w:val="en-US"/>
        </w:rPr>
        <w:t>GleiBV</w:t>
      </w:r>
      <w:r>
        <w:t>) (Берлин)</w:t>
      </w:r>
    </w:p>
    <w:p w:rsidR="00000000" w:rsidRDefault="00000000">
      <w:pPr>
        <w:pStyle w:val="SingleTxt"/>
        <w:tabs>
          <w:tab w:val="clear" w:pos="1267"/>
          <w:tab w:val="clear" w:pos="1742"/>
          <w:tab w:val="left" w:pos="1985"/>
        </w:tabs>
        <w:ind w:left="1985" w:hanging="245"/>
      </w:pPr>
      <w:r>
        <w:t>-</w:t>
      </w:r>
      <w:r>
        <w:tab/>
        <w:t>Создание сетей экспериментальных проектов, осуществляемых в инт</w:t>
      </w:r>
      <w:r>
        <w:t>е</w:t>
      </w:r>
      <w:r>
        <w:t>ресах женщин, предоставление консультаций по выбору профессии и организация информационного центра "Женщины и ремесла" (Берлин)</w:t>
      </w:r>
    </w:p>
    <w:p w:rsidR="00000000" w:rsidRDefault="00000000">
      <w:pPr>
        <w:pStyle w:val="SingleTxt"/>
        <w:tabs>
          <w:tab w:val="clear" w:pos="1267"/>
          <w:tab w:val="clear" w:pos="1742"/>
          <w:tab w:val="left" w:pos="1985"/>
        </w:tabs>
        <w:ind w:left="1985" w:hanging="245"/>
      </w:pPr>
      <w:r>
        <w:t>-</w:t>
      </w:r>
      <w:r>
        <w:tab/>
        <w:t>Публикация брошюры для малых и средних предприятий "Женщины – залог успеха в конкуренции и будущей деятельности. Практическое осуществление в Берлине закона об улучшении положения женщин" (Берлин)</w:t>
      </w:r>
    </w:p>
    <w:p w:rsidR="00000000" w:rsidRDefault="00000000">
      <w:pPr>
        <w:pStyle w:val="SingleTxt"/>
        <w:tabs>
          <w:tab w:val="clear" w:pos="1267"/>
          <w:tab w:val="clear" w:pos="1742"/>
          <w:tab w:val="left" w:pos="1985"/>
        </w:tabs>
        <w:ind w:left="1985" w:hanging="245"/>
      </w:pPr>
      <w:r>
        <w:t>-</w:t>
      </w:r>
      <w:r>
        <w:tab/>
        <w:t>Заседание межведомственного комитета по вопросам равноправия мужчин и женщин (ИМА) под председательством министерства труда, социальных дел, здравоохранения и по делам женщин. Участники: уполномоченные по вопросам равноправия, представляющие высшие органы власти земель, и другие заинтересованные уполномоченные по вопросам равноправия. Главная тема заседания: осуществление прин</w:t>
      </w:r>
      <w:r>
        <w:t>я</w:t>
      </w:r>
      <w:r>
        <w:t>того землями Закона о равноправии в государственных администрати</w:t>
      </w:r>
      <w:r>
        <w:t>в</w:t>
      </w:r>
      <w:r>
        <w:t>ных органах земель (Бранденбург)</w:t>
      </w:r>
    </w:p>
    <w:p w:rsidR="00000000" w:rsidRDefault="00000000">
      <w:pPr>
        <w:pStyle w:val="SingleTxt"/>
        <w:tabs>
          <w:tab w:val="clear" w:pos="1267"/>
          <w:tab w:val="clear" w:pos="1742"/>
          <w:tab w:val="left" w:pos="1985"/>
        </w:tabs>
        <w:ind w:left="1985" w:hanging="245"/>
      </w:pPr>
      <w:r>
        <w:t>-</w:t>
      </w:r>
      <w:r>
        <w:tab/>
        <w:t>Конференция специалистов по теме "Пятилетняя годовщина с даты принятия землей Бранденбург Закона о равноправии" и соответству</w:t>
      </w:r>
      <w:r>
        <w:t>ю</w:t>
      </w:r>
      <w:r>
        <w:t>щая документация (дата публикации – декабрь 1999 года) (Бранде</w:t>
      </w:r>
      <w:r>
        <w:t>н</w:t>
      </w:r>
      <w:r>
        <w:t>бург)</w:t>
      </w:r>
    </w:p>
    <w:p w:rsidR="00000000" w:rsidRDefault="00000000">
      <w:pPr>
        <w:pStyle w:val="SingleTxt"/>
        <w:tabs>
          <w:tab w:val="clear" w:pos="1267"/>
          <w:tab w:val="clear" w:pos="1742"/>
          <w:tab w:val="left" w:pos="1985"/>
        </w:tabs>
        <w:ind w:left="1985" w:hanging="245"/>
      </w:pPr>
      <w:r>
        <w:t>-</w:t>
      </w:r>
      <w:r>
        <w:tab/>
        <w:t>Изучение опыта, накопленного в области деятельности по улучшению положения женщин на отдельных предприятиях земли Бранденбург</w:t>
      </w:r>
      <w:r>
        <w:rPr>
          <w:lang w:val="en-US"/>
        </w:rPr>
        <w:t> </w:t>
      </w:r>
      <w:r>
        <w:t>– брошюра, озаглавленная "Поощрение проведения тендеров, учит</w:t>
      </w:r>
      <w:r>
        <w:t>ы</w:t>
      </w:r>
      <w:r>
        <w:t>вающих интересы женщин, на которых предоставление государстве</w:t>
      </w:r>
      <w:r>
        <w:t>н</w:t>
      </w:r>
      <w:r>
        <w:t>ных контрактов увязывается с необходимостью обеспечения занятости женщин" (публикация министерства труда, социальных дел, здрав</w:t>
      </w:r>
      <w:r>
        <w:t>о</w:t>
      </w:r>
      <w:r>
        <w:t>охранения и по делам женщин земли Бранденбург, 2001 год) (Бранде</w:t>
      </w:r>
      <w:r>
        <w:t>н</w:t>
      </w:r>
      <w:r>
        <w:t>бург)</w:t>
      </w:r>
    </w:p>
    <w:p w:rsidR="00000000" w:rsidRDefault="00000000">
      <w:pPr>
        <w:pStyle w:val="SingleTxt"/>
        <w:tabs>
          <w:tab w:val="clear" w:pos="1267"/>
          <w:tab w:val="clear" w:pos="1742"/>
          <w:tab w:val="left" w:pos="1985"/>
        </w:tabs>
        <w:ind w:left="1985" w:hanging="245"/>
      </w:pPr>
      <w:r>
        <w:t>-</w:t>
      </w:r>
      <w:r>
        <w:tab/>
        <w:t>Институт наставничества – "Инициатива земли Бранденбург – залог успеха – увеличение числа женщин на руководящих должностях" (Бранде</w:t>
      </w:r>
      <w:r>
        <w:t>н</w:t>
      </w:r>
      <w:r>
        <w:t>бург)</w:t>
      </w:r>
    </w:p>
    <w:p w:rsidR="00000000" w:rsidRDefault="00000000">
      <w:pPr>
        <w:pStyle w:val="SingleTxt"/>
        <w:tabs>
          <w:tab w:val="clear" w:pos="1267"/>
          <w:tab w:val="clear" w:pos="1742"/>
          <w:tab w:val="left" w:pos="1985"/>
        </w:tabs>
        <w:ind w:left="1985" w:hanging="245"/>
      </w:pPr>
      <w:r>
        <w:t>-</w:t>
      </w:r>
      <w:r>
        <w:tab/>
        <w:t>Технико-экономическое обоснование: учет гендерной проблематики при проведении стру</w:t>
      </w:r>
      <w:r>
        <w:t>к</w:t>
      </w:r>
      <w:r>
        <w:t>турной реформы в земле Бранденбург</w:t>
      </w:r>
    </w:p>
    <w:p w:rsidR="00000000" w:rsidRDefault="00000000">
      <w:pPr>
        <w:pStyle w:val="SingleTxt"/>
        <w:tabs>
          <w:tab w:val="clear" w:pos="1267"/>
          <w:tab w:val="clear" w:pos="1742"/>
          <w:tab w:val="left" w:pos="1985"/>
        </w:tabs>
        <w:ind w:left="1985" w:hanging="245"/>
      </w:pPr>
      <w:r>
        <w:t>-</w:t>
      </w:r>
      <w:r>
        <w:tab/>
        <w:t>Экспериментальные проекты агентств по предоставлению услуг "Кирл" и "Мобз" (Бремен)</w:t>
      </w:r>
    </w:p>
    <w:p w:rsidR="00000000" w:rsidRDefault="00000000">
      <w:pPr>
        <w:pStyle w:val="SingleTxt"/>
        <w:tabs>
          <w:tab w:val="clear" w:pos="1267"/>
          <w:tab w:val="clear" w:pos="1742"/>
          <w:tab w:val="left" w:pos="1985"/>
        </w:tabs>
        <w:ind w:left="1985" w:hanging="245"/>
      </w:pPr>
      <w:r>
        <w:t>-</w:t>
      </w:r>
      <w:r>
        <w:tab/>
        <w:t>Создание консультативной сети по делам женщин (Бремен)</w:t>
      </w:r>
    </w:p>
    <w:p w:rsidR="00000000" w:rsidRDefault="00000000">
      <w:pPr>
        <w:pStyle w:val="SingleTxt"/>
        <w:tabs>
          <w:tab w:val="clear" w:pos="1267"/>
          <w:tab w:val="clear" w:pos="1742"/>
          <w:tab w:val="left" w:pos="1985"/>
        </w:tabs>
        <w:ind w:left="1985" w:hanging="245"/>
      </w:pPr>
      <w:r>
        <w:t>-</w:t>
      </w:r>
      <w:r>
        <w:tab/>
        <w:t>Учебный курс и серия семинаров по теме "Целенаправленная и эффе</w:t>
      </w:r>
      <w:r>
        <w:t>к</w:t>
      </w:r>
      <w:r>
        <w:t>тивная трудовая де</w:t>
      </w:r>
      <w:r>
        <w:t>я</w:t>
      </w:r>
      <w:r>
        <w:t>тельность женщин" (Бремен)</w:t>
      </w:r>
    </w:p>
    <w:p w:rsidR="00000000" w:rsidRDefault="00000000">
      <w:pPr>
        <w:pStyle w:val="SingleTxt"/>
        <w:tabs>
          <w:tab w:val="clear" w:pos="1267"/>
          <w:tab w:val="clear" w:pos="1742"/>
          <w:tab w:val="left" w:pos="1985"/>
        </w:tabs>
        <w:ind w:left="1985" w:hanging="245"/>
      </w:pPr>
      <w:r>
        <w:t>-</w:t>
      </w:r>
      <w:r>
        <w:tab/>
        <w:t>Интернет–курсы для женщин-бухгалтеров (Бремен)</w:t>
      </w:r>
    </w:p>
    <w:p w:rsidR="00000000" w:rsidRDefault="00000000">
      <w:pPr>
        <w:pStyle w:val="SingleTxt"/>
        <w:tabs>
          <w:tab w:val="clear" w:pos="1267"/>
          <w:tab w:val="clear" w:pos="1742"/>
          <w:tab w:val="left" w:pos="1985"/>
        </w:tabs>
        <w:ind w:left="1985" w:hanging="245"/>
      </w:pPr>
      <w:r>
        <w:t>-</w:t>
      </w:r>
      <w:r>
        <w:tab/>
        <w:t>Информационная брошюра о положении женщин на рынке труда (Бр</w:t>
      </w:r>
      <w:r>
        <w:t>е</w:t>
      </w:r>
      <w:r>
        <w:t>мен)</w:t>
      </w:r>
    </w:p>
    <w:p w:rsidR="00000000" w:rsidRDefault="00000000">
      <w:pPr>
        <w:pStyle w:val="SingleTxt"/>
        <w:tabs>
          <w:tab w:val="clear" w:pos="1267"/>
          <w:tab w:val="clear" w:pos="1742"/>
          <w:tab w:val="left" w:pos="1985"/>
        </w:tabs>
        <w:ind w:left="1985" w:hanging="245"/>
      </w:pPr>
      <w:r>
        <w:t>-</w:t>
      </w:r>
      <w:r>
        <w:tab/>
        <w:t>Информационная брошюра о занятости в течение неполного рабочего дня лиц предпенсионн</w:t>
      </w:r>
      <w:r>
        <w:t>о</w:t>
      </w:r>
      <w:r>
        <w:t>го возраста (Бремен)</w:t>
      </w:r>
    </w:p>
    <w:p w:rsidR="00000000" w:rsidRDefault="00000000">
      <w:pPr>
        <w:pStyle w:val="SingleTxt"/>
        <w:tabs>
          <w:tab w:val="clear" w:pos="1267"/>
          <w:tab w:val="clear" w:pos="1742"/>
          <w:tab w:val="left" w:pos="1985"/>
        </w:tabs>
        <w:ind w:left="1985" w:hanging="245"/>
      </w:pPr>
      <w:r>
        <w:t>-</w:t>
      </w:r>
      <w:r>
        <w:tab/>
      </w:r>
      <w:r>
        <w:rPr>
          <w:color w:val="0000FF"/>
          <w:u w:val="single"/>
          <w:lang w:val="en-US"/>
        </w:rPr>
        <w:t>Women</w:t>
      </w:r>
      <w:r>
        <w:rPr>
          <w:color w:val="0000FF"/>
          <w:u w:val="single"/>
        </w:rPr>
        <w:t>@</w:t>
      </w:r>
      <w:r>
        <w:rPr>
          <w:color w:val="0000FF"/>
          <w:u w:val="single"/>
          <w:lang w:val="en-US"/>
        </w:rPr>
        <w:t>work</w:t>
      </w:r>
      <w:r>
        <w:rPr>
          <w:color w:val="0000FF"/>
          <w:u w:val="single"/>
        </w:rPr>
        <w:t xml:space="preserve"> – </w:t>
      </w:r>
      <w:r>
        <w:t>форум и обмен контактной информацией о компаниях (Гамбург)</w:t>
      </w:r>
    </w:p>
    <w:p w:rsidR="00000000" w:rsidRDefault="00000000">
      <w:pPr>
        <w:pStyle w:val="SingleTxt"/>
        <w:tabs>
          <w:tab w:val="clear" w:pos="1267"/>
          <w:tab w:val="clear" w:pos="1742"/>
          <w:tab w:val="left" w:pos="1985"/>
        </w:tabs>
        <w:ind w:left="1985" w:hanging="245"/>
      </w:pPr>
      <w:r>
        <w:t>-</w:t>
      </w:r>
      <w:r>
        <w:tab/>
        <w:t>"</w:t>
      </w:r>
      <w:r>
        <w:rPr>
          <w:lang w:val="en-US"/>
        </w:rPr>
        <w:t>Digitelle</w:t>
      </w:r>
      <w:r>
        <w:t> – новый Интернет-форум для женщин" (Гамбург)</w:t>
      </w:r>
    </w:p>
    <w:p w:rsidR="00000000" w:rsidRDefault="00000000">
      <w:pPr>
        <w:pStyle w:val="SingleTxt"/>
        <w:tabs>
          <w:tab w:val="clear" w:pos="1267"/>
          <w:tab w:val="clear" w:pos="1742"/>
          <w:tab w:val="left" w:pos="1985"/>
        </w:tabs>
        <w:ind w:left="1985" w:hanging="245"/>
      </w:pPr>
      <w:r>
        <w:t>-</w:t>
      </w:r>
      <w:r>
        <w:tab/>
        <w:t>Интернет-курсы для пожилых женщин, организованные в университете совместно с департ</w:t>
      </w:r>
      <w:r>
        <w:t>а</w:t>
      </w:r>
      <w:r>
        <w:t>ментом образования (Гамбург)</w:t>
      </w:r>
    </w:p>
    <w:p w:rsidR="00000000" w:rsidRDefault="00000000">
      <w:pPr>
        <w:pStyle w:val="SingleTxt"/>
        <w:tabs>
          <w:tab w:val="clear" w:pos="1267"/>
          <w:tab w:val="clear" w:pos="1742"/>
          <w:tab w:val="left" w:pos="1985"/>
        </w:tabs>
        <w:ind w:left="1985" w:hanging="245"/>
      </w:pPr>
      <w:r>
        <w:t>-</w:t>
      </w:r>
      <w:r>
        <w:tab/>
        <w:t>Исследования по теме "Женщины перспективных профессий – возмо</w:t>
      </w:r>
      <w:r>
        <w:t>ж</w:t>
      </w:r>
      <w:r>
        <w:t>ности, предоста</w:t>
      </w:r>
      <w:r>
        <w:t>в</w:t>
      </w:r>
      <w:r>
        <w:t>ляемые средствами мультимедиа" (2002 год) (Гамбург)</w:t>
      </w:r>
    </w:p>
    <w:p w:rsidR="00000000" w:rsidRDefault="00000000">
      <w:pPr>
        <w:pStyle w:val="SingleTxt"/>
        <w:tabs>
          <w:tab w:val="clear" w:pos="1267"/>
          <w:tab w:val="clear" w:pos="1742"/>
          <w:tab w:val="left" w:pos="1985"/>
        </w:tabs>
        <w:ind w:left="1985" w:hanging="245"/>
      </w:pPr>
      <w:r>
        <w:t>-</w:t>
      </w:r>
      <w:r>
        <w:tab/>
        <w:t>Исследования по теме "Женщины в качестве начинающих предприн</w:t>
      </w:r>
      <w:r>
        <w:t>и</w:t>
      </w:r>
      <w:r>
        <w:t>мателей" (Гамбург)</w:t>
      </w:r>
    </w:p>
    <w:p w:rsidR="00000000" w:rsidRDefault="00000000">
      <w:pPr>
        <w:pStyle w:val="SingleTxt"/>
        <w:tabs>
          <w:tab w:val="clear" w:pos="1267"/>
          <w:tab w:val="clear" w:pos="1742"/>
          <w:tab w:val="left" w:pos="1985"/>
        </w:tabs>
        <w:ind w:left="1985" w:hanging="245"/>
      </w:pPr>
      <w:r>
        <w:t>-</w:t>
      </w:r>
      <w:r>
        <w:tab/>
        <w:t>Брошюра "Перерыв в трудовой деятельности и реинтеграция" (Ге</w:t>
      </w:r>
      <w:r>
        <w:t>с</w:t>
      </w:r>
      <w:r>
        <w:t>сен)</w:t>
      </w:r>
    </w:p>
    <w:p w:rsidR="00000000" w:rsidRDefault="00000000">
      <w:pPr>
        <w:pStyle w:val="SingleTxt"/>
        <w:tabs>
          <w:tab w:val="clear" w:pos="1267"/>
          <w:tab w:val="clear" w:pos="1742"/>
          <w:tab w:val="left" w:pos="1985"/>
        </w:tabs>
        <w:ind w:left="1985" w:hanging="245"/>
      </w:pPr>
      <w:r>
        <w:t>-</w:t>
      </w:r>
      <w:r>
        <w:tab/>
        <w:t>Программа для начинающих женщин-предпринимателей (ярмарки для женщин-предпринимателей, предоставление консультаций, оказание помощи начинающим женщ</w:t>
      </w:r>
      <w:r>
        <w:t>и</w:t>
      </w:r>
      <w:r>
        <w:t>нам-предпринимателям) (Гессен)</w:t>
      </w:r>
    </w:p>
    <w:p w:rsidR="00000000" w:rsidRDefault="00000000">
      <w:pPr>
        <w:pStyle w:val="SingleTxt"/>
        <w:tabs>
          <w:tab w:val="clear" w:pos="1267"/>
          <w:tab w:val="clear" w:pos="1742"/>
          <w:tab w:val="left" w:pos="1985"/>
        </w:tabs>
        <w:ind w:left="1985" w:hanging="245"/>
      </w:pPr>
      <w:r>
        <w:t>-</w:t>
      </w:r>
      <w:r>
        <w:tab/>
        <w:t>Пересмотр Гессенского указа о равноправии 2002 года – включение в указ положений, касающихся новых методов административного ко</w:t>
      </w:r>
      <w:r>
        <w:t>н</w:t>
      </w:r>
      <w:r>
        <w:t>троля и повышения квалификации с</w:t>
      </w:r>
      <w:r>
        <w:t>о</w:t>
      </w:r>
      <w:r>
        <w:t>трудников (Гессен)</w:t>
      </w:r>
    </w:p>
    <w:p w:rsidR="00000000" w:rsidRDefault="00000000">
      <w:pPr>
        <w:pStyle w:val="SingleTxt"/>
        <w:tabs>
          <w:tab w:val="clear" w:pos="1267"/>
          <w:tab w:val="clear" w:pos="1742"/>
          <w:tab w:val="left" w:pos="1985"/>
        </w:tabs>
        <w:ind w:left="1985" w:hanging="245"/>
      </w:pPr>
      <w:r>
        <w:t>-</w:t>
      </w:r>
      <w:r>
        <w:tab/>
        <w:t>Конкурс по теме "Компания года, создающая для женщин благоприя</w:t>
      </w:r>
      <w:r>
        <w:t>т</w:t>
      </w:r>
      <w:r>
        <w:t>ные условия для р</w:t>
      </w:r>
      <w:r>
        <w:t>а</w:t>
      </w:r>
      <w:r>
        <w:t>боты " (Гессен)</w:t>
      </w:r>
    </w:p>
    <w:p w:rsidR="00000000" w:rsidRDefault="00000000">
      <w:pPr>
        <w:pStyle w:val="SingleTxt"/>
        <w:tabs>
          <w:tab w:val="clear" w:pos="1267"/>
          <w:tab w:val="clear" w:pos="1742"/>
          <w:tab w:val="left" w:pos="1985"/>
        </w:tabs>
        <w:ind w:left="1985" w:hanging="245"/>
      </w:pPr>
      <w:r>
        <w:t>-</w:t>
      </w:r>
      <w:r>
        <w:tab/>
        <w:t>Область информации и технологий – предложения по обучению и по</w:t>
      </w:r>
      <w:r>
        <w:t>д</w:t>
      </w:r>
      <w:r>
        <w:t>готовке работников-женщин (Гессен)</w:t>
      </w:r>
    </w:p>
    <w:p w:rsidR="00000000" w:rsidRDefault="00000000">
      <w:pPr>
        <w:pStyle w:val="SingleTxt"/>
        <w:tabs>
          <w:tab w:val="clear" w:pos="1267"/>
          <w:tab w:val="clear" w:pos="1742"/>
          <w:tab w:val="left" w:pos="1985"/>
        </w:tabs>
        <w:ind w:left="1985" w:hanging="245"/>
      </w:pPr>
      <w:r>
        <w:t>-</w:t>
      </w:r>
      <w:r>
        <w:tab/>
        <w:t>Экспериментальный проект для сотрудников, находящихся в родител</w:t>
      </w:r>
      <w:r>
        <w:t>ь</w:t>
      </w:r>
      <w:r>
        <w:t>ском отпуске (Ге</w:t>
      </w:r>
      <w:r>
        <w:t>с</w:t>
      </w:r>
      <w:r>
        <w:t>сен)</w:t>
      </w:r>
    </w:p>
    <w:p w:rsidR="00000000" w:rsidRDefault="00000000">
      <w:pPr>
        <w:pStyle w:val="SingleTxt"/>
        <w:tabs>
          <w:tab w:val="clear" w:pos="1267"/>
          <w:tab w:val="clear" w:pos="1742"/>
          <w:tab w:val="left" w:pos="1985"/>
        </w:tabs>
        <w:ind w:left="1985" w:hanging="245"/>
      </w:pPr>
      <w:r>
        <w:t>-</w:t>
      </w:r>
      <w:r>
        <w:tab/>
        <w:t>Брошюра, содержащая информацию о новых специальностях в сфере информационных техн</w:t>
      </w:r>
      <w:r>
        <w:t>о</w:t>
      </w:r>
      <w:r>
        <w:t>логий (Гессен)</w:t>
      </w:r>
    </w:p>
    <w:p w:rsidR="00000000" w:rsidRDefault="00000000">
      <w:pPr>
        <w:pStyle w:val="SingleTxt"/>
        <w:tabs>
          <w:tab w:val="clear" w:pos="1267"/>
          <w:tab w:val="clear" w:pos="1742"/>
          <w:tab w:val="left" w:pos="1985"/>
        </w:tabs>
        <w:ind w:left="1985" w:hanging="245"/>
      </w:pPr>
      <w:r>
        <w:t>-</w:t>
      </w:r>
      <w:r>
        <w:tab/>
        <w:t>Начало осуществления инициативы правительства земли "Руководство и ответственность – будущее сотрудничество с женщинами, предста</w:t>
      </w:r>
      <w:r>
        <w:t>в</w:t>
      </w:r>
      <w:r>
        <w:t>ляющими деловые и политические круги, а также органы управления". Эта инициатива представляет собой дискуссионный форум и имеет ц</w:t>
      </w:r>
      <w:r>
        <w:t>е</w:t>
      </w:r>
      <w:r>
        <w:t>лью обеспечить значительное увеличение доли женщин на руковод</w:t>
      </w:r>
      <w:r>
        <w:t>я</w:t>
      </w:r>
      <w:r>
        <w:t>щих должностях (Ге</w:t>
      </w:r>
      <w:r>
        <w:t>с</w:t>
      </w:r>
      <w:r>
        <w:t>сен)</w:t>
      </w:r>
    </w:p>
    <w:p w:rsidR="00000000" w:rsidRDefault="00000000">
      <w:pPr>
        <w:pStyle w:val="SingleTxt"/>
        <w:tabs>
          <w:tab w:val="clear" w:pos="1267"/>
          <w:tab w:val="clear" w:pos="1742"/>
          <w:tab w:val="left" w:pos="1985"/>
        </w:tabs>
        <w:ind w:left="1985" w:hanging="245"/>
      </w:pPr>
      <w:r>
        <w:t>-</w:t>
      </w:r>
      <w:r>
        <w:tab/>
        <w:t>Указ об обеспечении равенства мужчин и женщин, находящихся на г</w:t>
      </w:r>
      <w:r>
        <w:t>о</w:t>
      </w:r>
      <w:r>
        <w:t>сударственной службе в земле Мекленбург-Западная Померания от 27.07.1998 года</w:t>
      </w:r>
    </w:p>
    <w:p w:rsidR="00000000" w:rsidRDefault="00000000">
      <w:pPr>
        <w:pStyle w:val="SingleTxt"/>
        <w:tabs>
          <w:tab w:val="clear" w:pos="1267"/>
          <w:tab w:val="clear" w:pos="1742"/>
        </w:tabs>
        <w:ind w:left="2268" w:hanging="283"/>
      </w:pPr>
      <w:r>
        <w:t>*</w:t>
      </w:r>
      <w:r>
        <w:tab/>
        <w:t>учреждение должности уполномоченного по вопросам равноправия во всех подразделениях, в которых должны избираться советы пе</w:t>
      </w:r>
      <w:r>
        <w:t>р</w:t>
      </w:r>
      <w:r>
        <w:t>сонала</w:t>
      </w:r>
    </w:p>
    <w:p w:rsidR="00000000" w:rsidRDefault="00000000">
      <w:pPr>
        <w:pStyle w:val="SingleTxt"/>
        <w:tabs>
          <w:tab w:val="clear" w:pos="1267"/>
          <w:tab w:val="clear" w:pos="1742"/>
        </w:tabs>
        <w:ind w:left="2268" w:hanging="283"/>
      </w:pPr>
      <w:r>
        <w:t>*</w:t>
      </w:r>
      <w:r>
        <w:tab/>
        <w:t>разработка планов продвижения по службе женщин, работающих в органах государственной администрации,</w:t>
      </w:r>
      <w:r>
        <w:tab/>
        <w:t>подготовка полож</w:t>
      </w:r>
      <w:r>
        <w:t>е</w:t>
      </w:r>
      <w:r>
        <w:t>ний, касающихся проведения голосования на основе результатов трудовой деятельности в областях, в которых женщины недопре</w:t>
      </w:r>
      <w:r>
        <w:t>д</w:t>
      </w:r>
      <w:r>
        <w:t xml:space="preserve">ставлены </w:t>
      </w:r>
    </w:p>
    <w:p w:rsidR="00000000" w:rsidRDefault="00000000">
      <w:pPr>
        <w:pStyle w:val="SingleTxt"/>
        <w:tabs>
          <w:tab w:val="clear" w:pos="1267"/>
          <w:tab w:val="clear" w:pos="1742"/>
        </w:tabs>
        <w:ind w:left="2268" w:hanging="283"/>
      </w:pPr>
      <w:r>
        <w:t>*</w:t>
      </w:r>
      <w:r>
        <w:tab/>
        <w:t>представление докладов о ходе выполнения Закона о равноправии</w:t>
      </w:r>
    </w:p>
    <w:p w:rsidR="00000000" w:rsidRDefault="00000000">
      <w:pPr>
        <w:pStyle w:val="SingleTxt"/>
        <w:tabs>
          <w:tab w:val="clear" w:pos="1267"/>
          <w:tab w:val="clear" w:pos="1742"/>
        </w:tabs>
        <w:ind w:left="2268" w:hanging="283"/>
      </w:pPr>
      <w:r>
        <w:t>*</w:t>
      </w:r>
      <w:r>
        <w:tab/>
        <w:t>запрещение неэффективного использования работников-женщин, н</w:t>
      </w:r>
      <w:r>
        <w:t>а</w:t>
      </w:r>
      <w:r>
        <w:t>ходящихся на государс</w:t>
      </w:r>
      <w:r>
        <w:t>т</w:t>
      </w:r>
      <w:r>
        <w:t>венной службе</w:t>
      </w:r>
    </w:p>
    <w:p w:rsidR="00000000" w:rsidRDefault="00000000">
      <w:pPr>
        <w:pStyle w:val="SingleTxt"/>
        <w:tabs>
          <w:tab w:val="clear" w:pos="1267"/>
          <w:tab w:val="clear" w:pos="1742"/>
        </w:tabs>
        <w:ind w:left="2268" w:hanging="283"/>
      </w:pPr>
      <w:r>
        <w:t>*</w:t>
      </w:r>
      <w:r>
        <w:tab/>
        <w:t>запрещение дискриминации лиц, находящихся в отпуске по уходу за ребенком, и лиц, занятых в течение неполного рабочего дня (Ме</w:t>
      </w:r>
      <w:r>
        <w:t>к</w:t>
      </w:r>
      <w:r>
        <w:t>ленбург-Западная Померания)</w:t>
      </w:r>
    </w:p>
    <w:p w:rsidR="00000000" w:rsidRDefault="00000000">
      <w:pPr>
        <w:pStyle w:val="SingleTxt"/>
        <w:tabs>
          <w:tab w:val="clear" w:pos="1267"/>
          <w:tab w:val="clear" w:pos="1742"/>
          <w:tab w:val="left" w:pos="1985"/>
        </w:tabs>
        <w:ind w:left="1985" w:hanging="245"/>
      </w:pPr>
      <w:r>
        <w:t>-</w:t>
      </w:r>
      <w:r>
        <w:tab/>
        <w:t>Разработка планов по поощрению соблюдения принципа равноправия, предназначенных для работодателей из состава местных органов вл</w:t>
      </w:r>
      <w:r>
        <w:t>а</w:t>
      </w:r>
      <w:r>
        <w:t>сти (Мекленбург-Западная Померания)</w:t>
      </w:r>
    </w:p>
    <w:p w:rsidR="00000000" w:rsidRDefault="00000000">
      <w:pPr>
        <w:pStyle w:val="SingleTxt"/>
        <w:tabs>
          <w:tab w:val="clear" w:pos="1267"/>
          <w:tab w:val="clear" w:pos="1742"/>
          <w:tab w:val="left" w:pos="1985"/>
        </w:tabs>
        <w:ind w:left="1985" w:hanging="245"/>
      </w:pPr>
      <w:r>
        <w:t>-</w:t>
      </w:r>
      <w:r>
        <w:tab/>
        <w:t>Создание региональных ассоциаций как одно из свидетельств проявл</w:t>
      </w:r>
      <w:r>
        <w:t>е</w:t>
      </w:r>
      <w:r>
        <w:t>ния заинтересованности в улучшении положения женщин на рынке труда и проведении структурных изменений (Мекленбург-Западная Померания)</w:t>
      </w:r>
    </w:p>
    <w:p w:rsidR="00000000" w:rsidRDefault="00000000">
      <w:pPr>
        <w:pStyle w:val="SingleTxt"/>
        <w:tabs>
          <w:tab w:val="clear" w:pos="1267"/>
          <w:tab w:val="clear" w:pos="1742"/>
          <w:tab w:val="left" w:pos="1985"/>
        </w:tabs>
        <w:ind w:left="1985" w:hanging="245"/>
      </w:pPr>
      <w:r>
        <w:t>-</w:t>
      </w:r>
      <w:r>
        <w:tab/>
        <w:t>«ФемиНет» – предоставление женщинам из сельских районов доступа к мобильному Интернету в целях создания для них стимулов к испол</w:t>
      </w:r>
      <w:r>
        <w:t>ь</w:t>
      </w:r>
      <w:r>
        <w:t>зованию информационно-коммуникационных технологий для расшир</w:t>
      </w:r>
      <w:r>
        <w:t>е</w:t>
      </w:r>
      <w:r>
        <w:t>ния возможностей трудоустройства (Мекле</w:t>
      </w:r>
      <w:r>
        <w:t>н</w:t>
      </w:r>
      <w:r>
        <w:t>бург-Западная Померания)</w:t>
      </w:r>
    </w:p>
    <w:p w:rsidR="00000000" w:rsidRDefault="00000000">
      <w:pPr>
        <w:pStyle w:val="SingleTxt"/>
        <w:tabs>
          <w:tab w:val="clear" w:pos="1267"/>
          <w:tab w:val="clear" w:pos="1742"/>
          <w:tab w:val="left" w:pos="1985"/>
        </w:tabs>
        <w:ind w:left="1985" w:hanging="245"/>
      </w:pPr>
      <w:r>
        <w:t>-</w:t>
      </w:r>
      <w:r>
        <w:tab/>
        <w:t>Программа субсидирования начинающих женщин-предпринимателей (Мекленбург-Западная Померания)</w:t>
      </w:r>
    </w:p>
    <w:p w:rsidR="00000000" w:rsidRDefault="00000000">
      <w:pPr>
        <w:pStyle w:val="SingleTxt"/>
        <w:tabs>
          <w:tab w:val="clear" w:pos="1267"/>
          <w:tab w:val="clear" w:pos="1742"/>
          <w:tab w:val="left" w:pos="1985"/>
        </w:tabs>
        <w:ind w:left="1985" w:hanging="245"/>
      </w:pPr>
      <w:r>
        <w:t>-</w:t>
      </w:r>
      <w:r>
        <w:tab/>
        <w:t>Брошюра "Создание центров для женщин-предпринимателей" (Нижняя Саксония)</w:t>
      </w:r>
    </w:p>
    <w:p w:rsidR="00000000" w:rsidRDefault="00000000">
      <w:pPr>
        <w:pStyle w:val="SingleTxt"/>
        <w:tabs>
          <w:tab w:val="clear" w:pos="1267"/>
          <w:tab w:val="clear" w:pos="1742"/>
          <w:tab w:val="left" w:pos="1985"/>
        </w:tabs>
        <w:ind w:left="1985" w:hanging="245"/>
      </w:pPr>
      <w:r>
        <w:t>-</w:t>
      </w:r>
      <w:r>
        <w:tab/>
        <w:t>Руководящие принципы, касающиеся выплаты пособий на цели оказ</w:t>
      </w:r>
      <w:r>
        <w:t>а</w:t>
      </w:r>
      <w:r>
        <w:t>ния содействия интеграции женщин в рынок рабочей силы – "ФИФА" (Ни</w:t>
      </w:r>
      <w:r>
        <w:t>ж</w:t>
      </w:r>
      <w:r>
        <w:t>няя Саксония)</w:t>
      </w:r>
    </w:p>
    <w:p w:rsidR="00000000" w:rsidRDefault="00000000">
      <w:pPr>
        <w:pStyle w:val="SingleTxt"/>
        <w:tabs>
          <w:tab w:val="clear" w:pos="1267"/>
          <w:tab w:val="clear" w:pos="1742"/>
          <w:tab w:val="left" w:pos="1985"/>
        </w:tabs>
        <w:ind w:left="1985" w:hanging="245"/>
      </w:pPr>
      <w:r>
        <w:t>-</w:t>
      </w:r>
      <w:r>
        <w:tab/>
        <w:t>Земельный указ о равноправии на государственной службе (1999 год) и различные меры по обеспечению его выполнения (Северный Рейн-Вестфалия)</w:t>
      </w:r>
    </w:p>
    <w:p w:rsidR="00000000" w:rsidRDefault="00000000">
      <w:pPr>
        <w:pStyle w:val="SingleTxt"/>
        <w:tabs>
          <w:tab w:val="clear" w:pos="1267"/>
          <w:tab w:val="clear" w:pos="1742"/>
          <w:tab w:val="left" w:pos="1985"/>
        </w:tabs>
        <w:ind w:left="1985" w:hanging="245"/>
      </w:pPr>
      <w:r>
        <w:t>-</w:t>
      </w:r>
      <w:r>
        <w:tab/>
        <w:t>Заключительный доклад по результатам исследования "Ассоциации агентств по предоставлению услуг в земле Северный Рейн-Вестфалия – оказание помощи домашним хозяйствам как один из видов професси</w:t>
      </w:r>
      <w:r>
        <w:t>о</w:t>
      </w:r>
      <w:r>
        <w:t>нального о</w:t>
      </w:r>
      <w:r>
        <w:t>б</w:t>
      </w:r>
      <w:r>
        <w:t>служивания (Северный Рейн-Вестфалия)</w:t>
      </w:r>
    </w:p>
    <w:p w:rsidR="00000000" w:rsidRDefault="00000000">
      <w:pPr>
        <w:pStyle w:val="SingleTxt"/>
        <w:tabs>
          <w:tab w:val="clear" w:pos="1267"/>
          <w:tab w:val="clear" w:pos="1742"/>
          <w:tab w:val="left" w:pos="1985"/>
        </w:tabs>
        <w:ind w:left="1985" w:hanging="245"/>
      </w:pPr>
      <w:r>
        <w:t>-</w:t>
      </w:r>
      <w:r>
        <w:tab/>
        <w:t>Экспериментальный проект по внедрению для неквалифицированных и полуквалифицированных работников предприятий принципа колле</w:t>
      </w:r>
      <w:r>
        <w:t>к</w:t>
      </w:r>
      <w:r>
        <w:t>тивной деятельности (в увязке с деятельностью по обеспечению учета гендерных аспектов) (Северный Рейн-Вестфалия)</w:t>
      </w:r>
    </w:p>
    <w:p w:rsidR="00000000" w:rsidRDefault="00000000">
      <w:pPr>
        <w:pStyle w:val="SingleTxt"/>
        <w:tabs>
          <w:tab w:val="clear" w:pos="1267"/>
          <w:tab w:val="clear" w:pos="1742"/>
          <w:tab w:val="left" w:pos="1985"/>
        </w:tabs>
        <w:ind w:left="1985" w:hanging="245"/>
      </w:pPr>
      <w:r>
        <w:t>-</w:t>
      </w:r>
      <w:r>
        <w:tab/>
        <w:t>Программа "Предоставление женщинам новых возможностей для тр</w:t>
      </w:r>
      <w:r>
        <w:t>у</w:t>
      </w:r>
      <w:r>
        <w:t>доустройства в сфере использования технологий и освоения ремесел" (С</w:t>
      </w:r>
      <w:r>
        <w:t>е</w:t>
      </w:r>
      <w:r>
        <w:t>верный Рейн-Вестфалия)</w:t>
      </w:r>
    </w:p>
    <w:p w:rsidR="00000000" w:rsidRDefault="00000000">
      <w:pPr>
        <w:pStyle w:val="SingleTxt"/>
        <w:tabs>
          <w:tab w:val="clear" w:pos="1267"/>
          <w:tab w:val="clear" w:pos="1742"/>
          <w:tab w:val="left" w:pos="1985"/>
        </w:tabs>
        <w:ind w:left="1985" w:hanging="245"/>
      </w:pPr>
      <w:r>
        <w:t>-</w:t>
      </w:r>
      <w:r>
        <w:tab/>
        <w:t>Различные меры по улучшению положения женщин в условиях инфо</w:t>
      </w:r>
      <w:r>
        <w:t>р</w:t>
      </w:r>
      <w:r>
        <w:t>мационного общес</w:t>
      </w:r>
      <w:r>
        <w:t>т</w:t>
      </w:r>
      <w:r>
        <w:t>ва:</w:t>
      </w:r>
    </w:p>
    <w:p w:rsidR="00000000" w:rsidRDefault="00000000">
      <w:pPr>
        <w:pStyle w:val="SingleTxt"/>
        <w:tabs>
          <w:tab w:val="clear" w:pos="1267"/>
          <w:tab w:val="clear" w:pos="1742"/>
        </w:tabs>
        <w:ind w:left="2268" w:hanging="283"/>
      </w:pPr>
      <w:r>
        <w:t>*</w:t>
      </w:r>
      <w:r>
        <w:tab/>
        <w:t>мобильное Интернет-кафе "Магистраль № 1", предназначенное для женщин и девушек из сельских районов и малых городов (с 1999 года)</w:t>
      </w:r>
    </w:p>
    <w:p w:rsidR="00000000" w:rsidRDefault="00000000">
      <w:pPr>
        <w:pStyle w:val="SingleTxt"/>
        <w:tabs>
          <w:tab w:val="clear" w:pos="1267"/>
          <w:tab w:val="clear" w:pos="1742"/>
        </w:tabs>
        <w:ind w:left="2268" w:hanging="283"/>
      </w:pPr>
      <w:r>
        <w:t>*</w:t>
      </w:r>
      <w:r>
        <w:tab/>
        <w:t>совещание экспертов по теме "Женщины перспективных профессий" (1999 год)</w:t>
      </w:r>
    </w:p>
    <w:p w:rsidR="00000000" w:rsidRDefault="00000000">
      <w:pPr>
        <w:pStyle w:val="SingleTxt"/>
        <w:tabs>
          <w:tab w:val="clear" w:pos="1267"/>
          <w:tab w:val="clear" w:pos="1742"/>
        </w:tabs>
        <w:ind w:left="2268" w:hanging="283"/>
      </w:pPr>
      <w:r>
        <w:t>*</w:t>
      </w:r>
      <w:r>
        <w:tab/>
        <w:t>экспериментальный проект, направленный на увеличение доли же</w:t>
      </w:r>
      <w:r>
        <w:t>н</w:t>
      </w:r>
      <w:r>
        <w:t>щин, получающих подготовку по специальностям, связанным с и</w:t>
      </w:r>
      <w:r>
        <w:t>с</w:t>
      </w:r>
      <w:r>
        <w:t>пользован</w:t>
      </w:r>
      <w:r>
        <w:t>и</w:t>
      </w:r>
      <w:r>
        <w:t>ем информационных технологий</w:t>
      </w:r>
    </w:p>
    <w:p w:rsidR="00000000" w:rsidRDefault="00000000">
      <w:pPr>
        <w:pStyle w:val="SingleTxt"/>
        <w:tabs>
          <w:tab w:val="clear" w:pos="1267"/>
          <w:tab w:val="clear" w:pos="1742"/>
        </w:tabs>
        <w:ind w:left="2268" w:hanging="283"/>
      </w:pPr>
      <w:r>
        <w:t>*</w:t>
      </w:r>
      <w:r>
        <w:tab/>
        <w:t xml:space="preserve">создание на Интернет-сайте </w:t>
      </w:r>
      <w:r>
        <w:rPr>
          <w:color w:val="0000FF"/>
          <w:u w:val="single"/>
          <w:lang w:val="en-US"/>
        </w:rPr>
        <w:t>www</w:t>
      </w:r>
      <w:r>
        <w:rPr>
          <w:color w:val="0000FF"/>
          <w:u w:val="single"/>
        </w:rPr>
        <w:t>.</w:t>
      </w:r>
      <w:r>
        <w:rPr>
          <w:color w:val="0000FF"/>
          <w:u w:val="single"/>
          <w:lang w:val="en-US"/>
        </w:rPr>
        <w:t>frauennrw</w:t>
      </w:r>
      <w:r>
        <w:rPr>
          <w:color w:val="0000FF"/>
          <w:u w:val="single"/>
        </w:rPr>
        <w:t>.</w:t>
      </w:r>
      <w:r>
        <w:rPr>
          <w:color w:val="0000FF"/>
          <w:u w:val="single"/>
          <w:lang w:val="en-US"/>
        </w:rPr>
        <w:t>de</w:t>
      </w:r>
      <w:r>
        <w:rPr>
          <w:color w:val="0000FF"/>
          <w:u w:val="single"/>
        </w:rPr>
        <w:t xml:space="preserve"> </w:t>
      </w:r>
      <w:r>
        <w:t>земли Северный Рейн-Вестфалия информационно-коммуникационной платформы для женщин (с 2001 года) (Севе</w:t>
      </w:r>
      <w:r>
        <w:t>р</w:t>
      </w:r>
      <w:r>
        <w:t>ный Рейн-Вестфалия)</w:t>
      </w:r>
    </w:p>
    <w:p w:rsidR="00000000" w:rsidRDefault="00000000">
      <w:pPr>
        <w:pStyle w:val="SingleTxt"/>
        <w:tabs>
          <w:tab w:val="clear" w:pos="1267"/>
          <w:tab w:val="clear" w:pos="1742"/>
          <w:tab w:val="left" w:pos="1985"/>
        </w:tabs>
        <w:ind w:left="1985" w:hanging="245"/>
      </w:pPr>
      <w:r>
        <w:t>-</w:t>
      </w:r>
      <w:r>
        <w:tab/>
        <w:t>Исследование по теме "Женщины, занятые в сфере использования п</w:t>
      </w:r>
      <w:r>
        <w:t>е</w:t>
      </w:r>
      <w:r>
        <w:t>редовых технологий" (публикация 2001 года) (Северный Рейн-Вестфалия)</w:t>
      </w:r>
    </w:p>
    <w:p w:rsidR="00000000" w:rsidRDefault="00000000">
      <w:pPr>
        <w:pStyle w:val="SingleTxt"/>
        <w:tabs>
          <w:tab w:val="clear" w:pos="1267"/>
          <w:tab w:val="clear" w:pos="1742"/>
          <w:tab w:val="left" w:pos="1985"/>
        </w:tabs>
        <w:ind w:left="1985" w:hanging="245"/>
      </w:pPr>
      <w:r>
        <w:t>-</w:t>
      </w:r>
      <w:r>
        <w:tab/>
        <w:t>Различные меры по предоставлению содействия женщинам-предпринимателям:</w:t>
      </w:r>
    </w:p>
    <w:p w:rsidR="00000000" w:rsidRDefault="00000000">
      <w:pPr>
        <w:pStyle w:val="SingleTxt"/>
        <w:tabs>
          <w:tab w:val="clear" w:pos="1267"/>
        </w:tabs>
        <w:ind w:left="2268" w:hanging="283"/>
      </w:pPr>
      <w:r>
        <w:t>*</w:t>
      </w:r>
      <w:r>
        <w:tab/>
        <w:t xml:space="preserve">оказание помощи начинающим женщинам-предпринимателям путем разработки руководящих принципов, касающихся выдачи ссуд </w:t>
      </w:r>
    </w:p>
    <w:p w:rsidR="00000000" w:rsidRDefault="00000000">
      <w:pPr>
        <w:pStyle w:val="SingleTxt"/>
        <w:tabs>
          <w:tab w:val="clear" w:pos="1267"/>
        </w:tabs>
        <w:ind w:left="2268" w:hanging="283"/>
      </w:pPr>
      <w:r>
        <w:t>*</w:t>
      </w:r>
      <w:r>
        <w:tab/>
        <w:t>развитие возможностей по предоставлению женщинам-предпринимателям услуг по обучению, созданию сетей и консульт</w:t>
      </w:r>
      <w:r>
        <w:t>и</w:t>
      </w:r>
      <w:r>
        <w:t>рованию</w:t>
      </w:r>
    </w:p>
    <w:p w:rsidR="00000000" w:rsidRDefault="00000000">
      <w:pPr>
        <w:pStyle w:val="SingleTxt"/>
        <w:tabs>
          <w:tab w:val="clear" w:pos="1267"/>
        </w:tabs>
        <w:ind w:left="2268" w:hanging="283"/>
      </w:pPr>
      <w:r>
        <w:t>*</w:t>
      </w:r>
      <w:r>
        <w:tab/>
        <w:t>Интернет-портал для женщин, начинающих или продолжающих з</w:t>
      </w:r>
      <w:r>
        <w:t>а</w:t>
      </w:r>
      <w:r>
        <w:t>ниматься предпринимательской деятельностью (Северный Рейн-Вестфалия)</w:t>
      </w:r>
    </w:p>
    <w:p w:rsidR="00000000" w:rsidRDefault="00000000">
      <w:pPr>
        <w:pStyle w:val="SingleTxt"/>
        <w:tabs>
          <w:tab w:val="clear" w:pos="1267"/>
          <w:tab w:val="clear" w:pos="1742"/>
          <w:tab w:val="left" w:pos="1985"/>
        </w:tabs>
        <w:ind w:left="1985" w:hanging="245"/>
      </w:pPr>
      <w:r>
        <w:t>-</w:t>
      </w:r>
      <w:r>
        <w:tab/>
        <w:t>Деятельность группы экспертов по вопросам продвижения женщин по службе внутри компании (с использованием Интернета) (Северный Рейн-Вестфалия)</w:t>
      </w:r>
    </w:p>
    <w:p w:rsidR="00000000" w:rsidRDefault="00000000">
      <w:pPr>
        <w:pStyle w:val="SingleTxt"/>
        <w:tabs>
          <w:tab w:val="clear" w:pos="1267"/>
          <w:tab w:val="clear" w:pos="1742"/>
          <w:tab w:val="left" w:pos="1985"/>
        </w:tabs>
        <w:ind w:left="1985" w:hanging="245"/>
      </w:pPr>
      <w:r>
        <w:t>-</w:t>
      </w:r>
      <w:r>
        <w:tab/>
        <w:t>Региональные агентства "Женщины и работа" (сеть агентств расшир</w:t>
      </w:r>
      <w:r>
        <w:t>я</w:t>
      </w:r>
      <w:r>
        <w:t>ется с 1998 года, в 2000 году в ней насчитывалось 47 агентств, расп</w:t>
      </w:r>
      <w:r>
        <w:t>о</w:t>
      </w:r>
      <w:r>
        <w:t>ложенных в 52 населенных пунктах (С</w:t>
      </w:r>
      <w:r>
        <w:t>е</w:t>
      </w:r>
      <w:r>
        <w:t>верный Рейн-Вестфалия)</w:t>
      </w:r>
    </w:p>
    <w:p w:rsidR="00000000" w:rsidRDefault="00000000">
      <w:pPr>
        <w:pStyle w:val="SingleTxt"/>
        <w:tabs>
          <w:tab w:val="clear" w:pos="1267"/>
          <w:tab w:val="clear" w:pos="1742"/>
          <w:tab w:val="left" w:pos="1985"/>
        </w:tabs>
        <w:ind w:left="1985" w:hanging="245"/>
      </w:pPr>
      <w:r>
        <w:t>-</w:t>
      </w:r>
      <w:r>
        <w:tab/>
        <w:t>Различные меры по поощрению профессионального роста женщин, з</w:t>
      </w:r>
      <w:r>
        <w:t>а</w:t>
      </w:r>
      <w:r>
        <w:t>нимающих управле</w:t>
      </w:r>
      <w:r>
        <w:t>н</w:t>
      </w:r>
      <w:r>
        <w:t>ческие должности, в том числе:</w:t>
      </w:r>
    </w:p>
    <w:p w:rsidR="00000000" w:rsidRDefault="00000000">
      <w:pPr>
        <w:pStyle w:val="SingleTxt"/>
        <w:tabs>
          <w:tab w:val="clear" w:pos="1267"/>
          <w:tab w:val="clear" w:pos="1742"/>
        </w:tabs>
        <w:ind w:left="2268" w:hanging="283"/>
      </w:pPr>
      <w:r>
        <w:t>*</w:t>
      </w:r>
      <w:r>
        <w:tab/>
        <w:t>библиографические исследования по вопросу о наставничестве;</w:t>
      </w:r>
    </w:p>
    <w:p w:rsidR="00000000" w:rsidRDefault="00000000">
      <w:pPr>
        <w:pStyle w:val="SingleTxt"/>
        <w:tabs>
          <w:tab w:val="clear" w:pos="1267"/>
          <w:tab w:val="clear" w:pos="1742"/>
        </w:tabs>
        <w:ind w:left="2268" w:hanging="283"/>
      </w:pPr>
      <w:r>
        <w:t>*</w:t>
      </w:r>
      <w:r>
        <w:tab/>
        <w:t>проект наставнической помощи молодым женщинам, ориентирова</w:t>
      </w:r>
      <w:r>
        <w:t>н</w:t>
      </w:r>
      <w:r>
        <w:t>ным на профе</w:t>
      </w:r>
      <w:r>
        <w:t>с</w:t>
      </w:r>
      <w:r>
        <w:t>сиональный рост;</w:t>
      </w:r>
    </w:p>
    <w:p w:rsidR="00000000" w:rsidRDefault="00000000">
      <w:pPr>
        <w:pStyle w:val="SingleTxt"/>
        <w:tabs>
          <w:tab w:val="clear" w:pos="1267"/>
          <w:tab w:val="clear" w:pos="1742"/>
        </w:tabs>
        <w:ind w:left="2268" w:hanging="283"/>
      </w:pPr>
      <w:r>
        <w:t>*</w:t>
      </w:r>
      <w:r>
        <w:tab/>
        <w:t>пилотный проект под названием «Равные возможности для женщин, занимающих управленч</w:t>
      </w:r>
      <w:r>
        <w:t>е</w:t>
      </w:r>
      <w:r>
        <w:t>ские должности» (Северный Рейн-Вестфалия)</w:t>
      </w:r>
    </w:p>
    <w:p w:rsidR="00000000" w:rsidRDefault="00000000">
      <w:pPr>
        <w:pStyle w:val="SingleTxt"/>
        <w:tabs>
          <w:tab w:val="clear" w:pos="1267"/>
          <w:tab w:val="clear" w:pos="1742"/>
          <w:tab w:val="left" w:pos="1985"/>
        </w:tabs>
        <w:ind w:left="1985" w:hanging="245"/>
      </w:pPr>
      <w:r>
        <w:t>-</w:t>
      </w:r>
      <w:r>
        <w:tab/>
        <w:t>Конкурсы в различных министерствах земли Рейнланд-Пфальц на з</w:t>
      </w:r>
      <w:r>
        <w:t>а</w:t>
      </w:r>
      <w:r>
        <w:t>мещение должностей, связанных с поощрением профессионального роста женщин и вопросами бюджета (Рей</w:t>
      </w:r>
      <w:r>
        <w:t>н</w:t>
      </w:r>
      <w:r>
        <w:t>ланд-Пфальц)</w:t>
      </w:r>
    </w:p>
    <w:p w:rsidR="00000000" w:rsidRDefault="00000000">
      <w:pPr>
        <w:pStyle w:val="SingleTxt"/>
        <w:tabs>
          <w:tab w:val="clear" w:pos="1267"/>
          <w:tab w:val="clear" w:pos="1742"/>
          <w:tab w:val="left" w:pos="1985"/>
        </w:tabs>
        <w:ind w:left="1985" w:hanging="245"/>
      </w:pPr>
      <w:r>
        <w:t>-</w:t>
      </w:r>
      <w:r>
        <w:tab/>
        <w:t>Использование в регионах с недостаточно развитой инфраструктурой у</w:t>
      </w:r>
      <w:r>
        <w:t>с</w:t>
      </w:r>
      <w:r>
        <w:t>луг сервисного агентства «ФРИДС» (Рейнланд-Пфальц)</w:t>
      </w:r>
    </w:p>
    <w:p w:rsidR="00000000" w:rsidRDefault="00000000">
      <w:pPr>
        <w:pStyle w:val="SingleTxt"/>
        <w:tabs>
          <w:tab w:val="clear" w:pos="1267"/>
          <w:tab w:val="clear" w:pos="1742"/>
          <w:tab w:val="left" w:pos="1985"/>
        </w:tabs>
        <w:ind w:left="1985" w:hanging="245"/>
      </w:pPr>
      <w:r>
        <w:t>-</w:t>
      </w:r>
      <w:r>
        <w:tab/>
        <w:t>Использование услуг «женских» компаний Цвайбрюкена и професси</w:t>
      </w:r>
      <w:r>
        <w:t>о</w:t>
      </w:r>
      <w:r>
        <w:t>нальная подготовка лиц, долгое время не имеющих работы, и женщин, получающих помощь по линии программ социального обеспечения (Рейнланд-Пфальц)</w:t>
      </w:r>
    </w:p>
    <w:p w:rsidR="00000000" w:rsidRDefault="00000000">
      <w:pPr>
        <w:pStyle w:val="SingleTxt"/>
        <w:tabs>
          <w:tab w:val="clear" w:pos="1267"/>
          <w:tab w:val="clear" w:pos="1742"/>
          <w:tab w:val="left" w:pos="1985"/>
        </w:tabs>
        <w:ind w:left="1985" w:hanging="245"/>
      </w:pPr>
      <w:r>
        <w:t>-</w:t>
      </w:r>
      <w:r>
        <w:tab/>
        <w:t xml:space="preserve"> «Женщины и информационные технологии» — обеспечение занятости и профессиональная подготовка лиц, долгое время не имеющих работы (Рей</w:t>
      </w:r>
      <w:r>
        <w:t>н</w:t>
      </w:r>
      <w:r>
        <w:t>ланд-Пфальц)</w:t>
      </w:r>
    </w:p>
    <w:p w:rsidR="00000000" w:rsidRDefault="00000000">
      <w:pPr>
        <w:pStyle w:val="SingleTxt"/>
        <w:tabs>
          <w:tab w:val="clear" w:pos="1267"/>
          <w:tab w:val="clear" w:pos="1742"/>
          <w:tab w:val="left" w:pos="1985"/>
        </w:tabs>
        <w:ind w:left="1985" w:hanging="245"/>
      </w:pPr>
      <w:r>
        <w:t>-</w:t>
      </w:r>
      <w:r>
        <w:tab/>
        <w:t>Административные положения Закона о равных правах на землю земли Рейнланд-Пфальц</w:t>
      </w:r>
    </w:p>
    <w:p w:rsidR="00000000" w:rsidRDefault="00000000">
      <w:pPr>
        <w:pStyle w:val="SingleTxt"/>
        <w:tabs>
          <w:tab w:val="clear" w:pos="1267"/>
          <w:tab w:val="clear" w:pos="1742"/>
          <w:tab w:val="left" w:pos="1985"/>
        </w:tabs>
        <w:ind w:left="1985" w:hanging="245"/>
      </w:pPr>
      <w:r>
        <w:t>-</w:t>
      </w:r>
      <w:r>
        <w:tab/>
        <w:t>Сеть уполномоченных по вопросам равенства прав (список адресов; г</w:t>
      </w:r>
      <w:r>
        <w:t>о</w:t>
      </w:r>
      <w:r>
        <w:t>т</w:t>
      </w:r>
      <w:r>
        <w:t>о</w:t>
      </w:r>
      <w:r>
        <w:t>вится домашняя страница в Интернете) (Рейнланд-Пфальц)</w:t>
      </w:r>
    </w:p>
    <w:p w:rsidR="00000000" w:rsidRDefault="00000000">
      <w:pPr>
        <w:pStyle w:val="SingleTxt"/>
        <w:tabs>
          <w:tab w:val="clear" w:pos="1267"/>
          <w:tab w:val="clear" w:pos="1742"/>
          <w:tab w:val="left" w:pos="1985"/>
        </w:tabs>
        <w:ind w:left="1985" w:hanging="245"/>
      </w:pPr>
      <w:r>
        <w:t>-</w:t>
      </w:r>
      <w:r>
        <w:tab/>
        <w:t xml:space="preserve"> «Равенство на рабочих местах» — продолжение исследований в целях повышения профессиональной квалификации уполномоченных по в</w:t>
      </w:r>
      <w:r>
        <w:t>о</w:t>
      </w:r>
      <w:r>
        <w:t>просам р</w:t>
      </w:r>
      <w:r>
        <w:t>а</w:t>
      </w:r>
      <w:r>
        <w:t>венства прав (Рейнланд-Пфальц)</w:t>
      </w:r>
    </w:p>
    <w:p w:rsidR="00000000" w:rsidRDefault="00000000">
      <w:pPr>
        <w:pStyle w:val="SingleTxt"/>
        <w:tabs>
          <w:tab w:val="clear" w:pos="1267"/>
          <w:tab w:val="clear" w:pos="1742"/>
          <w:tab w:val="left" w:pos="1985"/>
        </w:tabs>
        <w:ind w:left="1985" w:hanging="245"/>
      </w:pPr>
      <w:r>
        <w:t>-</w:t>
      </w:r>
      <w:r>
        <w:tab/>
        <w:t>Подготовка и осуществление ориентированного на женщин проекта под названием «Наставничество в области административно-управленческой де</w:t>
      </w:r>
      <w:r>
        <w:t>я</w:t>
      </w:r>
      <w:r>
        <w:t>тельности» (Рейнланд-Пфальц)</w:t>
      </w:r>
    </w:p>
    <w:p w:rsidR="00000000" w:rsidRDefault="00000000">
      <w:pPr>
        <w:pStyle w:val="SingleTxt"/>
        <w:tabs>
          <w:tab w:val="clear" w:pos="1267"/>
          <w:tab w:val="clear" w:pos="1742"/>
          <w:tab w:val="left" w:pos="1985"/>
        </w:tabs>
        <w:ind w:left="1985" w:hanging="245"/>
      </w:pPr>
      <w:r>
        <w:t>-</w:t>
      </w:r>
      <w:r>
        <w:tab/>
        <w:t>Переход на более гибкий график работы в земельных администрати</w:t>
      </w:r>
      <w:r>
        <w:t>в</w:t>
      </w:r>
      <w:r>
        <w:t>ных органах (Саар)</w:t>
      </w:r>
    </w:p>
    <w:p w:rsidR="00000000" w:rsidRDefault="00000000">
      <w:pPr>
        <w:pStyle w:val="SingleTxt"/>
        <w:tabs>
          <w:tab w:val="clear" w:pos="1267"/>
          <w:tab w:val="clear" w:pos="1742"/>
          <w:tab w:val="left" w:pos="1985"/>
        </w:tabs>
        <w:ind w:left="1985" w:hanging="245"/>
      </w:pPr>
      <w:r>
        <w:t>-</w:t>
      </w:r>
      <w:r>
        <w:tab/>
        <w:t>Проведение семинаров, информационно-просветительских меропри</w:t>
      </w:r>
      <w:r>
        <w:t>я</w:t>
      </w:r>
      <w:r>
        <w:t>тий и регулярных встреч женщин-предпринимателей, а также создание базы данных о женщинах-предпринимателях для женщин, делающих первые шаги в бизнесе, в рамках Электронного центра поддержки м</w:t>
      </w:r>
      <w:r>
        <w:t>о</w:t>
      </w:r>
      <w:r>
        <w:t>лодых предпринимателей м</w:t>
      </w:r>
      <w:r>
        <w:t>и</w:t>
      </w:r>
      <w:r>
        <w:t>нистерства экономики Саара (Саар)</w:t>
      </w:r>
    </w:p>
    <w:p w:rsidR="00000000" w:rsidRDefault="00000000">
      <w:pPr>
        <w:pStyle w:val="SingleTxt"/>
        <w:tabs>
          <w:tab w:val="clear" w:pos="1267"/>
          <w:tab w:val="clear" w:pos="1742"/>
          <w:tab w:val="left" w:pos="1985"/>
        </w:tabs>
        <w:ind w:left="1985" w:hanging="245"/>
      </w:pPr>
      <w:r>
        <w:t>-</w:t>
      </w:r>
      <w:r>
        <w:tab/>
        <w:t>Осуществление пилотного проекта под названием «Содействие созд</w:t>
      </w:r>
      <w:r>
        <w:t>а</w:t>
      </w:r>
      <w:r>
        <w:t>нию равных возмо</w:t>
      </w:r>
      <w:r>
        <w:t>ж</w:t>
      </w:r>
      <w:r>
        <w:t>ностей на саксонских предприятиях» (Саксония)</w:t>
      </w:r>
    </w:p>
    <w:p w:rsidR="00000000" w:rsidRDefault="00000000">
      <w:pPr>
        <w:pStyle w:val="SingleTxt"/>
        <w:tabs>
          <w:tab w:val="clear" w:pos="1267"/>
          <w:tab w:val="clear" w:pos="1742"/>
          <w:tab w:val="left" w:pos="1985"/>
        </w:tabs>
        <w:ind w:left="1985" w:hanging="245"/>
      </w:pPr>
      <w:r>
        <w:t>-</w:t>
      </w:r>
      <w:r>
        <w:tab/>
        <w:t>Выпуск брошюры, озаглавленной «Равные возможности на произво</w:t>
      </w:r>
      <w:r>
        <w:t>д</w:t>
      </w:r>
      <w:r>
        <w:t>стве: практическое руководство по вопросам профессионального роста же</w:t>
      </w:r>
      <w:r>
        <w:t>н</w:t>
      </w:r>
      <w:r>
        <w:t>щин и мужчин» (Саксония)</w:t>
      </w:r>
    </w:p>
    <w:p w:rsidR="00000000" w:rsidRDefault="00000000">
      <w:pPr>
        <w:pStyle w:val="SingleTxt"/>
        <w:tabs>
          <w:tab w:val="clear" w:pos="1267"/>
          <w:tab w:val="clear" w:pos="1742"/>
          <w:tab w:val="left" w:pos="1985"/>
        </w:tabs>
        <w:ind w:left="1985" w:hanging="245"/>
      </w:pPr>
      <w:r>
        <w:t>-</w:t>
      </w:r>
      <w:r>
        <w:tab/>
        <w:t>Руководство по вопросам содействия развитию сельских районов в земле Саксония-Анхальт (Са</w:t>
      </w:r>
      <w:r>
        <w:t>к</w:t>
      </w:r>
      <w:r>
        <w:t>сония-Анхальт)</w:t>
      </w:r>
    </w:p>
    <w:p w:rsidR="00000000" w:rsidRDefault="00000000">
      <w:pPr>
        <w:pStyle w:val="SingleTxt"/>
        <w:tabs>
          <w:tab w:val="clear" w:pos="1267"/>
          <w:tab w:val="clear" w:pos="1742"/>
          <w:tab w:val="left" w:pos="1985"/>
        </w:tabs>
        <w:ind w:left="1985" w:hanging="245"/>
      </w:pPr>
      <w:r>
        <w:t>-</w:t>
      </w:r>
      <w:r>
        <w:tab/>
        <w:t>Содействие созданию высокодоходных рабочих мест для женщин в рамках общей задачи совершенствования региональной экономической инфр</w:t>
      </w:r>
      <w:r>
        <w:t>а</w:t>
      </w:r>
      <w:r>
        <w:t>структуры (Саксония-Анхальт)</w:t>
      </w:r>
    </w:p>
    <w:p w:rsidR="00000000" w:rsidRDefault="00000000">
      <w:pPr>
        <w:pStyle w:val="SingleTxt"/>
        <w:tabs>
          <w:tab w:val="clear" w:pos="1267"/>
          <w:tab w:val="clear" w:pos="1742"/>
          <w:tab w:val="left" w:pos="1985"/>
        </w:tabs>
        <w:ind w:left="1985" w:hanging="245"/>
      </w:pPr>
      <w:r>
        <w:t>-</w:t>
      </w:r>
      <w:r>
        <w:tab/>
        <w:t>Содействие осуществлению проекта под названием «Инициативы н</w:t>
      </w:r>
      <w:r>
        <w:t>а</w:t>
      </w:r>
      <w:r>
        <w:t>правленные на обеспечение занятости женщин в сельских районах» (Сакс</w:t>
      </w:r>
      <w:r>
        <w:t>о</w:t>
      </w:r>
      <w:r>
        <w:t>ния-Анхальт)</w:t>
      </w:r>
    </w:p>
    <w:p w:rsidR="00000000" w:rsidRDefault="00000000">
      <w:pPr>
        <w:pStyle w:val="SingleTxt"/>
        <w:tabs>
          <w:tab w:val="clear" w:pos="1267"/>
          <w:tab w:val="clear" w:pos="1742"/>
          <w:tab w:val="left" w:pos="1985"/>
        </w:tabs>
        <w:ind w:left="1985" w:hanging="245"/>
      </w:pPr>
      <w:r>
        <w:t>-</w:t>
      </w:r>
      <w:r>
        <w:tab/>
        <w:t>Дополнительная помощь (одиноким) родителям (учебные курсы для мужчин и женщин, делающих первые шаги в бизнесе, оказание помощи в трудоустройстве на полный рабочий день одиноких родителей) (Са</w:t>
      </w:r>
      <w:r>
        <w:t>к</w:t>
      </w:r>
      <w:r>
        <w:t>сония-Анхальт)</w:t>
      </w:r>
    </w:p>
    <w:p w:rsidR="00000000" w:rsidRDefault="00000000">
      <w:pPr>
        <w:pStyle w:val="SingleTxt"/>
        <w:tabs>
          <w:tab w:val="clear" w:pos="1267"/>
          <w:tab w:val="clear" w:pos="1742"/>
          <w:tab w:val="left" w:pos="1985"/>
        </w:tabs>
        <w:ind w:left="1985" w:hanging="245"/>
      </w:pPr>
      <w:r>
        <w:t>-</w:t>
      </w:r>
      <w:r>
        <w:tab/>
        <w:t>Вручение памятных знаков и призов победителям земельного конкурса на наиболее «дружественную» женщинам компанию. Победа в этом конкурсе позволяет предприятиям использовать памятный знак в своей рекламно-сбытовой деятельности (Саксония-Анхальт)</w:t>
      </w:r>
    </w:p>
    <w:p w:rsidR="00000000" w:rsidRDefault="00000000">
      <w:pPr>
        <w:pStyle w:val="SingleTxt"/>
        <w:tabs>
          <w:tab w:val="clear" w:pos="1267"/>
          <w:tab w:val="clear" w:pos="1742"/>
          <w:tab w:val="left" w:pos="1985"/>
        </w:tabs>
        <w:ind w:left="1985" w:hanging="245"/>
      </w:pPr>
      <w:r>
        <w:t>-</w:t>
      </w:r>
      <w:r>
        <w:tab/>
        <w:t>Проект под названием «Сельский центр для женщин, делающих первые шаги в бизнесе, в Альтма</w:t>
      </w:r>
      <w:r>
        <w:t>р</w:t>
      </w:r>
      <w:r>
        <w:t>ке» (Саксония-Анхальт)</w:t>
      </w:r>
    </w:p>
    <w:p w:rsidR="00000000" w:rsidRDefault="00000000">
      <w:pPr>
        <w:pStyle w:val="SingleTxt"/>
        <w:tabs>
          <w:tab w:val="clear" w:pos="1267"/>
          <w:tab w:val="clear" w:pos="1742"/>
          <w:tab w:val="left" w:pos="1985"/>
        </w:tabs>
        <w:ind w:left="1985" w:hanging="245"/>
      </w:pPr>
      <w:r>
        <w:t>-</w:t>
      </w:r>
      <w:r>
        <w:tab/>
        <w:t>Опросы и публичные дискуссии по темам «Общественное восприятие женщин свободных профессий» и «Общественное восприятие женщин, занимающихся предпринимательской деятельностью в сфере ремесел» в земле Са</w:t>
      </w:r>
      <w:r>
        <w:t>к</w:t>
      </w:r>
      <w:r>
        <w:t>сония-Анхальт</w:t>
      </w:r>
    </w:p>
    <w:p w:rsidR="00000000" w:rsidRDefault="00000000">
      <w:pPr>
        <w:pStyle w:val="SingleTxt"/>
        <w:tabs>
          <w:tab w:val="clear" w:pos="1267"/>
          <w:tab w:val="clear" w:pos="1742"/>
          <w:tab w:val="left" w:pos="1985"/>
        </w:tabs>
        <w:ind w:left="1985" w:hanging="245"/>
      </w:pPr>
      <w:r>
        <w:t>-</w:t>
      </w:r>
      <w:r>
        <w:tab/>
        <w:t>Содействие разработке и осуществлению проекта под названием «П</w:t>
      </w:r>
      <w:r>
        <w:t>о</w:t>
      </w:r>
      <w:r>
        <w:t>вышение роли женщин в сфере управления» (наставническая помощь женщинам, заканчивающим высшие учебные заведения, и женщинам, начинающим свою профессиональную карьеру) (Сакс</w:t>
      </w:r>
      <w:r>
        <w:t>о</w:t>
      </w:r>
      <w:r>
        <w:t>ния-Анхальт)</w:t>
      </w:r>
    </w:p>
    <w:p w:rsidR="00000000" w:rsidRDefault="00000000">
      <w:pPr>
        <w:pStyle w:val="SingleTxt"/>
        <w:tabs>
          <w:tab w:val="clear" w:pos="1267"/>
          <w:tab w:val="clear" w:pos="1742"/>
          <w:tab w:val="left" w:pos="1985"/>
        </w:tabs>
        <w:ind w:left="1985" w:hanging="245"/>
      </w:pPr>
      <w:r>
        <w:t>-</w:t>
      </w:r>
      <w:r>
        <w:tab/>
        <w:t>Конкурс на звание лучшей компании в области обеспечения равных возможностей за счет содействия профессиональному росту сотрудн</w:t>
      </w:r>
      <w:r>
        <w:t>и</w:t>
      </w:r>
      <w:r>
        <w:t>ков под лозунгом «Каждая женщина заслуживает того, чтобы ей был дан шанс. А в вашей компании?» (Шлезвиг-Гольштейн)</w:t>
      </w:r>
    </w:p>
    <w:p w:rsidR="00000000" w:rsidRDefault="00000000">
      <w:pPr>
        <w:pStyle w:val="SingleTxt"/>
        <w:tabs>
          <w:tab w:val="clear" w:pos="1267"/>
          <w:tab w:val="clear" w:pos="1742"/>
          <w:tab w:val="left" w:pos="1985"/>
        </w:tabs>
        <w:ind w:left="1985" w:hanging="245"/>
      </w:pPr>
      <w:r>
        <w:t>-</w:t>
      </w:r>
      <w:r>
        <w:tab/>
        <w:t>Пилотный проект под названием «Обмены в сфере услуг: новые ко</w:t>
      </w:r>
      <w:r>
        <w:t>м</w:t>
      </w:r>
      <w:r>
        <w:t>мерческие предприятия и новые возможности для трудоустройства женщин в сфере услуг в районах с недостаточно развитой инфрастру</w:t>
      </w:r>
      <w:r>
        <w:t>к</w:t>
      </w:r>
      <w:r>
        <w:t>турой» (Шлезвиг-Гольштейн)</w:t>
      </w:r>
    </w:p>
    <w:p w:rsidR="00000000" w:rsidRDefault="00000000">
      <w:pPr>
        <w:pStyle w:val="SingleTxt"/>
        <w:tabs>
          <w:tab w:val="clear" w:pos="1267"/>
          <w:tab w:val="clear" w:pos="1742"/>
          <w:tab w:val="left" w:pos="1985"/>
        </w:tabs>
        <w:ind w:left="1985" w:hanging="245"/>
      </w:pPr>
      <w:r>
        <w:t>-</w:t>
      </w:r>
      <w:r>
        <w:tab/>
        <w:t>Инициатива под названием «Теперь очередь женщин» (с использован</w:t>
      </w:r>
      <w:r>
        <w:t>и</w:t>
      </w:r>
      <w:r>
        <w:t>ем Интернета) (Шлезвиг-Гольштейн)</w:t>
      </w:r>
    </w:p>
    <w:p w:rsidR="00000000" w:rsidRDefault="00000000">
      <w:pPr>
        <w:pStyle w:val="SingleTxt"/>
        <w:tabs>
          <w:tab w:val="clear" w:pos="1267"/>
          <w:tab w:val="clear" w:pos="1742"/>
          <w:tab w:val="left" w:pos="1985"/>
        </w:tabs>
        <w:ind w:left="1985" w:hanging="245"/>
      </w:pPr>
      <w:r>
        <w:t>-</w:t>
      </w:r>
      <w:r>
        <w:tab/>
        <w:t>Мобильные Интернет-кафе для женщин в сельских районах (Шлезвиг-Гольштейн)</w:t>
      </w:r>
    </w:p>
    <w:p w:rsidR="00000000" w:rsidRDefault="00000000">
      <w:pPr>
        <w:pStyle w:val="SingleTxt"/>
        <w:tabs>
          <w:tab w:val="clear" w:pos="1267"/>
          <w:tab w:val="clear" w:pos="1742"/>
          <w:tab w:val="left" w:pos="1985"/>
        </w:tabs>
        <w:ind w:left="1985" w:hanging="245"/>
      </w:pPr>
      <w:r>
        <w:t>-</w:t>
      </w:r>
      <w:r>
        <w:tab/>
        <w:t>Телекурсы для женщин, делающих первые шаги в бизнесе (Шлезвиг-Гольштейн)</w:t>
      </w:r>
    </w:p>
    <w:p w:rsidR="00000000" w:rsidRDefault="00000000">
      <w:pPr>
        <w:pStyle w:val="SingleTxt"/>
        <w:tabs>
          <w:tab w:val="clear" w:pos="1267"/>
          <w:tab w:val="clear" w:pos="1742"/>
          <w:tab w:val="left" w:pos="1985"/>
        </w:tabs>
        <w:ind w:left="1985" w:hanging="245"/>
      </w:pPr>
      <w:r>
        <w:t>-</w:t>
      </w:r>
      <w:r>
        <w:tab/>
        <w:t>Увязка выдачи государственных подрядов с мерами по поощрению профессионального роста же</w:t>
      </w:r>
      <w:r>
        <w:t>н</w:t>
      </w:r>
      <w:r>
        <w:t>щин (Бранденбург, Шлезвиг-Гольштейн)</w:t>
      </w:r>
    </w:p>
    <w:p w:rsidR="00000000" w:rsidRDefault="00000000">
      <w:pPr>
        <w:pStyle w:val="SingleTxt"/>
        <w:tabs>
          <w:tab w:val="clear" w:pos="1267"/>
          <w:tab w:val="clear" w:pos="1742"/>
          <w:tab w:val="left" w:pos="1985"/>
        </w:tabs>
        <w:ind w:left="1985" w:hanging="245"/>
      </w:pPr>
      <w:r>
        <w:t>-</w:t>
      </w:r>
      <w:r>
        <w:tab/>
        <w:t>Тюрингский Закон о равенстве прав (ноябрь 1998 года) (Тюрингия)</w:t>
      </w:r>
    </w:p>
    <w:p w:rsidR="00000000" w:rsidRDefault="00000000">
      <w:pPr>
        <w:pStyle w:val="SingleTxt"/>
        <w:tabs>
          <w:tab w:val="clear" w:pos="1267"/>
          <w:tab w:val="clear" w:pos="1742"/>
          <w:tab w:val="left" w:pos="1985"/>
        </w:tabs>
        <w:ind w:left="1985" w:hanging="245"/>
      </w:pPr>
      <w:r>
        <w:t>-</w:t>
      </w:r>
      <w:r>
        <w:tab/>
        <w:t>Пилотный проект под названием «Своими силами: сельские женщины определяют пути структурного развития сельских районов», осущест</w:t>
      </w:r>
      <w:r>
        <w:t>в</w:t>
      </w:r>
      <w:r>
        <w:t>ляемый Германской ассоциацией сельских женщин (Тюрингия)</w:t>
      </w:r>
    </w:p>
    <w:p w:rsidR="00000000" w:rsidRDefault="00000000">
      <w:pPr>
        <w:pStyle w:val="SingleTxt"/>
        <w:tabs>
          <w:tab w:val="clear" w:pos="1267"/>
          <w:tab w:val="clear" w:pos="1742"/>
          <w:tab w:val="left" w:pos="1985"/>
        </w:tabs>
        <w:ind w:left="1985" w:hanging="245"/>
      </w:pPr>
      <w:r>
        <w:t>-</w:t>
      </w:r>
      <w:r>
        <w:tab/>
        <w:t>Исследование на тему «Пути создания новых рабочих мест и обеспеч</w:t>
      </w:r>
      <w:r>
        <w:t>е</w:t>
      </w:r>
      <w:r>
        <w:t>ние занятости посредством расширения сферы охвата услуг в сельских районах» (Тюрингия)</w:t>
      </w:r>
    </w:p>
    <w:p w:rsidR="00000000" w:rsidRDefault="00000000">
      <w:pPr>
        <w:pStyle w:val="SingleTxt"/>
        <w:tabs>
          <w:tab w:val="clear" w:pos="1267"/>
          <w:tab w:val="clear" w:pos="1742"/>
          <w:tab w:val="left" w:pos="1985"/>
        </w:tabs>
        <w:ind w:left="1985" w:hanging="245"/>
      </w:pPr>
      <w:r>
        <w:t>-</w:t>
      </w:r>
      <w:r>
        <w:tab/>
        <w:t>Содействие разработке и осуществлению проектов в области профе</w:t>
      </w:r>
      <w:r>
        <w:t>с</w:t>
      </w:r>
      <w:r>
        <w:t>сиональной подготовки получателей помощи по линии социального обеспечения и неквалифицированных работников из числа женщин (Тюрингия)</w:t>
      </w:r>
    </w:p>
    <w:p w:rsidR="00000000" w:rsidRDefault="00000000">
      <w:pPr>
        <w:pStyle w:val="SingleTxt"/>
        <w:tabs>
          <w:tab w:val="clear" w:pos="1267"/>
          <w:tab w:val="clear" w:pos="1742"/>
          <w:tab w:val="left" w:pos="1985"/>
        </w:tabs>
        <w:ind w:left="1985" w:hanging="245"/>
      </w:pPr>
      <w:r>
        <w:t>-</w:t>
      </w:r>
      <w:r>
        <w:tab/>
        <w:t>Рабочая группа по проблемам женщин и политике на рынке труда (Т</w:t>
      </w:r>
      <w:r>
        <w:t>ю</w:t>
      </w:r>
      <w:r>
        <w:t>рингия)</w:t>
      </w:r>
    </w:p>
    <w:p w:rsidR="00000000" w:rsidRDefault="00000000">
      <w:pPr>
        <w:pStyle w:val="SingleTxt"/>
        <w:tabs>
          <w:tab w:val="clear" w:pos="1267"/>
          <w:tab w:val="clear" w:pos="1742"/>
          <w:tab w:val="left" w:pos="1985"/>
        </w:tabs>
        <w:ind w:left="1985" w:hanging="245"/>
      </w:pPr>
      <w:r>
        <w:t>-</w:t>
      </w:r>
      <w:r>
        <w:tab/>
        <w:t>Содействие созданию и укреплению техноцентров для женщин (Т</w:t>
      </w:r>
      <w:r>
        <w:t>ю</w:t>
      </w:r>
      <w:r>
        <w:t>рингия)</w:t>
      </w:r>
    </w:p>
    <w:p w:rsidR="00000000" w:rsidRDefault="00000000">
      <w:pPr>
        <w:pStyle w:val="SingleTxt"/>
        <w:tabs>
          <w:tab w:val="clear" w:pos="1267"/>
          <w:tab w:val="clear" w:pos="1742"/>
          <w:tab w:val="left" w:pos="1985"/>
        </w:tabs>
        <w:ind w:left="1985" w:hanging="245"/>
      </w:pPr>
      <w:r>
        <w:t>-</w:t>
      </w:r>
      <w:r>
        <w:tab/>
        <w:t>Поддержка проекта под названием «Одинокие родители: риски и во</w:t>
      </w:r>
      <w:r>
        <w:t>з</w:t>
      </w:r>
      <w:r>
        <w:t>мо</w:t>
      </w:r>
      <w:r>
        <w:t>ж</w:t>
      </w:r>
      <w:r>
        <w:t>ности на рынке труда — изменения в образе жизни» (Тюрингия)</w:t>
      </w:r>
    </w:p>
    <w:p w:rsidR="00000000" w:rsidRDefault="00000000">
      <w:pPr>
        <w:pStyle w:val="SingleTxt"/>
        <w:tabs>
          <w:tab w:val="clear" w:pos="1267"/>
          <w:tab w:val="clear" w:pos="1742"/>
          <w:tab w:val="left" w:pos="1985"/>
        </w:tabs>
        <w:ind w:left="1985" w:hanging="245"/>
      </w:pPr>
      <w:r>
        <w:t>-</w:t>
      </w:r>
      <w:r>
        <w:tab/>
        <w:t>Обследование по гендерному признаку и использование всех данных о рынке труда (Тюри</w:t>
      </w:r>
      <w:r>
        <w:t>н</w:t>
      </w:r>
      <w:r>
        <w:t>гия)</w:t>
      </w:r>
    </w:p>
    <w:p w:rsidR="00000000" w:rsidRDefault="00000000">
      <w:pPr>
        <w:pStyle w:val="SingleTxt"/>
        <w:tabs>
          <w:tab w:val="clear" w:pos="1267"/>
          <w:tab w:val="clear" w:pos="1742"/>
          <w:tab w:val="left" w:pos="1985"/>
        </w:tabs>
        <w:ind w:left="1985" w:hanging="245"/>
      </w:pPr>
      <w:r>
        <w:t>-</w:t>
      </w:r>
      <w:r>
        <w:tab/>
        <w:t>Подготовка исследования на тему «Женщины в сельском хозяйстве Т</w:t>
      </w:r>
      <w:r>
        <w:t>ю</w:t>
      </w:r>
      <w:r>
        <w:t>рингии: положение, роль и статус» (Тюрингия)</w:t>
      </w:r>
    </w:p>
    <w:p w:rsidR="00000000" w:rsidRDefault="00000000">
      <w:pPr>
        <w:pStyle w:val="SingleTxt"/>
        <w:tabs>
          <w:tab w:val="clear" w:pos="1267"/>
          <w:tab w:val="clear" w:pos="1742"/>
          <w:tab w:val="left" w:pos="1985"/>
        </w:tabs>
        <w:ind w:left="1985" w:hanging="245"/>
      </w:pPr>
      <w:r>
        <w:t>-</w:t>
      </w:r>
      <w:r>
        <w:tab/>
        <w:t>Периодическое издание под названием «Действующие лица» (“Akteur”), выпускаемое министерством экономики, труда и инфр</w:t>
      </w:r>
      <w:r>
        <w:t>а</w:t>
      </w:r>
      <w:r>
        <w:t>структуры Тюрингии и Европейским социальным фондом (ЕСФ) и с</w:t>
      </w:r>
      <w:r>
        <w:t>о</w:t>
      </w:r>
      <w:r>
        <w:t>держащее колонку под тем же названием, посвященную политике в о</w:t>
      </w:r>
      <w:r>
        <w:t>т</w:t>
      </w:r>
      <w:r>
        <w:t>нош</w:t>
      </w:r>
      <w:r>
        <w:t>е</w:t>
      </w:r>
      <w:r>
        <w:t>нии женщин (Тюрингия)</w:t>
      </w:r>
    </w:p>
    <w:p w:rsidR="00000000" w:rsidRDefault="00000000">
      <w:pPr>
        <w:pStyle w:val="SingleTxt"/>
        <w:tabs>
          <w:tab w:val="clear" w:pos="1267"/>
          <w:tab w:val="clear" w:pos="1742"/>
          <w:tab w:val="left" w:pos="1985"/>
        </w:tabs>
        <w:ind w:left="1985" w:hanging="245"/>
      </w:pPr>
      <w:r>
        <w:t>-</w:t>
      </w:r>
      <w:r>
        <w:tab/>
        <w:t>“BBT Basis” — осуществляемая Залоговым банком программа залог</w:t>
      </w:r>
      <w:r>
        <w:t>о</w:t>
      </w:r>
      <w:r>
        <w:t>вого кредитования м</w:t>
      </w:r>
      <w:r>
        <w:t>а</w:t>
      </w:r>
      <w:r>
        <w:t>лых предприятий (Тюрингия)</w:t>
      </w:r>
    </w:p>
    <w:p w:rsidR="00000000" w:rsidRDefault="00000000">
      <w:pPr>
        <w:pStyle w:val="SingleTxt"/>
        <w:tabs>
          <w:tab w:val="clear" w:pos="1267"/>
          <w:tab w:val="clear" w:pos="1742"/>
          <w:tab w:val="left" w:pos="1985"/>
        </w:tabs>
        <w:ind w:left="1985" w:hanging="245"/>
      </w:pPr>
      <w:r>
        <w:t>-</w:t>
      </w:r>
      <w:r>
        <w:tab/>
        <w:t>Регулярные встречи женщин, занимающихся предпринимательской деятельностью: программа о</w:t>
      </w:r>
      <w:r>
        <w:t>б</w:t>
      </w:r>
      <w:r>
        <w:t>менов и создания сетей (Тюрингия)</w:t>
      </w:r>
    </w:p>
    <w:p w:rsidR="00000000" w:rsidRDefault="00000000">
      <w:pPr>
        <w:pStyle w:val="H4"/>
      </w:pPr>
      <w:bookmarkStart w:id="848" w:name="_Toc44113879"/>
      <w:bookmarkStart w:id="849" w:name="_Toc44114388"/>
      <w:bookmarkStart w:id="850" w:name="_Toc44116070"/>
      <w:r>
        <w:t>c)</w:t>
      </w:r>
      <w:r>
        <w:tab/>
        <w:t>Преодоление противоречий между интересами семьи и работы</w:t>
      </w:r>
      <w:bookmarkEnd w:id="848"/>
      <w:bookmarkEnd w:id="849"/>
      <w:bookmarkEnd w:id="850"/>
    </w:p>
    <w:p w:rsidR="00000000" w:rsidRDefault="00000000">
      <w:pPr>
        <w:pStyle w:val="SingleTxt"/>
        <w:tabs>
          <w:tab w:val="clear" w:pos="1267"/>
          <w:tab w:val="clear" w:pos="1742"/>
          <w:tab w:val="left" w:pos="1985"/>
        </w:tabs>
        <w:ind w:left="1985" w:hanging="245"/>
      </w:pPr>
      <w:r>
        <w:t>-</w:t>
      </w:r>
      <w:r>
        <w:tab/>
        <w:t>Расширение системы услуг по уходу за детьми всех возрастных групп:</w:t>
      </w:r>
    </w:p>
    <w:p w:rsidR="00000000" w:rsidRDefault="00000000">
      <w:pPr>
        <w:pStyle w:val="SingleTxt"/>
        <w:tabs>
          <w:tab w:val="clear" w:pos="1267"/>
        </w:tabs>
        <w:ind w:left="2268" w:hanging="271"/>
      </w:pPr>
      <w:r>
        <w:t>*</w:t>
      </w:r>
      <w:r>
        <w:tab/>
        <w:t>создание новых мест для детей всех возрастных групп путем конве</w:t>
      </w:r>
      <w:r>
        <w:t>р</w:t>
      </w:r>
      <w:r>
        <w:t>сии/распределения;</w:t>
      </w:r>
    </w:p>
    <w:p w:rsidR="00000000" w:rsidRDefault="00000000">
      <w:pPr>
        <w:pStyle w:val="SingleTxt"/>
        <w:tabs>
          <w:tab w:val="clear" w:pos="1267"/>
        </w:tabs>
        <w:ind w:left="2268" w:hanging="271"/>
      </w:pPr>
      <w:r>
        <w:t>*</w:t>
      </w:r>
      <w:r>
        <w:tab/>
        <w:t>расширение возможностей для занятий по системе продленного дня для учащихся школ (на основе сотрудничества между программами помощи молодежи и школами) (Бавария, Северный Рейн-Вестфалия, Саар)</w:t>
      </w:r>
    </w:p>
    <w:p w:rsidR="00000000" w:rsidRDefault="00000000">
      <w:pPr>
        <w:pStyle w:val="SingleTxt"/>
        <w:tabs>
          <w:tab w:val="clear" w:pos="1267"/>
          <w:tab w:val="clear" w:pos="1742"/>
          <w:tab w:val="left" w:pos="1985"/>
        </w:tabs>
        <w:ind w:left="1985" w:hanging="245"/>
      </w:pPr>
      <w:r>
        <w:t>-</w:t>
      </w:r>
      <w:r>
        <w:tab/>
        <w:t>Исследование (программа поощрения исследований по проблемам женщин) на тему: «Работа на дому с использованием средств телеко</w:t>
      </w:r>
      <w:r>
        <w:t>м</w:t>
      </w:r>
      <w:r>
        <w:t>муникации: возможности для обеспечения лучшей увязки интересов работы и семьи» (Б</w:t>
      </w:r>
      <w:r>
        <w:t>а</w:t>
      </w:r>
      <w:r>
        <w:t>ден-Вюртемберг)</w:t>
      </w:r>
    </w:p>
    <w:p w:rsidR="00000000" w:rsidRDefault="00000000">
      <w:pPr>
        <w:pStyle w:val="SingleTxt"/>
        <w:tabs>
          <w:tab w:val="clear" w:pos="1267"/>
          <w:tab w:val="clear" w:pos="1742"/>
          <w:tab w:val="left" w:pos="1985"/>
        </w:tabs>
        <w:ind w:left="1985" w:hanging="245"/>
      </w:pPr>
      <w:r>
        <w:t>-</w:t>
      </w:r>
      <w:r>
        <w:tab/>
        <w:t>Хорошие начальные школы — уход за детьми в течение 5,5 часа ка</w:t>
      </w:r>
      <w:r>
        <w:t>ж</w:t>
      </w:r>
      <w:r>
        <w:t>дый день в первой п</w:t>
      </w:r>
      <w:r>
        <w:t>о</w:t>
      </w:r>
      <w:r>
        <w:t>ловине дня (Баден-Вюртемберг)</w:t>
      </w:r>
    </w:p>
    <w:p w:rsidR="00000000" w:rsidRDefault="00000000">
      <w:pPr>
        <w:pStyle w:val="SingleTxt"/>
        <w:tabs>
          <w:tab w:val="clear" w:pos="1267"/>
          <w:tab w:val="clear" w:pos="1742"/>
          <w:tab w:val="left" w:pos="1985"/>
        </w:tabs>
        <w:ind w:left="1985" w:hanging="245"/>
      </w:pPr>
      <w:r>
        <w:t>-</w:t>
      </w:r>
      <w:r>
        <w:tab/>
        <w:t>Инициатива, направленная на обеспечение учета интересов семьи в процессе управления персон</w:t>
      </w:r>
      <w:r>
        <w:t>а</w:t>
      </w:r>
      <w:r>
        <w:t>лом (Баден-Вюртемберг)</w:t>
      </w:r>
    </w:p>
    <w:p w:rsidR="00000000" w:rsidRDefault="00000000">
      <w:pPr>
        <w:pStyle w:val="SingleTxt"/>
        <w:tabs>
          <w:tab w:val="clear" w:pos="1267"/>
          <w:tab w:val="clear" w:pos="1742"/>
          <w:tab w:val="left" w:pos="1985"/>
        </w:tabs>
        <w:ind w:left="1985" w:hanging="245"/>
      </w:pPr>
      <w:r>
        <w:t>-</w:t>
      </w:r>
      <w:r>
        <w:tab/>
        <w:t>Конференция на тему «Семья и добровольный труд как один из квал</w:t>
      </w:r>
      <w:r>
        <w:t>и</w:t>
      </w:r>
      <w:r>
        <w:t>фикационных параметров» с участием специалистов по кадровым в</w:t>
      </w:r>
      <w:r>
        <w:t>о</w:t>
      </w:r>
      <w:r>
        <w:t>просам (Б</w:t>
      </w:r>
      <w:r>
        <w:t>а</w:t>
      </w:r>
      <w:r>
        <w:t>ден-Вюртемберг)</w:t>
      </w:r>
    </w:p>
    <w:p w:rsidR="00000000" w:rsidRDefault="00000000">
      <w:pPr>
        <w:pStyle w:val="SingleTxt"/>
        <w:tabs>
          <w:tab w:val="clear" w:pos="1267"/>
          <w:tab w:val="clear" w:pos="1742"/>
          <w:tab w:val="left" w:pos="1985"/>
        </w:tabs>
        <w:ind w:left="1985" w:hanging="245"/>
      </w:pPr>
      <w:r>
        <w:t>-</w:t>
      </w:r>
      <w:r>
        <w:tab/>
        <w:t>Вопросники для сотрудников кадровых служб и кандидатов на занятие должностей для указания основных навыков, приобретенных вне раб</w:t>
      </w:r>
      <w:r>
        <w:t>о</w:t>
      </w:r>
      <w:r>
        <w:t>ты, например в семье или при выполнении той или иной работы на добровольной основе, в целях их учета при принятии кадровых реш</w:t>
      </w:r>
      <w:r>
        <w:t>е</w:t>
      </w:r>
      <w:r>
        <w:t>ний (Баден-Вюртемберг)</w:t>
      </w:r>
    </w:p>
    <w:p w:rsidR="00000000" w:rsidRDefault="00000000">
      <w:pPr>
        <w:pStyle w:val="SingleTxt"/>
        <w:tabs>
          <w:tab w:val="clear" w:pos="1267"/>
          <w:tab w:val="clear" w:pos="1742"/>
          <w:tab w:val="left" w:pos="1985"/>
        </w:tabs>
        <w:ind w:left="1985" w:hanging="245"/>
      </w:pPr>
      <w:r>
        <w:t>-</w:t>
      </w:r>
      <w:r>
        <w:tab/>
        <w:t>Курсы дополнительной подготовки по вопросам оценки приобретенных основных навыков под названием «Интервью: механизмы и методы оценки п</w:t>
      </w:r>
      <w:r>
        <w:t>о</w:t>
      </w:r>
      <w:r>
        <w:t>тенциала» (Баден-Вюртемберг)</w:t>
      </w:r>
    </w:p>
    <w:p w:rsidR="00000000" w:rsidRDefault="00000000">
      <w:pPr>
        <w:pStyle w:val="SingleTxt"/>
        <w:tabs>
          <w:tab w:val="clear" w:pos="1267"/>
          <w:tab w:val="clear" w:pos="1742"/>
          <w:tab w:val="left" w:pos="1985"/>
        </w:tabs>
        <w:ind w:left="1985" w:hanging="245"/>
      </w:pPr>
      <w:r>
        <w:t>-</w:t>
      </w:r>
      <w:r>
        <w:tab/>
        <w:t>Конференция с участием экспертов на тему «Управление с учетом и</w:t>
      </w:r>
      <w:r>
        <w:t>н</w:t>
      </w:r>
      <w:r>
        <w:t>тересов семьи», 2001 год, Ли</w:t>
      </w:r>
      <w:r>
        <w:t>н</w:t>
      </w:r>
      <w:r>
        <w:t>дау (Бавария)</w:t>
      </w:r>
    </w:p>
    <w:p w:rsidR="00000000" w:rsidRDefault="00000000">
      <w:pPr>
        <w:pStyle w:val="SingleTxt"/>
        <w:tabs>
          <w:tab w:val="clear" w:pos="1267"/>
          <w:tab w:val="clear" w:pos="1742"/>
          <w:tab w:val="left" w:pos="1985"/>
        </w:tabs>
        <w:ind w:left="1985" w:hanging="245"/>
      </w:pPr>
      <w:r>
        <w:t>-</w:t>
      </w:r>
      <w:r>
        <w:tab/>
        <w:t>Открытие детских садов для детей моложе трех лет и для детей школ</w:t>
      </w:r>
      <w:r>
        <w:t>ь</w:t>
      </w:r>
      <w:r>
        <w:t>ного возраста (Бав</w:t>
      </w:r>
      <w:r>
        <w:t>а</w:t>
      </w:r>
      <w:r>
        <w:t>рия)</w:t>
      </w:r>
    </w:p>
    <w:p w:rsidR="00000000" w:rsidRDefault="00000000">
      <w:pPr>
        <w:pStyle w:val="SingleTxt"/>
        <w:tabs>
          <w:tab w:val="clear" w:pos="1267"/>
          <w:tab w:val="clear" w:pos="1742"/>
          <w:tab w:val="left" w:pos="1985"/>
        </w:tabs>
        <w:ind w:left="1985" w:hanging="245"/>
      </w:pPr>
      <w:r>
        <w:t>-</w:t>
      </w:r>
      <w:r>
        <w:tab/>
        <w:t>Поощрение услуг по уходу за детьми в рамках системы самопомощи в семьях (Бавария)</w:t>
      </w:r>
    </w:p>
    <w:p w:rsidR="00000000" w:rsidRDefault="00000000">
      <w:pPr>
        <w:pStyle w:val="SingleTxt"/>
        <w:tabs>
          <w:tab w:val="clear" w:pos="1267"/>
          <w:tab w:val="clear" w:pos="1742"/>
          <w:tab w:val="left" w:pos="1985"/>
        </w:tabs>
        <w:ind w:left="1985" w:hanging="245"/>
      </w:pPr>
      <w:r>
        <w:t>-</w:t>
      </w:r>
      <w:r>
        <w:tab/>
        <w:t>Осуществление пилотного проекта, направленного на развитие сети дневных учреждений по уходу за детьми (Бавария)</w:t>
      </w:r>
    </w:p>
    <w:p w:rsidR="00000000" w:rsidRDefault="00000000">
      <w:pPr>
        <w:pStyle w:val="SingleTxt"/>
        <w:tabs>
          <w:tab w:val="clear" w:pos="1267"/>
          <w:tab w:val="clear" w:pos="1742"/>
          <w:tab w:val="left" w:pos="1985"/>
        </w:tabs>
        <w:ind w:left="1985" w:hanging="245"/>
      </w:pPr>
      <w:r>
        <w:t>-</w:t>
      </w:r>
      <w:r>
        <w:tab/>
        <w:t>Осуществление совместно с Ассоциацией предприятий металлургич</w:t>
      </w:r>
      <w:r>
        <w:t>е</w:t>
      </w:r>
      <w:r>
        <w:t>ской и электротехнической промышленности проекта по расширению сети детских яслей (Бавария)</w:t>
      </w:r>
    </w:p>
    <w:p w:rsidR="00000000" w:rsidRDefault="00000000">
      <w:pPr>
        <w:pStyle w:val="SingleTxt"/>
        <w:tabs>
          <w:tab w:val="clear" w:pos="1267"/>
          <w:tab w:val="clear" w:pos="1742"/>
          <w:tab w:val="left" w:pos="1985"/>
        </w:tabs>
        <w:ind w:left="1985" w:hanging="245"/>
      </w:pPr>
      <w:r>
        <w:t>-</w:t>
      </w:r>
      <w:r>
        <w:tab/>
        <w:t>Предусмотренное баварским земельным Законом о гражданской службе право на работу в течение неполного рабочего дня (от четверти рабоч</w:t>
      </w:r>
      <w:r>
        <w:t>е</w:t>
      </w:r>
      <w:r>
        <w:t>го дня до менее чем половины рабочего дня) в связи с семейными о</w:t>
      </w:r>
      <w:r>
        <w:t>б</w:t>
      </w:r>
      <w:r>
        <w:t>стоятельствами, если для этого нет противопоказаний производстве</w:t>
      </w:r>
      <w:r>
        <w:t>н</w:t>
      </w:r>
      <w:r>
        <w:t>ного характера (Бав</w:t>
      </w:r>
      <w:r>
        <w:t>а</w:t>
      </w:r>
      <w:r>
        <w:t>рия)</w:t>
      </w:r>
    </w:p>
    <w:p w:rsidR="00000000" w:rsidRDefault="00000000">
      <w:pPr>
        <w:pStyle w:val="SingleTxt"/>
        <w:tabs>
          <w:tab w:val="clear" w:pos="1267"/>
          <w:tab w:val="clear" w:pos="1742"/>
          <w:tab w:val="left" w:pos="1985"/>
        </w:tabs>
        <w:ind w:left="1985" w:hanging="245"/>
      </w:pPr>
      <w:r>
        <w:t>-</w:t>
      </w:r>
      <w:r>
        <w:tab/>
        <w:t>Включение в действующие в Баварии руководящие принципы, каса</w:t>
      </w:r>
      <w:r>
        <w:t>ю</w:t>
      </w:r>
      <w:r>
        <w:t>щиеся ухода за детьми, положений, обеспечивающих учет уровня бл</w:t>
      </w:r>
      <w:r>
        <w:t>а</w:t>
      </w:r>
      <w:r>
        <w:t>госо</w:t>
      </w:r>
      <w:r>
        <w:t>с</w:t>
      </w:r>
      <w:r>
        <w:t>тояния семей (Бавария)</w:t>
      </w:r>
    </w:p>
    <w:p w:rsidR="00000000" w:rsidRDefault="00000000">
      <w:pPr>
        <w:pStyle w:val="SingleTxt"/>
        <w:tabs>
          <w:tab w:val="clear" w:pos="1267"/>
          <w:tab w:val="clear" w:pos="1742"/>
          <w:tab w:val="left" w:pos="1985"/>
        </w:tabs>
        <w:ind w:left="1985" w:hanging="245"/>
      </w:pPr>
      <w:r>
        <w:t>-</w:t>
      </w:r>
      <w:r>
        <w:tab/>
        <w:t>Декрет о мерах по улучшению положения женщин и согласованию и</w:t>
      </w:r>
      <w:r>
        <w:t>н</w:t>
      </w:r>
      <w:r>
        <w:t>тересов работы и семьи при заключении государственных контрактов (Декрет о содействии улучшению положения женщин) от 23 августа 1999 года (Берлин)</w:t>
      </w:r>
    </w:p>
    <w:p w:rsidR="00000000" w:rsidRDefault="00000000">
      <w:pPr>
        <w:pStyle w:val="SingleTxt"/>
        <w:tabs>
          <w:tab w:val="clear" w:pos="1267"/>
          <w:tab w:val="clear" w:pos="1742"/>
          <w:tab w:val="left" w:pos="1985"/>
        </w:tabs>
        <w:ind w:left="1985" w:hanging="245"/>
      </w:pPr>
      <w:r>
        <w:t>-</w:t>
      </w:r>
      <w:r>
        <w:tab/>
        <w:t>Конкурс идей под названием «Возможности для семейной жизни и р</w:t>
      </w:r>
      <w:r>
        <w:t>а</w:t>
      </w:r>
      <w:r>
        <w:t>боты — поощрение инициатив, направленных на согласование интер</w:t>
      </w:r>
      <w:r>
        <w:t>е</w:t>
      </w:r>
      <w:r>
        <w:t>сов семьи и работы» (Бранденбург)</w:t>
      </w:r>
    </w:p>
    <w:p w:rsidR="00000000" w:rsidRDefault="00000000">
      <w:pPr>
        <w:pStyle w:val="SingleTxt"/>
        <w:tabs>
          <w:tab w:val="clear" w:pos="1267"/>
          <w:tab w:val="clear" w:pos="1742"/>
          <w:tab w:val="left" w:pos="1985"/>
        </w:tabs>
        <w:ind w:left="1985" w:hanging="245"/>
      </w:pPr>
      <w:r>
        <w:t>-</w:t>
      </w:r>
      <w:r>
        <w:tab/>
        <w:t>Мероприятие, посвященное вопросам согласования интересов семьи и работы с учетом п</w:t>
      </w:r>
      <w:r>
        <w:t>о</w:t>
      </w:r>
      <w:r>
        <w:t>ложения дел в других европейских странах (Бремен)</w:t>
      </w:r>
    </w:p>
    <w:p w:rsidR="00000000" w:rsidRDefault="00000000">
      <w:pPr>
        <w:pStyle w:val="SingleTxt"/>
        <w:tabs>
          <w:tab w:val="clear" w:pos="1267"/>
          <w:tab w:val="clear" w:pos="1742"/>
          <w:tab w:val="left" w:pos="1985"/>
        </w:tabs>
        <w:ind w:left="1985" w:hanging="245"/>
      </w:pPr>
      <w:r>
        <w:t>-</w:t>
      </w:r>
      <w:r>
        <w:tab/>
        <w:t>Методические пособия для руководителей подразделений по разрабо</w:t>
      </w:r>
      <w:r>
        <w:t>т</w:t>
      </w:r>
      <w:r>
        <w:t>ке планов профессионального роста женщин на государственной слу</w:t>
      </w:r>
      <w:r>
        <w:t>ж</w:t>
      </w:r>
      <w:r>
        <w:t>бе (Бремен)</w:t>
      </w:r>
    </w:p>
    <w:p w:rsidR="00000000" w:rsidRDefault="00000000">
      <w:pPr>
        <w:pStyle w:val="SingleTxt"/>
        <w:tabs>
          <w:tab w:val="clear" w:pos="1267"/>
          <w:tab w:val="clear" w:pos="1742"/>
          <w:tab w:val="left" w:pos="1985"/>
        </w:tabs>
        <w:ind w:left="1985" w:hanging="245"/>
      </w:pPr>
      <w:r>
        <w:t>-</w:t>
      </w:r>
      <w:r>
        <w:tab/>
        <w:t>Информационный проспект для женщин, возобновляющих трудовую деятельность (Бремен)</w:t>
      </w:r>
    </w:p>
    <w:p w:rsidR="00000000" w:rsidRDefault="00000000">
      <w:pPr>
        <w:pStyle w:val="SingleTxt"/>
        <w:tabs>
          <w:tab w:val="clear" w:pos="1267"/>
          <w:tab w:val="clear" w:pos="1742"/>
          <w:tab w:val="left" w:pos="1985"/>
        </w:tabs>
        <w:ind w:left="1985" w:hanging="245"/>
      </w:pPr>
      <w:r>
        <w:t>-</w:t>
      </w:r>
      <w:r>
        <w:tab/>
        <w:t>Информационная брошюра, озаглавленная «Модели работы в течение неполного рабочего дня в го</w:t>
      </w:r>
      <w:r>
        <w:t>с</w:t>
      </w:r>
      <w:r>
        <w:t>питалях» (Бремен)</w:t>
      </w:r>
    </w:p>
    <w:p w:rsidR="00000000" w:rsidRDefault="00000000">
      <w:pPr>
        <w:pStyle w:val="SingleTxt"/>
        <w:tabs>
          <w:tab w:val="clear" w:pos="1267"/>
          <w:tab w:val="clear" w:pos="1742"/>
          <w:tab w:val="left" w:pos="1985"/>
        </w:tabs>
        <w:ind w:left="1985" w:hanging="245"/>
      </w:pPr>
      <w:r>
        <w:t>-</w:t>
      </w:r>
      <w:r>
        <w:tab/>
        <w:t>Мероприятия, посвященные праву на работу в течение неполного раб</w:t>
      </w:r>
      <w:r>
        <w:t>о</w:t>
      </w:r>
      <w:r>
        <w:t>ч</w:t>
      </w:r>
      <w:r>
        <w:t>е</w:t>
      </w:r>
      <w:r>
        <w:t>го дня (отпуск по уходу за детьми/воспитанию детей) (Бремен)</w:t>
      </w:r>
    </w:p>
    <w:p w:rsidR="00000000" w:rsidRDefault="00000000">
      <w:pPr>
        <w:pStyle w:val="SingleTxt"/>
        <w:tabs>
          <w:tab w:val="clear" w:pos="1267"/>
          <w:tab w:val="clear" w:pos="1742"/>
          <w:tab w:val="left" w:pos="1985"/>
        </w:tabs>
        <w:ind w:left="1985" w:hanging="245"/>
      </w:pPr>
      <w:r>
        <w:t>-</w:t>
      </w:r>
      <w:r>
        <w:tab/>
        <w:t>Информационные материалы и телефонные консультации для женщин, возобновляющих трудовую деятельность (Бремен)</w:t>
      </w:r>
    </w:p>
    <w:p w:rsidR="00000000" w:rsidRDefault="00000000">
      <w:pPr>
        <w:pStyle w:val="SingleTxt"/>
        <w:tabs>
          <w:tab w:val="clear" w:pos="1267"/>
          <w:tab w:val="clear" w:pos="1742"/>
          <w:tab w:val="left" w:pos="1985"/>
        </w:tabs>
        <w:ind w:left="1985" w:hanging="245"/>
      </w:pPr>
      <w:r>
        <w:t>-</w:t>
      </w:r>
      <w:r>
        <w:tab/>
        <w:t>Мероприятие на тему «Отцовство и обязанности по дому», включая распространение информации о передовом опыте в деле внедрения графиков работы, учитывающих потребн</w:t>
      </w:r>
      <w:r>
        <w:t>о</w:t>
      </w:r>
      <w:r>
        <w:t>сти семьи (Гамбург)</w:t>
      </w:r>
    </w:p>
    <w:p w:rsidR="00000000" w:rsidRDefault="00000000">
      <w:pPr>
        <w:pStyle w:val="SingleTxt"/>
        <w:tabs>
          <w:tab w:val="clear" w:pos="1267"/>
          <w:tab w:val="clear" w:pos="1742"/>
          <w:tab w:val="left" w:pos="1985"/>
        </w:tabs>
        <w:ind w:left="1985" w:hanging="245"/>
      </w:pPr>
      <w:r>
        <w:t>-</w:t>
      </w:r>
      <w:r>
        <w:tab/>
        <w:t>Планирование специальных мероприятий, посвященных обязанностям отцов по выполнению домашней работы и воспитанию детей, в рамках учебных курсов для родителей (система образования для взрослых) (Гамбург)</w:t>
      </w:r>
    </w:p>
    <w:p w:rsidR="00000000" w:rsidRDefault="00000000">
      <w:pPr>
        <w:pStyle w:val="SingleTxt"/>
        <w:tabs>
          <w:tab w:val="clear" w:pos="1267"/>
          <w:tab w:val="clear" w:pos="1742"/>
          <w:tab w:val="left" w:pos="1985"/>
        </w:tabs>
        <w:ind w:left="1985" w:hanging="245"/>
      </w:pPr>
      <w:r>
        <w:t>-</w:t>
      </w:r>
      <w:r>
        <w:tab/>
        <w:t>Учет в налоговом законодательстве необходимости ухода за детьми и связанных с этим расходов в контексте производительной занятости (Ге</w:t>
      </w:r>
      <w:r>
        <w:t>с</w:t>
      </w:r>
      <w:r>
        <w:t>сен)</w:t>
      </w:r>
    </w:p>
    <w:p w:rsidR="00000000" w:rsidRDefault="00000000">
      <w:pPr>
        <w:pStyle w:val="SingleTxt"/>
        <w:tabs>
          <w:tab w:val="clear" w:pos="1267"/>
          <w:tab w:val="clear" w:pos="1742"/>
          <w:tab w:val="left" w:pos="1985"/>
        </w:tabs>
        <w:ind w:left="1985" w:hanging="245"/>
      </w:pPr>
      <w:r>
        <w:t>-</w:t>
      </w:r>
      <w:r>
        <w:tab/>
        <w:t>Программа профессиональной подготовки родителей в период их н</w:t>
      </w:r>
      <w:r>
        <w:t>а</w:t>
      </w:r>
      <w:r>
        <w:t>хождения в отпусках по воспитанию детей (Мекленбург-Передняя П</w:t>
      </w:r>
      <w:r>
        <w:t>о</w:t>
      </w:r>
      <w:r>
        <w:t>мер</w:t>
      </w:r>
      <w:r>
        <w:t>а</w:t>
      </w:r>
      <w:r>
        <w:t>ния)</w:t>
      </w:r>
    </w:p>
    <w:p w:rsidR="00000000" w:rsidRDefault="00000000">
      <w:pPr>
        <w:pStyle w:val="SingleTxt"/>
        <w:tabs>
          <w:tab w:val="clear" w:pos="1267"/>
          <w:tab w:val="clear" w:pos="1742"/>
          <w:tab w:val="left" w:pos="1985"/>
        </w:tabs>
        <w:ind w:left="1985" w:hanging="245"/>
      </w:pPr>
      <w:r>
        <w:t>-</w:t>
      </w:r>
      <w:r>
        <w:tab/>
        <w:t>Поощрение разработки и осуществления компаниями проектов, н</w:t>
      </w:r>
      <w:r>
        <w:t>а</w:t>
      </w:r>
      <w:r>
        <w:t>правленных, среди прочего, на обеспечение таких графиков работы для сотрудников, которые учитывали бы интересы семьи (С</w:t>
      </w:r>
      <w:r>
        <w:t>е</w:t>
      </w:r>
      <w:r>
        <w:t>верный Рейн-Вестфалия)</w:t>
      </w:r>
    </w:p>
    <w:p w:rsidR="00000000" w:rsidRDefault="00000000">
      <w:pPr>
        <w:pStyle w:val="SingleTxt"/>
        <w:tabs>
          <w:tab w:val="clear" w:pos="1267"/>
          <w:tab w:val="clear" w:pos="1742"/>
          <w:tab w:val="left" w:pos="1985"/>
        </w:tabs>
        <w:ind w:left="1985" w:hanging="245"/>
      </w:pPr>
      <w:r>
        <w:t>-</w:t>
      </w:r>
      <w:r>
        <w:tab/>
        <w:t>Руководство для предприятий и их работников по вопросам работы на дому с использованием телекоммуникационных средств (Северный Рейн-Вестфалия)</w:t>
      </w:r>
    </w:p>
    <w:p w:rsidR="00000000" w:rsidRDefault="00000000">
      <w:pPr>
        <w:pStyle w:val="SingleTxt"/>
        <w:tabs>
          <w:tab w:val="clear" w:pos="1267"/>
          <w:tab w:val="clear" w:pos="1742"/>
          <w:tab w:val="left" w:pos="1985"/>
        </w:tabs>
        <w:ind w:left="1985" w:hanging="245"/>
      </w:pPr>
      <w:r>
        <w:t>-</w:t>
      </w:r>
      <w:r>
        <w:tab/>
        <w:t>Информационные материалы (брошюры, Интернет-презентации и т.д.) для родителей, и в частности для отцов, а также материалы о возмо</w:t>
      </w:r>
      <w:r>
        <w:t>ж</w:t>
      </w:r>
      <w:r>
        <w:t>ностях получения поддержки в компаниях и государственных учрежд</w:t>
      </w:r>
      <w:r>
        <w:t>е</w:t>
      </w:r>
      <w:r>
        <w:t>ниях (Северный Рейн-Вестфалия)</w:t>
      </w:r>
    </w:p>
    <w:p w:rsidR="00000000" w:rsidRDefault="00000000">
      <w:pPr>
        <w:pStyle w:val="SingleTxt"/>
        <w:tabs>
          <w:tab w:val="clear" w:pos="1267"/>
          <w:tab w:val="clear" w:pos="1742"/>
          <w:tab w:val="left" w:pos="1985"/>
        </w:tabs>
        <w:ind w:left="1985" w:hanging="245"/>
      </w:pPr>
      <w:r>
        <w:t>-</w:t>
      </w:r>
      <w:r>
        <w:tab/>
        <w:t>Информационно-просветительские меры в рамках кампании, ориент</w:t>
      </w:r>
      <w:r>
        <w:t>и</w:t>
      </w:r>
      <w:r>
        <w:t>рованной на отцов (в том числе с использованием почтовых открыток) (Северный Рейн-Вестфалия)</w:t>
      </w:r>
    </w:p>
    <w:p w:rsidR="00000000" w:rsidRDefault="00000000">
      <w:pPr>
        <w:pStyle w:val="SingleTxt"/>
        <w:tabs>
          <w:tab w:val="clear" w:pos="1267"/>
          <w:tab w:val="clear" w:pos="1742"/>
          <w:tab w:val="left" w:pos="1985"/>
        </w:tabs>
        <w:ind w:left="1985" w:hanging="245"/>
      </w:pPr>
      <w:r>
        <w:t>-</w:t>
      </w:r>
      <w:r>
        <w:tab/>
        <w:t>Создание школ продленного дня (Рейнланд-Пфальц)</w:t>
      </w:r>
    </w:p>
    <w:p w:rsidR="00000000" w:rsidRDefault="00000000">
      <w:pPr>
        <w:pStyle w:val="SingleTxt"/>
        <w:tabs>
          <w:tab w:val="clear" w:pos="1267"/>
          <w:tab w:val="clear" w:pos="1742"/>
          <w:tab w:val="left" w:pos="1985"/>
        </w:tabs>
        <w:ind w:left="1985" w:hanging="245"/>
      </w:pPr>
      <w:r>
        <w:t>-</w:t>
      </w:r>
      <w:r>
        <w:tab/>
        <w:t>Работа в течение неполного рабочего дня, в том числе на руководящих должностях (Саар)</w:t>
      </w:r>
    </w:p>
    <w:p w:rsidR="00000000" w:rsidRDefault="00000000">
      <w:pPr>
        <w:pStyle w:val="SingleTxt"/>
        <w:tabs>
          <w:tab w:val="clear" w:pos="1267"/>
          <w:tab w:val="clear" w:pos="1742"/>
          <w:tab w:val="left" w:pos="1985"/>
        </w:tabs>
        <w:ind w:left="1985" w:hanging="245"/>
      </w:pPr>
      <w:r>
        <w:t>-</w:t>
      </w:r>
      <w:r>
        <w:tab/>
        <w:t>Проект под названием «Работа в течение неполного рабочего дня для мужчин, занимающих руков</w:t>
      </w:r>
      <w:r>
        <w:t>о</w:t>
      </w:r>
      <w:r>
        <w:t>дящие должности» (Шлезвиг-Гольштейн)</w:t>
      </w:r>
    </w:p>
    <w:p w:rsidR="00000000" w:rsidRDefault="00000000">
      <w:pPr>
        <w:pStyle w:val="SingleTxt"/>
        <w:tabs>
          <w:tab w:val="clear" w:pos="1267"/>
          <w:tab w:val="clear" w:pos="1742"/>
          <w:tab w:val="left" w:pos="1985"/>
        </w:tabs>
        <w:ind w:left="1985" w:hanging="244"/>
      </w:pPr>
      <w:r>
        <w:t>-</w:t>
      </w:r>
      <w:r>
        <w:tab/>
        <w:t>Тюрингская модель организации системы ухода за детьми: помощь со стороны земельных властей в сфере просветительской деятельности; закрепление в законодательстве права на получение места для ребенка в детском саду или детских яслях (Тюрингия)</w:t>
      </w:r>
    </w:p>
    <w:p w:rsidR="00000000" w:rsidRDefault="00000000">
      <w:pPr>
        <w:pStyle w:val="H4"/>
      </w:pPr>
      <w:bookmarkStart w:id="851" w:name="_Toc44113880"/>
      <w:bookmarkStart w:id="852" w:name="_Toc44114389"/>
      <w:bookmarkStart w:id="853" w:name="_Toc44116071"/>
      <w:r>
        <w:t>d)</w:t>
      </w:r>
      <w:r>
        <w:tab/>
        <w:t>Возобновление трудовой деятельности</w:t>
      </w:r>
      <w:bookmarkEnd w:id="851"/>
      <w:bookmarkEnd w:id="852"/>
      <w:bookmarkEnd w:id="853"/>
    </w:p>
    <w:p w:rsidR="00000000" w:rsidRDefault="00000000">
      <w:pPr>
        <w:pStyle w:val="SingleTxt"/>
        <w:tabs>
          <w:tab w:val="clear" w:pos="1742"/>
          <w:tab w:val="left" w:pos="1985"/>
        </w:tabs>
        <w:ind w:left="1985" w:hanging="244"/>
      </w:pPr>
      <w:r>
        <w:t>-</w:t>
      </w:r>
      <w:r>
        <w:tab/>
        <w:t>Пилотный проект «КОБРА» (коммерчески ориентированная программа профессиональной подготовки для женщин, прекративших заниматься прост</w:t>
      </w:r>
      <w:r>
        <w:t>и</w:t>
      </w:r>
      <w:r>
        <w:t>туцией) (Бавария)</w:t>
      </w:r>
    </w:p>
    <w:p w:rsidR="00000000" w:rsidRDefault="00000000">
      <w:pPr>
        <w:pStyle w:val="SingleTxt"/>
        <w:tabs>
          <w:tab w:val="clear" w:pos="1742"/>
          <w:tab w:val="left" w:pos="1985"/>
        </w:tabs>
        <w:ind w:left="1985" w:hanging="244"/>
      </w:pPr>
      <w:r>
        <w:t>-</w:t>
      </w:r>
      <w:r>
        <w:tab/>
        <w:t>Агентство по вопросам трудоустройства и профессиональной подг</w:t>
      </w:r>
      <w:r>
        <w:t>о</w:t>
      </w:r>
      <w:r>
        <w:t>товки лиц, желающих выполнять одну и ту же работу поочередно (Б</w:t>
      </w:r>
      <w:r>
        <w:t>а</w:t>
      </w:r>
      <w:r>
        <w:t>вария)</w:t>
      </w:r>
    </w:p>
    <w:p w:rsidR="00000000" w:rsidRDefault="00000000">
      <w:pPr>
        <w:pStyle w:val="SingleTxt"/>
        <w:tabs>
          <w:tab w:val="clear" w:pos="1742"/>
          <w:tab w:val="left" w:pos="1985"/>
        </w:tabs>
        <w:ind w:left="1985" w:hanging="244"/>
      </w:pPr>
      <w:r>
        <w:t>-</w:t>
      </w:r>
      <w:r>
        <w:tab/>
        <w:t xml:space="preserve"> «Инициатива женских центров земли Бранденбург — женщины и и</w:t>
      </w:r>
      <w:r>
        <w:t>н</w:t>
      </w:r>
      <w:r>
        <w:t>формационные технологии», подготовка женщин к работе в Интернете (Бранде</w:t>
      </w:r>
      <w:r>
        <w:t>н</w:t>
      </w:r>
      <w:r>
        <w:t>бург)</w:t>
      </w:r>
    </w:p>
    <w:p w:rsidR="00000000" w:rsidRDefault="00000000">
      <w:pPr>
        <w:pStyle w:val="SingleTxt"/>
        <w:tabs>
          <w:tab w:val="clear" w:pos="1742"/>
          <w:tab w:val="left" w:pos="1985"/>
        </w:tabs>
        <w:ind w:left="1985" w:hanging="244"/>
      </w:pPr>
      <w:r>
        <w:t>-</w:t>
      </w:r>
      <w:r>
        <w:tab/>
        <w:t>Пилотный проект под названием «Женщины, возобновляющие труд</w:t>
      </w:r>
      <w:r>
        <w:t>о</w:t>
      </w:r>
      <w:r>
        <w:t>вую деятельность: гибкость и забота о семье», осуществляемый мин</w:t>
      </w:r>
      <w:r>
        <w:t>и</w:t>
      </w:r>
      <w:r>
        <w:t>стерством труда, социальных дел, здравоохранения и по делам женщин земли Бранденбург в сотрудничестве с бюро по трудоустройству «Но</w:t>
      </w:r>
      <w:r>
        <w:t>й</w:t>
      </w:r>
      <w:r>
        <w:t>руппин», действующим при Торгово-промышленной палате Франкфу</w:t>
      </w:r>
      <w:r>
        <w:t>р</w:t>
      </w:r>
      <w:r>
        <w:t>та-на-Одере (Бранденбург)</w:t>
      </w:r>
    </w:p>
    <w:p w:rsidR="00000000" w:rsidRDefault="00000000">
      <w:pPr>
        <w:pStyle w:val="SingleTxt"/>
        <w:tabs>
          <w:tab w:val="clear" w:pos="1742"/>
          <w:tab w:val="left" w:pos="1985"/>
        </w:tabs>
        <w:ind w:left="1985" w:hanging="244"/>
      </w:pPr>
      <w:r>
        <w:t>-</w:t>
      </w:r>
      <w:r>
        <w:tab/>
        <w:t>Брошюра по вопросам профессионального роста женщин, возобнови</w:t>
      </w:r>
      <w:r>
        <w:t>в</w:t>
      </w:r>
      <w:r>
        <w:t>ших трудовую де</w:t>
      </w:r>
      <w:r>
        <w:t>я</w:t>
      </w:r>
      <w:r>
        <w:t>тельность (Бремен)</w:t>
      </w:r>
    </w:p>
    <w:p w:rsidR="00000000" w:rsidRDefault="00000000">
      <w:pPr>
        <w:pStyle w:val="SingleTxt"/>
        <w:tabs>
          <w:tab w:val="clear" w:pos="1742"/>
          <w:tab w:val="left" w:pos="1985"/>
        </w:tabs>
        <w:ind w:left="1985" w:hanging="244"/>
      </w:pPr>
      <w:r>
        <w:t>-</w:t>
      </w:r>
      <w:r>
        <w:tab/>
        <w:t>План поощрения, при поддержке Европейского союза, профессионал</w:t>
      </w:r>
      <w:r>
        <w:t>ь</w:t>
      </w:r>
      <w:r>
        <w:t>ного роста женщин, находящихся в отпуске по воспитанию детей (м</w:t>
      </w:r>
      <w:r>
        <w:t>о</w:t>
      </w:r>
      <w:r>
        <w:t>дульная модель повышения профессиональной квалификации) (Бр</w:t>
      </w:r>
      <w:r>
        <w:t>е</w:t>
      </w:r>
      <w:r>
        <w:t>мен)</w:t>
      </w:r>
    </w:p>
    <w:p w:rsidR="00000000" w:rsidRDefault="00000000">
      <w:pPr>
        <w:pStyle w:val="SingleTxt"/>
        <w:tabs>
          <w:tab w:val="clear" w:pos="1742"/>
          <w:tab w:val="left" w:pos="1985"/>
        </w:tabs>
        <w:ind w:left="1985" w:hanging="244"/>
      </w:pPr>
      <w:r>
        <w:t>-</w:t>
      </w:r>
      <w:r>
        <w:tab/>
        <w:t>Методическое пособие и программа повышения квалификации, пред</w:t>
      </w:r>
      <w:r>
        <w:t>у</w:t>
      </w:r>
      <w:r>
        <w:t>сматривающие большое число мер по обеспечению профессионального роста женщин, возобновивших труд</w:t>
      </w:r>
      <w:r>
        <w:t>о</w:t>
      </w:r>
      <w:r>
        <w:t>вую деятельность (Бремен)</w:t>
      </w:r>
    </w:p>
    <w:p w:rsidR="00000000" w:rsidRDefault="00000000">
      <w:pPr>
        <w:pStyle w:val="SingleTxt"/>
        <w:ind w:left="1985" w:hanging="244"/>
      </w:pPr>
      <w:r>
        <w:t>-</w:t>
      </w:r>
      <w:r>
        <w:tab/>
        <w:t>Курсы профессиональной ориентации для женщин, не занятых прои</w:t>
      </w:r>
      <w:r>
        <w:t>з</w:t>
      </w:r>
      <w:r>
        <w:t>водительным трудом (Гессен)</w:t>
      </w:r>
    </w:p>
    <w:p w:rsidR="00000000" w:rsidRDefault="00000000">
      <w:pPr>
        <w:pStyle w:val="SingleTxt"/>
        <w:ind w:left="1985" w:hanging="244"/>
      </w:pPr>
      <w:r>
        <w:t>-</w:t>
      </w:r>
      <w:r>
        <w:tab/>
        <w:t>Специальная программа консультативной помощи, осуществляемая з</w:t>
      </w:r>
      <w:r>
        <w:t>е</w:t>
      </w:r>
      <w:r>
        <w:t>мельными органами, занимающимися решением проблем, связанных с работой женщин (Северный Рейн-Фестфалия)</w:t>
      </w:r>
    </w:p>
    <w:p w:rsidR="00000000" w:rsidRDefault="00000000">
      <w:pPr>
        <w:pStyle w:val="SingleTxt"/>
        <w:ind w:left="1985" w:hanging="244"/>
      </w:pPr>
      <w:r>
        <w:t>-</w:t>
      </w:r>
      <w:r>
        <w:tab/>
        <w:t>Программа интеграции или реинтеграции женщин в трудовую деятел</w:t>
      </w:r>
      <w:r>
        <w:t>ь</w:t>
      </w:r>
      <w:r>
        <w:t>ность; семинары для женщин, возвращающихся к трудовой деятельн</w:t>
      </w:r>
      <w:r>
        <w:t>о</w:t>
      </w:r>
      <w:r>
        <w:t>сти, посвященные возможностям трудоустройства (Рей</w:t>
      </w:r>
      <w:r>
        <w:t>н</w:t>
      </w:r>
      <w:r>
        <w:t>ланд-Пфальц)</w:t>
      </w:r>
    </w:p>
    <w:p w:rsidR="00000000" w:rsidRDefault="00000000">
      <w:pPr>
        <w:pStyle w:val="SingleTxt"/>
        <w:ind w:left="1985" w:hanging="244"/>
      </w:pPr>
      <w:r>
        <w:t>-</w:t>
      </w:r>
      <w:r>
        <w:tab/>
        <w:t>Меры в области профессиональной ориентации и профессиональной подготовки одиноких родителей, получающих помощь в рамках пр</w:t>
      </w:r>
      <w:r>
        <w:t>о</w:t>
      </w:r>
      <w:r>
        <w:t>грамм соц</w:t>
      </w:r>
      <w:r>
        <w:t>и</w:t>
      </w:r>
      <w:r>
        <w:t>ального обеспечения (Рейнланд-Пфальц)</w:t>
      </w:r>
    </w:p>
    <w:p w:rsidR="00000000" w:rsidRDefault="00000000">
      <w:pPr>
        <w:pStyle w:val="SingleTxt"/>
        <w:ind w:left="1985" w:hanging="244"/>
      </w:pPr>
      <w:r>
        <w:t>-</w:t>
      </w:r>
      <w:r>
        <w:tab/>
        <w:t>Консультативные агентства для женщин, возобновляющих трудовую деятельность (Рей</w:t>
      </w:r>
      <w:r>
        <w:t>н</w:t>
      </w:r>
      <w:r>
        <w:t>ланд-Пфальц)</w:t>
      </w:r>
    </w:p>
    <w:p w:rsidR="00000000" w:rsidRDefault="00000000">
      <w:pPr>
        <w:pStyle w:val="SingleTxt"/>
        <w:ind w:left="1985" w:hanging="244"/>
      </w:pPr>
      <w:r>
        <w:t>-</w:t>
      </w:r>
      <w:r>
        <w:tab/>
        <w:t>Программа «Возвращение на работу» (курсы, призванные содейств</w:t>
      </w:r>
      <w:r>
        <w:t>о</w:t>
      </w:r>
      <w:r>
        <w:t>вать профессиональной реинтеграции женщин и мужчин после отпу</w:t>
      </w:r>
      <w:r>
        <w:t>с</w:t>
      </w:r>
      <w:r>
        <w:t>ков по семейным обстоятельствам) (Сакс</w:t>
      </w:r>
      <w:r>
        <w:t>о</w:t>
      </w:r>
      <w:r>
        <w:t>ния)</w:t>
      </w:r>
    </w:p>
    <w:p w:rsidR="00000000" w:rsidRDefault="00000000">
      <w:pPr>
        <w:pStyle w:val="SingleTxt"/>
        <w:ind w:left="1985" w:hanging="244"/>
      </w:pPr>
      <w:r>
        <w:t>-</w:t>
      </w:r>
      <w:r>
        <w:tab/>
        <w:t>Ускоренное продвижение по службе женщин, участвующих в общих программах (профессиональная подготовка и повышение професси</w:t>
      </w:r>
      <w:r>
        <w:t>о</w:t>
      </w:r>
      <w:r>
        <w:t>нальной квалификации работников в рамках мер по стимулированию рынка труда; профессиональная подготовка и профессиональная инт</w:t>
      </w:r>
      <w:r>
        <w:t>е</w:t>
      </w:r>
      <w:r>
        <w:t>грация в рамках общих программ профессиональной интеграции лиц, получающих пособия по линии социального обеспечения; содействие расширению возможностей в области профессиональной подготовки; руков</w:t>
      </w:r>
      <w:r>
        <w:t>о</w:t>
      </w:r>
      <w:r>
        <w:t>дство “SAM”) (Саксония-Анхальт)</w:t>
      </w:r>
    </w:p>
    <w:p w:rsidR="00000000" w:rsidRDefault="00000000">
      <w:pPr>
        <w:pStyle w:val="SingleTxt"/>
        <w:ind w:left="1985" w:hanging="244"/>
      </w:pPr>
      <w:r>
        <w:t>-</w:t>
      </w:r>
      <w:r>
        <w:tab/>
        <w:t>Целевые программы для женщин (содействие трудоустройству на по</w:t>
      </w:r>
      <w:r>
        <w:t>л</w:t>
      </w:r>
      <w:r>
        <w:t>ный рабочий день безработных женщин в возрасте старше 45 лет; р</w:t>
      </w:r>
      <w:r>
        <w:t>е</w:t>
      </w:r>
      <w:r>
        <w:t>гиональные координационные агентства «Пинк», «Мобайл сайбер к</w:t>
      </w:r>
      <w:r>
        <w:t>у</w:t>
      </w:r>
      <w:r>
        <w:t>ин») (Саксония-Анхальт)</w:t>
      </w:r>
    </w:p>
    <w:p w:rsidR="00000000" w:rsidRDefault="00000000">
      <w:pPr>
        <w:pStyle w:val="SingleTxt"/>
        <w:ind w:left="1985" w:hanging="244"/>
      </w:pPr>
      <w:r>
        <w:t>-</w:t>
      </w:r>
      <w:r>
        <w:tab/>
        <w:t>Выделение женщин в отдельную целевую группу в рамках всех пр</w:t>
      </w:r>
      <w:r>
        <w:t>о</w:t>
      </w:r>
      <w:r>
        <w:t>грамм в поддержку пол</w:t>
      </w:r>
      <w:r>
        <w:t>и</w:t>
      </w:r>
      <w:r>
        <w:t>тики на рынке труда (Тюрингия)</w:t>
      </w:r>
    </w:p>
    <w:p w:rsidR="00000000" w:rsidRDefault="00000000">
      <w:pPr>
        <w:pStyle w:val="SingleTxt"/>
        <w:ind w:left="1985" w:hanging="244"/>
      </w:pPr>
      <w:r>
        <w:t>-</w:t>
      </w:r>
      <w:r>
        <w:tab/>
        <w:t>Программа «50-плюс» (ускоренное продвижение по службе работа</w:t>
      </w:r>
      <w:r>
        <w:t>ю</w:t>
      </w:r>
      <w:r>
        <w:t>щих женщин в возрасте старше 50 лет) (Тюрингия)</w:t>
      </w:r>
    </w:p>
    <w:p w:rsidR="00000000" w:rsidRDefault="00000000">
      <w:pPr>
        <w:pStyle w:val="SingleTxt"/>
        <w:ind w:left="1985" w:hanging="244"/>
      </w:pPr>
      <w:r>
        <w:t>-</w:t>
      </w:r>
      <w:r>
        <w:tab/>
        <w:t>Поощрение создания и развития центров профессиональной ориент</w:t>
      </w:r>
      <w:r>
        <w:t>а</w:t>
      </w:r>
      <w:r>
        <w:t>ции (Тюрингия)</w:t>
      </w:r>
    </w:p>
    <w:p w:rsidR="00000000" w:rsidRDefault="00000000">
      <w:pPr>
        <w:pStyle w:val="H4"/>
      </w:pPr>
      <w:bookmarkStart w:id="854" w:name="_Toc44113881"/>
      <w:bookmarkStart w:id="855" w:name="_Toc44114390"/>
      <w:bookmarkStart w:id="856" w:name="_Toc44116072"/>
      <w:r>
        <w:t>e)</w:t>
      </w:r>
      <w:r>
        <w:tab/>
        <w:t>Насилие в отношении женщин и девочек</w:t>
      </w:r>
      <w:bookmarkEnd w:id="854"/>
      <w:bookmarkEnd w:id="855"/>
      <w:bookmarkEnd w:id="856"/>
    </w:p>
    <w:p w:rsidR="00000000" w:rsidRDefault="00000000">
      <w:pPr>
        <w:pStyle w:val="SingleTxt"/>
        <w:ind w:left="1985" w:hanging="244"/>
      </w:pPr>
      <w:r>
        <w:t>-</w:t>
      </w:r>
      <w:r>
        <w:tab/>
        <w:t>Подборка статистических данных о зарегистрированных в полиции случаях насилия в семье (Бе</w:t>
      </w:r>
      <w:r>
        <w:t>р</w:t>
      </w:r>
      <w:r>
        <w:t>лин, Мекленбург-Передняя Померания)</w:t>
      </w:r>
    </w:p>
    <w:p w:rsidR="00000000" w:rsidRDefault="00000000">
      <w:pPr>
        <w:pStyle w:val="SingleTxt"/>
        <w:ind w:left="1985" w:hanging="244"/>
      </w:pPr>
      <w:r>
        <w:t>-</w:t>
      </w:r>
      <w:r>
        <w:tab/>
        <w:t>Мероприятия, посвященные Закону о защите от насилия (Бремен, Га</w:t>
      </w:r>
      <w:r>
        <w:t>м</w:t>
      </w:r>
      <w:r>
        <w:t>бург)</w:t>
      </w:r>
    </w:p>
    <w:p w:rsidR="00000000" w:rsidRDefault="00000000">
      <w:pPr>
        <w:pStyle w:val="SingleTxt"/>
        <w:ind w:left="1985" w:hanging="244"/>
      </w:pPr>
      <w:r>
        <w:t>-</w:t>
      </w:r>
      <w:r>
        <w:tab/>
        <w:t>Пилотный судебный процесс по делу о передаче по опеку третьих ст</w:t>
      </w:r>
      <w:r>
        <w:t>о</w:t>
      </w:r>
      <w:r>
        <w:t>рон лиц, подвергающихся н</w:t>
      </w:r>
      <w:r>
        <w:t>а</w:t>
      </w:r>
      <w:r>
        <w:t>силию в семье (Баден-Вюртемберг)</w:t>
      </w:r>
    </w:p>
    <w:p w:rsidR="00000000" w:rsidRDefault="00000000">
      <w:pPr>
        <w:pStyle w:val="SingleTxt"/>
        <w:ind w:left="1985" w:hanging="244"/>
      </w:pPr>
      <w:r>
        <w:t>-</w:t>
      </w:r>
      <w:r>
        <w:tab/>
        <w:t>Повсеместное введение на территории земли Баден-Вюртемберг пр</w:t>
      </w:r>
      <w:r>
        <w:t>о</w:t>
      </w:r>
      <w:r>
        <w:t>цедуры передачи под опеку третьих сторон лиц, пострадавших в р</w:t>
      </w:r>
      <w:r>
        <w:t>е</w:t>
      </w:r>
      <w:r>
        <w:t>зультате насилия в семье, и выделение ассигнований на цели примен</w:t>
      </w:r>
      <w:r>
        <w:t>е</w:t>
      </w:r>
      <w:r>
        <w:t>ния этой процедуры (Б</w:t>
      </w:r>
      <w:r>
        <w:t>а</w:t>
      </w:r>
      <w:r>
        <w:t>ден-Вюртемберг)</w:t>
      </w:r>
    </w:p>
    <w:p w:rsidR="00000000" w:rsidRDefault="00000000">
      <w:pPr>
        <w:pStyle w:val="SingleTxt"/>
        <w:ind w:left="1985" w:hanging="244"/>
      </w:pPr>
      <w:r>
        <w:t>-</w:t>
      </w:r>
      <w:r>
        <w:tab/>
        <w:t>Информационная брошюра под названием «Насилие в отношении женщин» (Баден-Вюртемберг)</w:t>
      </w:r>
    </w:p>
    <w:p w:rsidR="00000000" w:rsidRDefault="00000000">
      <w:pPr>
        <w:pStyle w:val="SingleTxt"/>
        <w:ind w:left="1985" w:hanging="244"/>
      </w:pPr>
      <w:r>
        <w:t>-</w:t>
      </w:r>
      <w:r>
        <w:tab/>
        <w:t>Провозглашение Уполномоченным по делам женщин земельного пр</w:t>
      </w:r>
      <w:r>
        <w:t>а</w:t>
      </w:r>
      <w:r>
        <w:t>вительства Баварии «Принципов защиты работников от сексуальных домогательств на рабочем месте» (Бав</w:t>
      </w:r>
      <w:r>
        <w:t>а</w:t>
      </w:r>
      <w:r>
        <w:t>рия)</w:t>
      </w:r>
    </w:p>
    <w:p w:rsidR="00000000" w:rsidRDefault="00000000">
      <w:pPr>
        <w:pStyle w:val="SingleTxt"/>
        <w:ind w:left="1985" w:hanging="244"/>
      </w:pPr>
      <w:r>
        <w:t>-</w:t>
      </w:r>
      <w:r>
        <w:tab/>
        <w:t>Пилотный проект в области сотрудничества между полицией и мол</w:t>
      </w:r>
      <w:r>
        <w:t>о</w:t>
      </w:r>
      <w:r>
        <w:t>дежью в сфере социальной деятельности (с уделением основного вн</w:t>
      </w:r>
      <w:r>
        <w:t>и</w:t>
      </w:r>
      <w:r>
        <w:t>мания стратегиям применения на практике будущего закона о защите от насилия) (Бав</w:t>
      </w:r>
      <w:r>
        <w:t>а</w:t>
      </w:r>
      <w:r>
        <w:t>рия)</w:t>
      </w:r>
    </w:p>
    <w:p w:rsidR="00000000" w:rsidRDefault="00000000">
      <w:pPr>
        <w:pStyle w:val="SingleTxt"/>
        <w:ind w:left="1985" w:hanging="244"/>
      </w:pPr>
      <w:r>
        <w:t>-</w:t>
      </w:r>
      <w:r>
        <w:tab/>
        <w:t>Пилотный проект в области защиты свидетелей (Бавария)</w:t>
      </w:r>
    </w:p>
    <w:p w:rsidR="00000000" w:rsidRDefault="00000000">
      <w:pPr>
        <w:pStyle w:val="SingleTxt"/>
        <w:ind w:left="1985" w:hanging="244"/>
      </w:pPr>
      <w:r>
        <w:t>-</w:t>
      </w:r>
      <w:r>
        <w:tab/>
        <w:t>Конференция на уровне экспертов, посвященная работе с лицами, склонными к насилию (Бавария)</w:t>
      </w:r>
    </w:p>
    <w:p w:rsidR="00000000" w:rsidRDefault="00000000">
      <w:pPr>
        <w:pStyle w:val="SingleTxt"/>
        <w:ind w:left="1985" w:hanging="244"/>
      </w:pPr>
      <w:r>
        <w:t>-</w:t>
      </w:r>
      <w:r>
        <w:tab/>
        <w:t>Проект в области борьбы с насилием в отношении женщин, осущест</w:t>
      </w:r>
      <w:r>
        <w:t>в</w:t>
      </w:r>
      <w:r>
        <w:t>ляемый клиникой Универс</w:t>
      </w:r>
      <w:r>
        <w:t>и</w:t>
      </w:r>
      <w:r>
        <w:t>тета Бенджамина Франклина (Берлин)</w:t>
      </w:r>
    </w:p>
    <w:p w:rsidR="00000000" w:rsidRDefault="00000000">
      <w:pPr>
        <w:pStyle w:val="SingleTxt"/>
        <w:ind w:left="1985" w:hanging="244"/>
      </w:pPr>
      <w:r>
        <w:t>-</w:t>
      </w:r>
      <w:r>
        <w:tab/>
        <w:t>Брошюра под названием «Информация для врачей по вопросам насилия в отношении женщин (когда пациенты женского пола являются жер</w:t>
      </w:r>
      <w:r>
        <w:t>т</w:t>
      </w:r>
      <w:r>
        <w:t>вами нас</w:t>
      </w:r>
      <w:r>
        <w:t>и</w:t>
      </w:r>
      <w:r>
        <w:t>лия)» (Берлин)</w:t>
      </w:r>
    </w:p>
    <w:p w:rsidR="00000000" w:rsidRDefault="00000000">
      <w:pPr>
        <w:pStyle w:val="SingleTxt"/>
        <w:ind w:left="1985" w:hanging="244"/>
      </w:pPr>
      <w:r>
        <w:t>-</w:t>
      </w:r>
      <w:r>
        <w:tab/>
        <w:t>Содействие созданию 6 приютов для женщин, 4 консультативных агентств и 43 приютов (Берлин)</w:t>
      </w:r>
    </w:p>
    <w:p w:rsidR="00000000" w:rsidRDefault="00000000">
      <w:pPr>
        <w:pStyle w:val="SingleTxt"/>
        <w:ind w:left="1985" w:hanging="244"/>
      </w:pPr>
      <w:r>
        <w:t>-</w:t>
      </w:r>
      <w:r>
        <w:tab/>
        <w:t>Содействие созданию центра психологической реабилитации и ко</w:t>
      </w:r>
      <w:r>
        <w:t>н</w:t>
      </w:r>
      <w:r>
        <w:t>сультативных услуг для женщин и девочек, ставших жертвами секс</w:t>
      </w:r>
      <w:r>
        <w:t>у</w:t>
      </w:r>
      <w:r>
        <w:t>ального насилия (Берлин)</w:t>
      </w:r>
    </w:p>
    <w:p w:rsidR="00000000" w:rsidRDefault="00000000">
      <w:pPr>
        <w:pStyle w:val="SingleTxt"/>
        <w:ind w:left="1985" w:hanging="244"/>
      </w:pPr>
      <w:r>
        <w:t>-</w:t>
      </w:r>
      <w:r>
        <w:tab/>
        <w:t>Поддержка осуществляемого властями Берлина (совместно с федерал</w:t>
      </w:r>
      <w:r>
        <w:t>ь</w:t>
      </w:r>
      <w:r>
        <w:t>ным министерством по делам семьи, престарелых, женщин и молод</w:t>
      </w:r>
      <w:r>
        <w:t>е</w:t>
      </w:r>
      <w:r>
        <w:t>жи) пилотного проекта, направленного на борьбу с насилием в семье (Берлин)</w:t>
      </w:r>
    </w:p>
    <w:p w:rsidR="00000000" w:rsidRDefault="00000000">
      <w:pPr>
        <w:pStyle w:val="SingleTxt"/>
        <w:ind w:left="1985" w:hanging="244"/>
      </w:pPr>
      <w:r>
        <w:t>-</w:t>
      </w:r>
      <w:r>
        <w:tab/>
        <w:t>Принятие «Берлинского плана действий по борьбе с насилием в семье» (март 2002 года) (Берлин)</w:t>
      </w:r>
    </w:p>
    <w:p w:rsidR="00000000" w:rsidRDefault="00000000">
      <w:pPr>
        <w:pStyle w:val="SingleTxt"/>
        <w:ind w:left="1985" w:hanging="244"/>
      </w:pPr>
      <w:r>
        <w:t>-</w:t>
      </w:r>
      <w:r>
        <w:tab/>
        <w:t>Конференция на уровне экспертов и документация на тему «Меры по пр</w:t>
      </w:r>
      <w:r>
        <w:t>е</w:t>
      </w:r>
      <w:r>
        <w:t>сечению насилия в семье» (Берлин)</w:t>
      </w:r>
    </w:p>
    <w:p w:rsidR="00000000" w:rsidRDefault="00000000">
      <w:pPr>
        <w:pStyle w:val="SingleTxt"/>
        <w:ind w:left="1985" w:hanging="244"/>
      </w:pPr>
      <w:r>
        <w:t>-</w:t>
      </w:r>
      <w:r>
        <w:tab/>
        <w:t>Семинар-практикум на тему «Сексуальное насилие» (Берлин)</w:t>
      </w:r>
    </w:p>
    <w:p w:rsidR="00000000" w:rsidRDefault="00000000">
      <w:pPr>
        <w:pStyle w:val="SingleTxt"/>
        <w:ind w:left="1985" w:hanging="244"/>
      </w:pPr>
      <w:r>
        <w:t>-</w:t>
      </w:r>
      <w:r>
        <w:tab/>
        <w:t>Кампания под лозунгом «Вместе против насилия со стороны мужчин» (Берлин)</w:t>
      </w:r>
    </w:p>
    <w:p w:rsidR="00000000" w:rsidRDefault="00000000">
      <w:pPr>
        <w:pStyle w:val="SingleTxt"/>
        <w:ind w:left="1985" w:hanging="244"/>
      </w:pPr>
      <w:r>
        <w:t>-</w:t>
      </w:r>
      <w:r>
        <w:tab/>
        <w:t>Разработка типовых мер по расширению сотрудничества и приданию комплексного характера деятельности по борьбе с насилием в семье на окру</w:t>
      </w:r>
      <w:r>
        <w:t>ж</w:t>
      </w:r>
      <w:r>
        <w:t>ном уровне (Берлин)</w:t>
      </w:r>
    </w:p>
    <w:p w:rsidR="00000000" w:rsidRDefault="00000000">
      <w:pPr>
        <w:pStyle w:val="SingleTxt"/>
        <w:ind w:left="1985" w:hanging="244"/>
      </w:pPr>
      <w:r>
        <w:t>-</w:t>
      </w:r>
      <w:r>
        <w:tab/>
        <w:t>План действий в интересах бездомных женщин и подготовка рекоме</w:t>
      </w:r>
      <w:r>
        <w:t>н</w:t>
      </w:r>
      <w:r>
        <w:t>даций (Берлин)</w:t>
      </w:r>
    </w:p>
    <w:p w:rsidR="00000000" w:rsidRDefault="00000000">
      <w:pPr>
        <w:pStyle w:val="SingleTxt"/>
        <w:ind w:left="1985" w:hanging="244"/>
      </w:pPr>
      <w:r>
        <w:t>-</w:t>
      </w:r>
      <w:r>
        <w:tab/>
        <w:t>Помещения для свидетелей, поддержка свидетелей и процессуальная помощь в местном суде в Тиргартене и Берлинском земельном суде (Берлин)</w:t>
      </w:r>
    </w:p>
    <w:p w:rsidR="00000000" w:rsidRDefault="00000000">
      <w:pPr>
        <w:pStyle w:val="SingleTxt"/>
        <w:ind w:left="1985" w:hanging="244"/>
      </w:pPr>
      <w:r>
        <w:t>-</w:t>
      </w:r>
      <w:r>
        <w:tab/>
        <w:t>Содействие созданию Берлинского агентства по борьбе с насилием в семье (Берлин)</w:t>
      </w:r>
    </w:p>
    <w:p w:rsidR="00000000" w:rsidRDefault="00000000">
      <w:pPr>
        <w:pStyle w:val="SingleTxt"/>
        <w:ind w:left="1985" w:hanging="244"/>
      </w:pPr>
      <w:r>
        <w:t>-</w:t>
      </w:r>
      <w:r>
        <w:tab/>
        <w:t>Разработка проекта создания доступного ночного приюта для бездо</w:t>
      </w:r>
      <w:r>
        <w:t>м</w:t>
      </w:r>
      <w:r>
        <w:t>ных женщин (Берлин)</w:t>
      </w:r>
    </w:p>
    <w:p w:rsidR="00000000" w:rsidRDefault="00000000">
      <w:pPr>
        <w:pStyle w:val="SingleTxt"/>
        <w:ind w:left="1985" w:hanging="244"/>
      </w:pPr>
      <w:r>
        <w:t>-</w:t>
      </w:r>
      <w:r>
        <w:tab/>
        <w:t>Содействие осуществлению программы «Донна Кастелла» (предоста</w:t>
      </w:r>
      <w:r>
        <w:t>в</w:t>
      </w:r>
      <w:r>
        <w:t>ление жилья женщинам, пострадавшим от насилия, в контексте защ</w:t>
      </w:r>
      <w:r>
        <w:t>и</w:t>
      </w:r>
      <w:r>
        <w:t>щенного сегмента рынка) (Берлин)</w:t>
      </w:r>
    </w:p>
    <w:p w:rsidR="00000000" w:rsidRDefault="00000000">
      <w:pPr>
        <w:pStyle w:val="SingleTxt"/>
        <w:ind w:left="1985" w:hanging="244"/>
      </w:pPr>
      <w:r>
        <w:t>-</w:t>
      </w:r>
      <w:r>
        <w:tab/>
        <w:t>Программа пилотных мер по отселению лиц, склонных к насилию. Проект поправок к Закону об общей безопасности и порядке, позв</w:t>
      </w:r>
      <w:r>
        <w:t>о</w:t>
      </w:r>
      <w:r>
        <w:t>ляющий полиции отселять лиц, склонных к насилию, на срок до 14 дней (Бе</w:t>
      </w:r>
      <w:r>
        <w:t>р</w:t>
      </w:r>
      <w:r>
        <w:t>лин)</w:t>
      </w:r>
    </w:p>
    <w:p w:rsidR="00000000" w:rsidRDefault="00000000">
      <w:pPr>
        <w:pStyle w:val="SingleTxt"/>
        <w:ind w:left="1985" w:hanging="244"/>
      </w:pPr>
      <w:r>
        <w:t>-</w:t>
      </w:r>
      <w:r>
        <w:tab/>
        <w:t>Руководство для земельной полиции на случай вызовов по сигналам о бытовом насилии и инструкция, определяющая порядок действий при расслед</w:t>
      </w:r>
      <w:r>
        <w:t>о</w:t>
      </w:r>
      <w:r>
        <w:t>вании соответствующих дел (Берлин)</w:t>
      </w:r>
    </w:p>
    <w:p w:rsidR="00000000" w:rsidRDefault="00000000">
      <w:pPr>
        <w:pStyle w:val="SingleTxt"/>
        <w:ind w:left="1985" w:hanging="244"/>
      </w:pPr>
      <w:r>
        <w:t>-</w:t>
      </w:r>
      <w:r>
        <w:tab/>
        <w:t>Разработка бланков ходатайств о вынесении гражданско-правовых о</w:t>
      </w:r>
      <w:r>
        <w:t>х</w:t>
      </w:r>
      <w:r>
        <w:t>ранных судебных приказов в соответствии с Законом о защите от нас</w:t>
      </w:r>
      <w:r>
        <w:t>и</w:t>
      </w:r>
      <w:r>
        <w:t>лия (Берлин)</w:t>
      </w:r>
    </w:p>
    <w:p w:rsidR="00000000" w:rsidRDefault="00000000">
      <w:pPr>
        <w:pStyle w:val="SingleTxt"/>
        <w:ind w:left="1985" w:hanging="244"/>
      </w:pPr>
      <w:r>
        <w:t>-</w:t>
      </w:r>
      <w:r>
        <w:tab/>
        <w:t>Земельный план действий по борьбе с насилием в отношении женщин (Бранденбург)</w:t>
      </w:r>
    </w:p>
    <w:p w:rsidR="00000000" w:rsidRDefault="00000000">
      <w:pPr>
        <w:pStyle w:val="SingleTxt"/>
        <w:ind w:left="1985" w:hanging="244"/>
      </w:pPr>
      <w:r>
        <w:t>-</w:t>
      </w:r>
      <w:r>
        <w:tab/>
        <w:t>Содействие созданию 25 убежищ для женщин в целях обеспечения о</w:t>
      </w:r>
      <w:r>
        <w:t>с</w:t>
      </w:r>
      <w:r>
        <w:t>новных потребностей в таких убежищах (Бранденбург)</w:t>
      </w:r>
    </w:p>
    <w:p w:rsidR="00000000" w:rsidRDefault="00000000">
      <w:pPr>
        <w:pStyle w:val="SingleTxt"/>
        <w:ind w:left="1985" w:hanging="244"/>
      </w:pPr>
      <w:r>
        <w:t>-</w:t>
      </w:r>
      <w:r>
        <w:tab/>
        <w:t>Брошюра под названием «Что такое сексуальные злоупотребления?» (Бремен)</w:t>
      </w:r>
    </w:p>
    <w:p w:rsidR="00000000" w:rsidRDefault="00000000">
      <w:pPr>
        <w:pStyle w:val="SingleTxt"/>
        <w:ind w:left="1985" w:hanging="244"/>
      </w:pPr>
      <w:r>
        <w:t>-</w:t>
      </w:r>
      <w:r>
        <w:tab/>
        <w:t>Дополнительная подготовка женского персонала детских учреждений по вопросам сексуального насилия в отношении детей (Бремен)</w:t>
      </w:r>
    </w:p>
    <w:p w:rsidR="00000000" w:rsidRDefault="00000000">
      <w:pPr>
        <w:pStyle w:val="SingleTxt"/>
        <w:ind w:left="1985" w:hanging="244"/>
      </w:pPr>
      <w:r>
        <w:t>-</w:t>
      </w:r>
      <w:r>
        <w:tab/>
        <w:t>Перечень мер сената Бремена, касающихся деятельности государстве</w:t>
      </w:r>
      <w:r>
        <w:t>н</w:t>
      </w:r>
      <w:r>
        <w:t>ных органов и учреждений по решению проблемы насилия в семье и св</w:t>
      </w:r>
      <w:r>
        <w:t>я</w:t>
      </w:r>
      <w:r>
        <w:t>занных с ней проблем (Бремен)</w:t>
      </w:r>
    </w:p>
    <w:p w:rsidR="00000000" w:rsidRDefault="00000000">
      <w:pPr>
        <w:pStyle w:val="SingleTxt"/>
        <w:ind w:left="1985" w:hanging="244"/>
      </w:pPr>
      <w:r>
        <w:t>-</w:t>
      </w:r>
      <w:r>
        <w:tab/>
        <w:t>Подготовка и проведение в городе Бремерхафен кампании против нас</w:t>
      </w:r>
      <w:r>
        <w:t>и</w:t>
      </w:r>
      <w:r>
        <w:t>лия в отношениях между ро</w:t>
      </w:r>
      <w:r>
        <w:t>д</w:t>
      </w:r>
      <w:r>
        <w:t>ственниками (Бремен)</w:t>
      </w:r>
    </w:p>
    <w:p w:rsidR="00000000" w:rsidRDefault="00000000">
      <w:pPr>
        <w:pStyle w:val="SingleTxt"/>
        <w:ind w:left="1985" w:hanging="244"/>
      </w:pPr>
      <w:r>
        <w:t>-</w:t>
      </w:r>
      <w:r>
        <w:tab/>
        <w:t>Создание в существующем с 1984 года специальном департаменте пр</w:t>
      </w:r>
      <w:r>
        <w:t>о</w:t>
      </w:r>
      <w:r>
        <w:t>куратуры двух новых должностей для женщин-юристов в целях обе</w:t>
      </w:r>
      <w:r>
        <w:t>с</w:t>
      </w:r>
      <w:r>
        <w:t>печения возможностей для расследования всех случаев сексуального и иного насилия (Бремен)</w:t>
      </w:r>
    </w:p>
    <w:p w:rsidR="00000000" w:rsidRDefault="00000000">
      <w:pPr>
        <w:pStyle w:val="SingleTxt"/>
        <w:ind w:left="1985" w:hanging="244"/>
      </w:pPr>
      <w:r>
        <w:t>-</w:t>
      </w:r>
      <w:r>
        <w:tab/>
        <w:t>Создание круглосуточной дежурной службы полиции для приема сро</w:t>
      </w:r>
      <w:r>
        <w:t>ч</w:t>
      </w:r>
      <w:r>
        <w:t>ных вызовов (Бремен)</w:t>
      </w:r>
    </w:p>
    <w:p w:rsidR="00000000" w:rsidRDefault="00000000">
      <w:pPr>
        <w:pStyle w:val="SingleTxt"/>
        <w:ind w:left="1985" w:hanging="244"/>
      </w:pPr>
      <w:r>
        <w:t>-</w:t>
      </w:r>
      <w:r>
        <w:tab/>
        <w:t>Пилотный проект под названием «Примирение между сторонами в сл</w:t>
      </w:r>
      <w:r>
        <w:t>у</w:t>
      </w:r>
      <w:r>
        <w:t>чаях насилия в отн</w:t>
      </w:r>
      <w:r>
        <w:t>о</w:t>
      </w:r>
      <w:r>
        <w:t>шениях между супругами» (Гамбург)</w:t>
      </w:r>
    </w:p>
    <w:p w:rsidR="00000000" w:rsidRDefault="00000000">
      <w:pPr>
        <w:pStyle w:val="SingleTxt"/>
        <w:ind w:left="1985" w:hanging="244"/>
      </w:pPr>
      <w:r>
        <w:t>-</w:t>
      </w:r>
      <w:r>
        <w:tab/>
        <w:t>Тематический исследовательский проект под названием «Поведение мальчиков и девочек в детских садах в конфликтных ситуациях» (Га</w:t>
      </w:r>
      <w:r>
        <w:t>м</w:t>
      </w:r>
      <w:r>
        <w:t>бург)</w:t>
      </w:r>
    </w:p>
    <w:p w:rsidR="00000000" w:rsidRDefault="00000000">
      <w:pPr>
        <w:pStyle w:val="SingleTxt"/>
        <w:ind w:left="1985" w:hanging="244"/>
      </w:pPr>
      <w:r>
        <w:t>-</w:t>
      </w:r>
      <w:r>
        <w:tab/>
        <w:t>Конференция на уровне экспертов на тему «Какова половая прина</w:t>
      </w:r>
      <w:r>
        <w:t>д</w:t>
      </w:r>
      <w:r>
        <w:t>лежность насилия? Профилактика насилия в эпоху повышенного вн</w:t>
      </w:r>
      <w:r>
        <w:t>и</w:t>
      </w:r>
      <w:r>
        <w:t>мания к гендерной проблематике» (Га</w:t>
      </w:r>
      <w:r>
        <w:t>м</w:t>
      </w:r>
      <w:r>
        <w:t>бург)</w:t>
      </w:r>
    </w:p>
    <w:p w:rsidR="00000000" w:rsidRDefault="00000000">
      <w:pPr>
        <w:pStyle w:val="SingleTxt"/>
        <w:ind w:left="1985" w:hanging="244"/>
      </w:pPr>
      <w:r>
        <w:t>-</w:t>
      </w:r>
      <w:r>
        <w:tab/>
        <w:t>Создание земельной рабочей группы по вопросам насилия в семье в целях разработки рекомендаций для земельного правительства в отн</w:t>
      </w:r>
      <w:r>
        <w:t>о</w:t>
      </w:r>
      <w:r>
        <w:t>шении земельного плана действий и координации региональной де</w:t>
      </w:r>
      <w:r>
        <w:t>я</w:t>
      </w:r>
      <w:r>
        <w:t>тельности; до 2002 года особое внимание уделялось последствиям б</w:t>
      </w:r>
      <w:r>
        <w:t>ы</w:t>
      </w:r>
      <w:r>
        <w:t>тового насилия в отношении детей, вопросам применения Закона о з</w:t>
      </w:r>
      <w:r>
        <w:t>а</w:t>
      </w:r>
      <w:r>
        <w:t>щите от насилия и изменениям в практике правоохранительных орг</w:t>
      </w:r>
      <w:r>
        <w:t>а</w:t>
      </w:r>
      <w:r>
        <w:t>нов (Гессен)</w:t>
      </w:r>
    </w:p>
    <w:p w:rsidR="00000000" w:rsidRDefault="00000000">
      <w:pPr>
        <w:pStyle w:val="SingleTxt"/>
        <w:ind w:left="1985" w:hanging="244"/>
      </w:pPr>
      <w:r>
        <w:t>-</w:t>
      </w:r>
      <w:r>
        <w:tab/>
        <w:t>Семинар-практикум на тему «Правовые требования к документам о влиянии насилия в отношении женщин на их здоровье» для врачей и сотрудников служб, занимающихся оказанием долгосрочной помощи и поддержки (Гессен)</w:t>
      </w:r>
    </w:p>
    <w:p w:rsidR="00000000" w:rsidRDefault="00000000">
      <w:pPr>
        <w:pStyle w:val="SingleTxt"/>
        <w:ind w:left="1985" w:hanging="244"/>
      </w:pPr>
      <w:r>
        <w:t>-</w:t>
      </w:r>
      <w:r>
        <w:tab/>
        <w:t>Методическое руководство для полиции с рекомендациями в отнош</w:t>
      </w:r>
      <w:r>
        <w:t>е</w:t>
      </w:r>
      <w:r>
        <w:t>нии мер по борьбе с насилием в семье; сбор с конца 2001 года данных полицейской статистики в целях статистического анализа случаев н</w:t>
      </w:r>
      <w:r>
        <w:t>а</w:t>
      </w:r>
      <w:r>
        <w:t>силия в семье; многочисленные меры по обеспечению базовой и д</w:t>
      </w:r>
      <w:r>
        <w:t>о</w:t>
      </w:r>
      <w:r>
        <w:t>полнительной подготовки сотрудников полиции по вопросам насилия в семье в целях их информирования о новой правовой ситуации в связи с принятием Гражданско-правового закона о защите от насилия (Гессен)</w:t>
      </w:r>
    </w:p>
    <w:p w:rsidR="00000000" w:rsidRDefault="00000000">
      <w:pPr>
        <w:pStyle w:val="SingleTxt"/>
        <w:ind w:left="1985" w:hanging="244"/>
      </w:pPr>
      <w:r>
        <w:t>-</w:t>
      </w:r>
      <w:r>
        <w:tab/>
        <w:t>Принятие специального нормативного акта, касающегося отселения лиц, виновных в бытовом насилии, в соответствии с земельным Зак</w:t>
      </w:r>
      <w:r>
        <w:t>о</w:t>
      </w:r>
      <w:r>
        <w:t>ном о безопа</w:t>
      </w:r>
      <w:r>
        <w:t>с</w:t>
      </w:r>
      <w:r>
        <w:t>ности и порядке (Гессен)</w:t>
      </w:r>
    </w:p>
    <w:p w:rsidR="00000000" w:rsidRDefault="00000000">
      <w:pPr>
        <w:pStyle w:val="SingleTxt"/>
        <w:ind w:left="1985" w:hanging="244"/>
      </w:pPr>
      <w:r>
        <w:t>-</w:t>
      </w:r>
      <w:r>
        <w:tab/>
        <w:t>Обеспечение наличия в составе полицейских органов сотрудников же</w:t>
      </w:r>
      <w:r>
        <w:t>н</w:t>
      </w:r>
      <w:r>
        <w:t>ского пола для выполнения функций, связанных с пресечением насилия в семье, а также для расследования случаев такого насилия (Ге</w:t>
      </w:r>
      <w:r>
        <w:t>с</w:t>
      </w:r>
      <w:r>
        <w:t>сен)</w:t>
      </w:r>
    </w:p>
    <w:p w:rsidR="00000000" w:rsidRDefault="00000000">
      <w:pPr>
        <w:pStyle w:val="SingleTxt"/>
        <w:ind w:left="1985" w:hanging="244"/>
      </w:pPr>
      <w:r>
        <w:t>-</w:t>
      </w:r>
      <w:r>
        <w:tab/>
        <w:t>Создание в органах прокуратуры на местном и других уровнях спец</w:t>
      </w:r>
      <w:r>
        <w:t>и</w:t>
      </w:r>
      <w:r>
        <w:t>альных подразделений для уголовного преследования лиц, виновных в преступлениях против сексуального самоопределения, а также в быт</w:t>
      </w:r>
      <w:r>
        <w:t>о</w:t>
      </w:r>
      <w:r>
        <w:t>вом насилии (Ге</w:t>
      </w:r>
      <w:r>
        <w:t>с</w:t>
      </w:r>
      <w:r>
        <w:t>сен)</w:t>
      </w:r>
    </w:p>
    <w:p w:rsidR="00000000" w:rsidRDefault="00000000">
      <w:pPr>
        <w:pStyle w:val="SingleTxt"/>
        <w:ind w:left="1985" w:hanging="244"/>
      </w:pPr>
      <w:r>
        <w:t>-</w:t>
      </w:r>
      <w:r>
        <w:tab/>
        <w:t>Удовлетворение общих базовых потребностей путем содействия созд</w:t>
      </w:r>
      <w:r>
        <w:t>а</w:t>
      </w:r>
      <w:r>
        <w:t>нию 34 приютов и 12 центров экстренной помощи и консультативных услуг для женщин и еще одного координационного агентства для це</w:t>
      </w:r>
      <w:r>
        <w:t>н</w:t>
      </w:r>
      <w:r>
        <w:t>тра экстренной помощи женщинам в чрезвычайных обстоятельствах (Гессен)</w:t>
      </w:r>
    </w:p>
    <w:p w:rsidR="00000000" w:rsidRDefault="00000000">
      <w:pPr>
        <w:pStyle w:val="SingleTxt"/>
        <w:ind w:left="1985" w:hanging="244"/>
      </w:pPr>
      <w:r>
        <w:t>-</w:t>
      </w:r>
      <w:r>
        <w:tab/>
        <w:t>Медицинское освидетельствование женщин на предмет побоев в ра</w:t>
      </w:r>
      <w:r>
        <w:t>м</w:t>
      </w:r>
      <w:r>
        <w:t>ках мер по охране здоровья женщин, подвергающихся риску насилия. Обеспечение эффективного взаимодействия между медицинскими у</w:t>
      </w:r>
      <w:r>
        <w:t>ч</w:t>
      </w:r>
      <w:r>
        <w:t>реждениями и центр</w:t>
      </w:r>
      <w:r>
        <w:t>а</w:t>
      </w:r>
      <w:r>
        <w:t>ми по оказанию помощи (Гессен)</w:t>
      </w:r>
    </w:p>
    <w:p w:rsidR="00000000" w:rsidRDefault="00000000">
      <w:pPr>
        <w:pStyle w:val="SingleTxt"/>
        <w:ind w:left="1985" w:hanging="244"/>
      </w:pPr>
      <w:r>
        <w:t>-</w:t>
      </w:r>
      <w:r>
        <w:tab/>
        <w:t>Создание в органах прокуратуры специальных подразделений, зан</w:t>
      </w:r>
      <w:r>
        <w:t>и</w:t>
      </w:r>
      <w:r>
        <w:t>мающихся вопросами бытового насилия (Мекленбург-Передняя Пом</w:t>
      </w:r>
      <w:r>
        <w:t>е</w:t>
      </w:r>
      <w:r>
        <w:t>рания)</w:t>
      </w:r>
    </w:p>
    <w:p w:rsidR="00000000" w:rsidRDefault="00000000">
      <w:pPr>
        <w:pStyle w:val="SingleTxt"/>
        <w:ind w:left="1985" w:hanging="244"/>
      </w:pPr>
      <w:r>
        <w:t>-</w:t>
      </w:r>
      <w:r>
        <w:tab/>
        <w:t>Уделение приоритетного внимания расселению обитателей приютов для женщин путем предоставления им государственного жилья (Ме</w:t>
      </w:r>
      <w:r>
        <w:t>к</w:t>
      </w:r>
      <w:r>
        <w:t>ленбург-Передняя Померания)</w:t>
      </w:r>
    </w:p>
    <w:p w:rsidR="00000000" w:rsidRDefault="00000000">
      <w:pPr>
        <w:pStyle w:val="SingleTxt"/>
        <w:ind w:left="1985" w:hanging="244"/>
      </w:pPr>
      <w:r>
        <w:t>-</w:t>
      </w:r>
      <w:r>
        <w:tab/>
        <w:t>Обеспечение правовой основы для того, чтобы органы полиции, отв</w:t>
      </w:r>
      <w:r>
        <w:t>е</w:t>
      </w:r>
      <w:r>
        <w:t>чающие за вопросы безопасности и порядка, могли отселять лиц, в</w:t>
      </w:r>
      <w:r>
        <w:t>и</w:t>
      </w:r>
      <w:r>
        <w:t>новных в насилии, на срок до 14 дней (Мекленбург-Передняя Помер</w:t>
      </w:r>
      <w:r>
        <w:t>а</w:t>
      </w:r>
      <w:r>
        <w:t>ния)</w:t>
      </w:r>
    </w:p>
    <w:p w:rsidR="00000000" w:rsidRDefault="00000000">
      <w:pPr>
        <w:pStyle w:val="SingleTxt"/>
        <w:ind w:left="1985" w:hanging="244"/>
      </w:pPr>
      <w:r>
        <w:t>-</w:t>
      </w:r>
      <w:r>
        <w:tab/>
        <w:t>Создание четырех агентств для обеспечения связи между профильными государственными учреждениями (Мекленбург-Передняя Помер</w:t>
      </w:r>
      <w:r>
        <w:t>а</w:t>
      </w:r>
      <w:r>
        <w:t>ния)</w:t>
      </w:r>
    </w:p>
    <w:p w:rsidR="00000000" w:rsidRDefault="00000000">
      <w:pPr>
        <w:pStyle w:val="SingleTxt"/>
        <w:ind w:left="1985" w:hanging="244"/>
      </w:pPr>
      <w:r>
        <w:t>-</w:t>
      </w:r>
      <w:r>
        <w:tab/>
        <w:t>Руководство для земельной полиции по вопросам, касающимся насилия в семье (Мекле</w:t>
      </w:r>
      <w:r>
        <w:t>н</w:t>
      </w:r>
      <w:r>
        <w:t>бург-Передняя Померания)</w:t>
      </w:r>
    </w:p>
    <w:p w:rsidR="00000000" w:rsidRDefault="00000000">
      <w:pPr>
        <w:pStyle w:val="SingleTxt"/>
        <w:ind w:left="1985" w:hanging="244"/>
      </w:pPr>
      <w:r>
        <w:t>-</w:t>
      </w:r>
      <w:r>
        <w:tab/>
        <w:t>Выделение шести помещений для свидетелей в четырех земельных с</w:t>
      </w:r>
      <w:r>
        <w:t>у</w:t>
      </w:r>
      <w:r>
        <w:t>дах и двух местных судах (Мекленбург-Передняя Померания)</w:t>
      </w:r>
    </w:p>
    <w:p w:rsidR="00000000" w:rsidRDefault="00000000">
      <w:pPr>
        <w:pStyle w:val="SingleTxt"/>
        <w:ind w:left="1985" w:hanging="244"/>
      </w:pPr>
      <w:r>
        <w:t>-</w:t>
      </w:r>
      <w:r>
        <w:tab/>
        <w:t>Дальнейшее расширение инфраструктуры основных услуг путем с</w:t>
      </w:r>
      <w:r>
        <w:t>о</w:t>
      </w:r>
      <w:r>
        <w:t>действия созданию еще 5 консультативных агентств для женщин в ц</w:t>
      </w:r>
      <w:r>
        <w:t>е</w:t>
      </w:r>
      <w:r>
        <w:t>лях доведения их общего числа до 54 (по состоянию по 2002 год) (С</w:t>
      </w:r>
      <w:r>
        <w:t>е</w:t>
      </w:r>
      <w:r>
        <w:t>верный Рейн-Вестфалия)</w:t>
      </w:r>
    </w:p>
    <w:p w:rsidR="00000000" w:rsidRDefault="00000000">
      <w:pPr>
        <w:pStyle w:val="SingleTxt"/>
        <w:ind w:left="1985" w:hanging="244"/>
      </w:pPr>
      <w:r>
        <w:t>-</w:t>
      </w:r>
      <w:r>
        <w:tab/>
        <w:t>Доклад земельного правительства о мерах и инициативах земельного правительства (следующий доклад запланирован на 2004 год) (Севе</w:t>
      </w:r>
      <w:r>
        <w:t>р</w:t>
      </w:r>
      <w:r>
        <w:t>ный Рейн-Вестфалия)</w:t>
      </w:r>
    </w:p>
    <w:p w:rsidR="00000000" w:rsidRDefault="00000000">
      <w:pPr>
        <w:pStyle w:val="SingleTxt"/>
        <w:ind w:left="1985" w:hanging="244"/>
      </w:pPr>
      <w:r>
        <w:t>-</w:t>
      </w:r>
      <w:r>
        <w:tab/>
        <w:t>Круглый стол, посвященный борьбе с насилием в отношении женщин, с участием представителей министерства внутренних дел, министерства юстиции, министерства труда и министерства социальных дел и по д</w:t>
      </w:r>
      <w:r>
        <w:t>е</w:t>
      </w:r>
      <w:r>
        <w:t>лам женщин, а также представителей независимых проектов, осущес</w:t>
      </w:r>
      <w:r>
        <w:t>т</w:t>
      </w:r>
      <w:r>
        <w:t>вляемых женщинами, земельной рабочей группы по вопросам, каса</w:t>
      </w:r>
      <w:r>
        <w:t>ю</w:t>
      </w:r>
      <w:r>
        <w:t>щимся деятельности уполномоченных по проблемам равенства, и орг</w:t>
      </w:r>
      <w:r>
        <w:t>а</w:t>
      </w:r>
      <w:r>
        <w:t>нов по оказанию консультативной помощи жертвам насилия (включая публикацию документа по вопросам насилия в семье) (С</w:t>
      </w:r>
      <w:r>
        <w:t>е</w:t>
      </w:r>
      <w:r>
        <w:t>верный Рейн-Вестфалия)</w:t>
      </w:r>
    </w:p>
    <w:p w:rsidR="00000000" w:rsidRDefault="00000000">
      <w:pPr>
        <w:pStyle w:val="SingleTxt"/>
        <w:ind w:left="1985" w:hanging="244"/>
      </w:pPr>
      <w:r>
        <w:t>-</w:t>
      </w:r>
      <w:r>
        <w:tab/>
        <w:t>Создание межведомственной рабочей группы по вопросам насилия в семье (Северный Рейн-Вестфалия)</w:t>
      </w:r>
    </w:p>
    <w:p w:rsidR="00000000" w:rsidRDefault="00000000">
      <w:pPr>
        <w:pStyle w:val="SingleTxt"/>
        <w:ind w:left="1985" w:hanging="244"/>
      </w:pPr>
      <w:r>
        <w:t>-</w:t>
      </w:r>
      <w:r>
        <w:tab/>
        <w:t>Обеспечение правовой основы для того, чтобы полиция могла отселять лиц, виновных в бытовом насилии (Северный Рейн-Вестфалия)</w:t>
      </w:r>
    </w:p>
    <w:p w:rsidR="00000000" w:rsidRDefault="00000000">
      <w:pPr>
        <w:pStyle w:val="SingleTxt"/>
        <w:ind w:left="1985" w:hanging="244"/>
      </w:pPr>
      <w:r>
        <w:t>-</w:t>
      </w:r>
      <w:r>
        <w:tab/>
        <w:t>Кёльнская модель оказания помощи жертвам насилия: информация для жертв; подготовка сотрудников полиции; методическое руководство для полиции с информацией, касающейся обращения с жертвами насилия; и информационный документ для органов, отвечающих за организацию и функционир</w:t>
      </w:r>
      <w:r>
        <w:t>о</w:t>
      </w:r>
      <w:r>
        <w:t>вание системы услуг (Северный Рейн-Вестфалия)</w:t>
      </w:r>
    </w:p>
    <w:p w:rsidR="00000000" w:rsidRDefault="00000000">
      <w:pPr>
        <w:pStyle w:val="SingleTxt"/>
        <w:ind w:left="1985" w:hanging="244"/>
      </w:pPr>
      <w:r>
        <w:t>-</w:t>
      </w:r>
      <w:r>
        <w:tab/>
        <w:t>Содействие объединению в единую электронную сеть существующих центров и учреждений, занимающихся оказанием помощи жертвам н</w:t>
      </w:r>
      <w:r>
        <w:t>а</w:t>
      </w:r>
      <w:r>
        <w:t>силия (Северный Рейн-Вестфалия)</w:t>
      </w:r>
    </w:p>
    <w:p w:rsidR="00000000" w:rsidRDefault="00000000">
      <w:pPr>
        <w:pStyle w:val="SingleTxt"/>
        <w:ind w:left="1985" w:hanging="244"/>
      </w:pPr>
      <w:r>
        <w:t>-</w:t>
      </w:r>
      <w:r>
        <w:tab/>
        <w:t>Тематический сборник «Насилие — это проблема, касающаяся всех» из серии «Мы, женщины земли Северный Рейн-Вестфалия» (1/02) (Севе</w:t>
      </w:r>
      <w:r>
        <w:t>р</w:t>
      </w:r>
      <w:r>
        <w:t>ный Рейн-Вестфалия)</w:t>
      </w:r>
    </w:p>
    <w:p w:rsidR="00000000" w:rsidRDefault="00000000">
      <w:pPr>
        <w:pStyle w:val="SingleTxt"/>
        <w:ind w:left="1985" w:hanging="244"/>
      </w:pPr>
      <w:r>
        <w:t>-</w:t>
      </w:r>
      <w:r>
        <w:tab/>
        <w:t>Подготовка брошюры с информацией для жертв насилия в семье (С</w:t>
      </w:r>
      <w:r>
        <w:t>е</w:t>
      </w:r>
      <w:r>
        <w:t>верный Рейн-Вестфалия)</w:t>
      </w:r>
    </w:p>
    <w:p w:rsidR="00000000" w:rsidRDefault="00000000">
      <w:pPr>
        <w:pStyle w:val="SingleTxt"/>
        <w:ind w:left="1985" w:hanging="244"/>
      </w:pPr>
      <w:r>
        <w:t>-</w:t>
      </w:r>
      <w:r>
        <w:tab/>
        <w:t>Методическое руководство, касающееся действий полиции в случаях насилия в семье (С</w:t>
      </w:r>
      <w:r>
        <w:t>е</w:t>
      </w:r>
      <w:r>
        <w:t>верный Рейн-Вестфалия)</w:t>
      </w:r>
    </w:p>
    <w:p w:rsidR="00000000" w:rsidRDefault="00000000">
      <w:pPr>
        <w:pStyle w:val="SingleTxt"/>
        <w:ind w:left="1985" w:hanging="244"/>
      </w:pPr>
      <w:r>
        <w:t>-</w:t>
      </w:r>
      <w:r>
        <w:tab/>
        <w:t>Пилотный проект в области защиты свидетелей (1997-1999 годы) с п</w:t>
      </w:r>
      <w:r>
        <w:t>о</w:t>
      </w:r>
      <w:r>
        <w:t>следующим созданием при всех региональных судах органов по защите свидетелей, укомплектованных персоналом, имеющим необходимую подготовку (процесс создания таких органов планируется завершить примерно к 2005 году). Создание при местных судах подразделений по оказанию услуг свидетелям, укомплектованных сотрудниками с юр</w:t>
      </w:r>
      <w:r>
        <w:t>и</w:t>
      </w:r>
      <w:r>
        <w:t>дическим образованием (Севе</w:t>
      </w:r>
      <w:r>
        <w:t>р</w:t>
      </w:r>
      <w:r>
        <w:t xml:space="preserve">ный Рейн-Вестфалия) </w:t>
      </w:r>
    </w:p>
    <w:p w:rsidR="00000000" w:rsidRDefault="00000000">
      <w:pPr>
        <w:pStyle w:val="SingleTxt"/>
        <w:ind w:left="1985" w:hanging="244"/>
      </w:pPr>
      <w:r>
        <w:t>-</w:t>
      </w:r>
      <w:r>
        <w:tab/>
        <w:t>Создание дежурной службы для приема звонков от жертв насилия с ц</w:t>
      </w:r>
      <w:r>
        <w:t>е</w:t>
      </w:r>
      <w:r>
        <w:t>лью оказания им экстренной помощи без каких-либо бюрократических пр</w:t>
      </w:r>
      <w:r>
        <w:t>о</w:t>
      </w:r>
      <w:r>
        <w:t>волочек (Северный Рейн-Вестфалия)</w:t>
      </w:r>
    </w:p>
    <w:p w:rsidR="00000000" w:rsidRDefault="00000000">
      <w:pPr>
        <w:pStyle w:val="SingleTxt"/>
        <w:ind w:left="1985" w:hanging="244"/>
      </w:pPr>
      <w:r>
        <w:t>-</w:t>
      </w:r>
      <w:r>
        <w:tab/>
        <w:t>Обзор мер в области регионального сотрудничества в борьбе против насилия в семье (С</w:t>
      </w:r>
      <w:r>
        <w:t>е</w:t>
      </w:r>
      <w:r>
        <w:t>верный Рейн-Вестфалия)</w:t>
      </w:r>
    </w:p>
    <w:p w:rsidR="00000000" w:rsidRDefault="00000000">
      <w:pPr>
        <w:pStyle w:val="SingleTxt"/>
        <w:ind w:left="1985" w:hanging="244"/>
      </w:pPr>
      <w:r>
        <w:t>-</w:t>
      </w:r>
      <w:r>
        <w:tab/>
        <w:t>Проведение конференций на уровне экспертов (включая подготовку д</w:t>
      </w:r>
      <w:r>
        <w:t>о</w:t>
      </w:r>
      <w:r>
        <w:t>кументации), посвященных Закону о защите от насилия и поправкам к Закону о полиции (Северный Рейн-Вестфалия)</w:t>
      </w:r>
    </w:p>
    <w:p w:rsidR="00000000" w:rsidRDefault="00000000">
      <w:pPr>
        <w:pStyle w:val="SingleTxt"/>
        <w:ind w:left="1985" w:hanging="244"/>
      </w:pPr>
      <w:r>
        <w:t>-</w:t>
      </w:r>
      <w:r>
        <w:tab/>
        <w:t>Конференция на уровне экспертов на тему «Отношения, построенные на насилии, и дети» (Севе</w:t>
      </w:r>
      <w:r>
        <w:t>р</w:t>
      </w:r>
      <w:r>
        <w:t>ный Рейн-Вестфалия)</w:t>
      </w:r>
    </w:p>
    <w:p w:rsidR="00000000" w:rsidRDefault="00000000">
      <w:pPr>
        <w:pStyle w:val="SingleTxt"/>
        <w:ind w:left="1985" w:hanging="244"/>
      </w:pPr>
      <w:r>
        <w:t>-</w:t>
      </w:r>
      <w:r>
        <w:tab/>
        <w:t>Содействие организации курсов по вопросам самоутверждения и ра</w:t>
      </w:r>
      <w:r>
        <w:t>з</w:t>
      </w:r>
      <w:r>
        <w:t>решения конфликтов для девочек и мальчиков в начальных и средних школах (Северный Рейн-Вестфалия)</w:t>
      </w:r>
    </w:p>
    <w:p w:rsidR="00000000" w:rsidRDefault="00000000">
      <w:pPr>
        <w:pStyle w:val="SingleTxt"/>
        <w:ind w:left="1985" w:hanging="244"/>
      </w:pPr>
      <w:r>
        <w:t>-</w:t>
      </w:r>
      <w:r>
        <w:tab/>
        <w:t>Пилотное исследование на тему «Насилие в отношении девочек и же</w:t>
      </w:r>
      <w:r>
        <w:t>н</w:t>
      </w:r>
      <w:r>
        <w:t>щин в спорте» (С</w:t>
      </w:r>
      <w:r>
        <w:t>е</w:t>
      </w:r>
      <w:r>
        <w:t>верный Рейн-Вестфалия)</w:t>
      </w:r>
    </w:p>
    <w:p w:rsidR="00000000" w:rsidRDefault="00000000">
      <w:pPr>
        <w:pStyle w:val="SingleTxt"/>
        <w:ind w:left="1985" w:hanging="244"/>
      </w:pPr>
      <w:r>
        <w:t>-</w:t>
      </w:r>
      <w:r>
        <w:tab/>
        <w:t>Проект под названием «Профилактическая работа среди девочек» (Рейнланд-Пфальц)</w:t>
      </w:r>
    </w:p>
    <w:p w:rsidR="00000000" w:rsidRDefault="00000000">
      <w:pPr>
        <w:pStyle w:val="SingleTxt"/>
        <w:ind w:left="1985" w:hanging="244"/>
      </w:pPr>
      <w:r>
        <w:t>-</w:t>
      </w:r>
      <w:r>
        <w:tab/>
        <w:t>Проект в области неотложных мер по борьбе с насилием с учетом те</w:t>
      </w:r>
      <w:r>
        <w:t>с</w:t>
      </w:r>
      <w:r>
        <w:t>ных социальных взаимосвязей (Рейнланд-Пфальц)</w:t>
      </w:r>
    </w:p>
    <w:p w:rsidR="00000000" w:rsidRDefault="00000000">
      <w:pPr>
        <w:pStyle w:val="SingleTxt"/>
        <w:ind w:left="1985" w:hanging="244"/>
      </w:pPr>
      <w:r>
        <w:t>-</w:t>
      </w:r>
      <w:r>
        <w:tab/>
        <w:t>Содействие созданию 17 приютов для женщин в целях обеспечения женщин, пострадавших от насилия, основным набором услуг (Рей</w:t>
      </w:r>
      <w:r>
        <w:t>н</w:t>
      </w:r>
      <w:r>
        <w:t>ланд-Пфальц)</w:t>
      </w:r>
    </w:p>
    <w:p w:rsidR="00000000" w:rsidRDefault="00000000">
      <w:pPr>
        <w:pStyle w:val="SingleTxt"/>
        <w:ind w:left="1985" w:hanging="244"/>
      </w:pPr>
      <w:r>
        <w:t>-</w:t>
      </w:r>
      <w:r>
        <w:tab/>
        <w:t>Содействие открытию 12 телефонных линий экстренной помощи же</w:t>
      </w:r>
      <w:r>
        <w:t>н</w:t>
      </w:r>
      <w:r>
        <w:t>щинам, пострадавшим от насилия, в целях обеспечения их основным набором у</w:t>
      </w:r>
      <w:r>
        <w:t>с</w:t>
      </w:r>
      <w:r>
        <w:t>луг (Рейнланд-Пфальц)</w:t>
      </w:r>
    </w:p>
    <w:p w:rsidR="00000000" w:rsidRDefault="00000000">
      <w:pPr>
        <w:pStyle w:val="SingleTxt"/>
        <w:ind w:left="1985" w:hanging="244"/>
      </w:pPr>
      <w:r>
        <w:t>-</w:t>
      </w:r>
      <w:r>
        <w:tab/>
        <w:t>Приют для девочек и молодых женщин, пострадавших от физического и психологического насилия (Рейнланд-Пфальц)</w:t>
      </w:r>
    </w:p>
    <w:p w:rsidR="00000000" w:rsidRDefault="00000000">
      <w:pPr>
        <w:pStyle w:val="SingleTxt"/>
        <w:ind w:left="1985" w:hanging="244"/>
      </w:pPr>
      <w:r>
        <w:t>-</w:t>
      </w:r>
      <w:r>
        <w:tab/>
        <w:t>Агентство по оказанию девочкам, пострадавшим от физического и эмоционального насилия, услуг в области социальной терапии (Рей</w:t>
      </w:r>
      <w:r>
        <w:t>н</w:t>
      </w:r>
      <w:r>
        <w:t>ланд-Пфальц)</w:t>
      </w:r>
    </w:p>
    <w:p w:rsidR="00000000" w:rsidRDefault="00000000">
      <w:pPr>
        <w:pStyle w:val="SingleTxt"/>
        <w:ind w:left="1985" w:hanging="244"/>
      </w:pPr>
      <w:r>
        <w:t>-</w:t>
      </w:r>
      <w:r>
        <w:tab/>
        <w:t>Агентство по оказанию психотерапевтической помощи женщинам, не раз становившимся жертвами насилия (Рейнланд-Пфальц)</w:t>
      </w:r>
    </w:p>
    <w:p w:rsidR="00000000" w:rsidRDefault="00000000">
      <w:pPr>
        <w:pStyle w:val="SingleTxt"/>
        <w:ind w:left="1985" w:hanging="244"/>
      </w:pPr>
      <w:r>
        <w:t>-</w:t>
      </w:r>
      <w:r>
        <w:tab/>
        <w:t>План действий по борьбе с насилием в семье (Саар)</w:t>
      </w:r>
    </w:p>
    <w:p w:rsidR="00000000" w:rsidRDefault="00000000">
      <w:pPr>
        <w:pStyle w:val="SingleTxt"/>
        <w:ind w:left="1985" w:hanging="244"/>
      </w:pPr>
      <w:r>
        <w:t>-</w:t>
      </w:r>
      <w:r>
        <w:tab/>
        <w:t>Содействие созданию приютов для женщин (Саар)</w:t>
      </w:r>
    </w:p>
    <w:p w:rsidR="00000000" w:rsidRDefault="00000000">
      <w:pPr>
        <w:pStyle w:val="SingleTxt"/>
        <w:ind w:left="1985" w:hanging="244"/>
      </w:pPr>
      <w:r>
        <w:t>-</w:t>
      </w:r>
      <w:r>
        <w:tab/>
        <w:t>Серия конференций на уровне экспертов по проблемам насилия в о</w:t>
      </w:r>
      <w:r>
        <w:t>т</w:t>
      </w:r>
      <w:r>
        <w:t>ношении детей (Саар)</w:t>
      </w:r>
    </w:p>
    <w:p w:rsidR="00000000" w:rsidRDefault="00000000">
      <w:pPr>
        <w:pStyle w:val="SingleTxt"/>
        <w:ind w:left="1985" w:hanging="244"/>
      </w:pPr>
      <w:r>
        <w:t>-</w:t>
      </w:r>
      <w:r>
        <w:tab/>
        <w:t>Содействие созданию агентств по оказанию консультативной помощи женщинам и девочкам, ставшим жертвами полового и других форм н</w:t>
      </w:r>
      <w:r>
        <w:t>а</w:t>
      </w:r>
      <w:r>
        <w:t>силия (Саар)</w:t>
      </w:r>
    </w:p>
    <w:p w:rsidR="00000000" w:rsidRDefault="00000000">
      <w:pPr>
        <w:pStyle w:val="SingleTxt"/>
        <w:ind w:left="1985" w:hanging="244"/>
      </w:pPr>
      <w:r>
        <w:t>-</w:t>
      </w:r>
      <w:r>
        <w:tab/>
        <w:t>Финансирование исследований в связи с пилотным проектом под н</w:t>
      </w:r>
      <w:r>
        <w:t>а</w:t>
      </w:r>
      <w:r>
        <w:t>званием «Анонимный приют для девочек и молодых женщин в Дрезд</w:t>
      </w:r>
      <w:r>
        <w:t>е</w:t>
      </w:r>
      <w:r>
        <w:t>не» (Сакс</w:t>
      </w:r>
      <w:r>
        <w:t>о</w:t>
      </w:r>
      <w:r>
        <w:t>ния)</w:t>
      </w:r>
    </w:p>
    <w:p w:rsidR="00000000" w:rsidRDefault="00000000">
      <w:pPr>
        <w:pStyle w:val="SingleTxt"/>
        <w:ind w:left="1985" w:hanging="244"/>
      </w:pPr>
      <w:r>
        <w:t>-</w:t>
      </w:r>
      <w:r>
        <w:tab/>
        <w:t>Финансирование передвижной экспозиции под названием «Я не могу больше это терпеть…» (негативный опыт девочек в связи с конфликт</w:t>
      </w:r>
      <w:r>
        <w:t>а</w:t>
      </w:r>
      <w:r>
        <w:t>ми и насилием, и анонимные пр</w:t>
      </w:r>
      <w:r>
        <w:t>и</w:t>
      </w:r>
      <w:r>
        <w:t>юты) (Саксония)</w:t>
      </w:r>
    </w:p>
    <w:p w:rsidR="00000000" w:rsidRDefault="00000000">
      <w:pPr>
        <w:pStyle w:val="SingleTxt"/>
        <w:ind w:left="1985" w:hanging="244"/>
      </w:pPr>
      <w:r>
        <w:t>-</w:t>
      </w:r>
      <w:r>
        <w:tab/>
        <w:t>Конференция на уровне экспертов на тему «Экстренные меры в кр</w:t>
      </w:r>
      <w:r>
        <w:t>и</w:t>
      </w:r>
      <w:r>
        <w:t>зисных ситуациях, затрагива</w:t>
      </w:r>
      <w:r>
        <w:t>ю</w:t>
      </w:r>
      <w:r>
        <w:t>щих девочек» (Саксония)</w:t>
      </w:r>
    </w:p>
    <w:p w:rsidR="00000000" w:rsidRDefault="00000000">
      <w:pPr>
        <w:pStyle w:val="SingleTxt"/>
        <w:ind w:left="1985" w:hanging="244"/>
      </w:pPr>
      <w:r>
        <w:t>-</w:t>
      </w:r>
      <w:r>
        <w:tab/>
        <w:t>Информационный бюллетень для сотрудников полиции по вопросам, касающимся действий полиции в случаях, связанных с насилием в с</w:t>
      </w:r>
      <w:r>
        <w:t>е</w:t>
      </w:r>
      <w:r>
        <w:t>мье; информационный бюллетень для жертв насилия в семье (Сакс</w:t>
      </w:r>
      <w:r>
        <w:t>о</w:t>
      </w:r>
      <w:r>
        <w:t>ния)</w:t>
      </w:r>
    </w:p>
    <w:p w:rsidR="00000000" w:rsidRDefault="00000000">
      <w:pPr>
        <w:pStyle w:val="SingleTxt"/>
        <w:ind w:left="1985" w:hanging="244"/>
      </w:pPr>
      <w:r>
        <w:t>-</w:t>
      </w:r>
      <w:r>
        <w:tab/>
        <w:t>Содействие созданию 22 приютов для женщин (Саксония)</w:t>
      </w:r>
    </w:p>
    <w:p w:rsidR="00000000" w:rsidRDefault="00000000">
      <w:pPr>
        <w:pStyle w:val="SingleTxt"/>
        <w:ind w:left="1985" w:hanging="244"/>
      </w:pPr>
      <w:r>
        <w:t>-</w:t>
      </w:r>
      <w:r>
        <w:tab/>
        <w:t>Общее содействие созданию 24 приютов для женщин (Саксония-Анхальт)</w:t>
      </w:r>
    </w:p>
    <w:p w:rsidR="00000000" w:rsidRDefault="00000000">
      <w:pPr>
        <w:pStyle w:val="SingleTxt"/>
        <w:ind w:left="1985" w:hanging="244"/>
      </w:pPr>
      <w:r>
        <w:t>-</w:t>
      </w:r>
      <w:r>
        <w:tab/>
        <w:t>Содействие созданию 4 консультативных агентств по вопросам секс</w:t>
      </w:r>
      <w:r>
        <w:t>у</w:t>
      </w:r>
      <w:r>
        <w:t>альных злоупотреблений (Са</w:t>
      </w:r>
      <w:r>
        <w:t>к</w:t>
      </w:r>
      <w:r>
        <w:t>сония-Анхальт)</w:t>
      </w:r>
    </w:p>
    <w:p w:rsidR="00000000" w:rsidRDefault="00000000">
      <w:pPr>
        <w:pStyle w:val="SingleTxt"/>
        <w:ind w:left="1985" w:hanging="244"/>
      </w:pPr>
      <w:r>
        <w:t>-</w:t>
      </w:r>
      <w:r>
        <w:tab/>
        <w:t>Содействие созданию консультативного агентства «Про ман» для ок</w:t>
      </w:r>
      <w:r>
        <w:t>а</w:t>
      </w:r>
      <w:r>
        <w:t>зания консультативной помощи мужчинам, склонным к насилию (Са</w:t>
      </w:r>
      <w:r>
        <w:t>к</w:t>
      </w:r>
      <w:r>
        <w:t>сония-Анхальт)</w:t>
      </w:r>
    </w:p>
    <w:p w:rsidR="00000000" w:rsidRDefault="00000000">
      <w:pPr>
        <w:pStyle w:val="SingleTxt"/>
        <w:ind w:left="1985" w:hanging="244"/>
      </w:pPr>
      <w:r>
        <w:t>-</w:t>
      </w:r>
      <w:r>
        <w:tab/>
        <w:t>Публикация брошюры под названием «10 лет работы женских приютов в земле Саксония-Анхальт: опыт, итоги, перспективы» (Саксония-Анхальт)</w:t>
      </w:r>
    </w:p>
    <w:p w:rsidR="00000000" w:rsidRDefault="00000000">
      <w:pPr>
        <w:pStyle w:val="SingleTxt"/>
        <w:ind w:left="1985" w:hanging="244"/>
      </w:pPr>
      <w:r>
        <w:t>-</w:t>
      </w:r>
      <w:r>
        <w:tab/>
        <w:t>Принятие земельным правительством «Земельной программы по бор</w:t>
      </w:r>
      <w:r>
        <w:t>ь</w:t>
      </w:r>
      <w:r>
        <w:t>бе с насилием в отношении женщин и детей» (май 2001 года) и пров</w:t>
      </w:r>
      <w:r>
        <w:t>е</w:t>
      </w:r>
      <w:r>
        <w:t>дение общеземельной информационно-пропагандистской кампании в связи с этой пр</w:t>
      </w:r>
      <w:r>
        <w:t>о</w:t>
      </w:r>
      <w:r>
        <w:t>граммой (Саксония-Анхальт)</w:t>
      </w:r>
    </w:p>
    <w:p w:rsidR="00000000" w:rsidRDefault="00000000">
      <w:pPr>
        <w:pStyle w:val="SingleTxt"/>
        <w:ind w:left="1985" w:hanging="244"/>
      </w:pPr>
      <w:r>
        <w:t>-</w:t>
      </w:r>
      <w:r>
        <w:tab/>
        <w:t>Пилотный проект под названием «Экстренные меры по пресечению н</w:t>
      </w:r>
      <w:r>
        <w:t>а</w:t>
      </w:r>
      <w:r>
        <w:t>силия в семье» (Са</w:t>
      </w:r>
      <w:r>
        <w:t>к</w:t>
      </w:r>
      <w:r>
        <w:t>сония-Анхальт)</w:t>
      </w:r>
    </w:p>
    <w:p w:rsidR="00000000" w:rsidRDefault="00000000">
      <w:pPr>
        <w:pStyle w:val="SingleTxt"/>
        <w:ind w:left="1985" w:hanging="244"/>
      </w:pPr>
      <w:r>
        <w:t>-</w:t>
      </w:r>
      <w:r>
        <w:tab/>
        <w:t>Методическое руководство для медицинского персонала по вопросам, касающимся расп</w:t>
      </w:r>
      <w:r>
        <w:t>о</w:t>
      </w:r>
      <w:r>
        <w:t>знавания следов бытового насилия (Саксония-Анхальт)</w:t>
      </w:r>
    </w:p>
    <w:p w:rsidR="00000000" w:rsidRDefault="00000000">
      <w:pPr>
        <w:pStyle w:val="SingleTxt"/>
        <w:ind w:left="1985" w:hanging="244"/>
      </w:pPr>
      <w:r>
        <w:t>-</w:t>
      </w:r>
      <w:r>
        <w:tab/>
        <w:t>Заключение контракта на изучение спроса и предложения в области психотерапевтических услуг (на дому и вне дома) для жертв сексуал</w:t>
      </w:r>
      <w:r>
        <w:t>ь</w:t>
      </w:r>
      <w:r>
        <w:t>ных злоупо</w:t>
      </w:r>
      <w:r>
        <w:t>т</w:t>
      </w:r>
      <w:r>
        <w:t>реблений (Саксония-Анхальт)</w:t>
      </w:r>
    </w:p>
    <w:p w:rsidR="00000000" w:rsidRDefault="00000000">
      <w:pPr>
        <w:pStyle w:val="SingleTxt"/>
        <w:ind w:left="1985" w:hanging="244"/>
      </w:pPr>
      <w:r>
        <w:t>-</w:t>
      </w:r>
      <w:r>
        <w:tab/>
        <w:t>Эмпирическое исследование, касающееся положения инвалидов в зе</w:t>
      </w:r>
      <w:r>
        <w:t>м</w:t>
      </w:r>
      <w:r>
        <w:t>ле Саксония-Анхальт, включая гендерно дифференцированную оценку масштабов насилия в отношении таких лиц (Саксония-Анхальт)</w:t>
      </w:r>
    </w:p>
    <w:p w:rsidR="00000000" w:rsidRDefault="00000000">
      <w:pPr>
        <w:pStyle w:val="SingleTxt"/>
        <w:ind w:left="1985" w:hanging="244"/>
      </w:pPr>
      <w:r>
        <w:t>-</w:t>
      </w:r>
      <w:r>
        <w:tab/>
        <w:t>Исследование на тему «Сексуальное насилие в отношении женщин в зе</w:t>
      </w:r>
      <w:r>
        <w:t>м</w:t>
      </w:r>
      <w:r>
        <w:t>ле Саксония-Анхальт: взгляд специалистов» (Саксония-Анхальт)</w:t>
      </w:r>
    </w:p>
    <w:p w:rsidR="00000000" w:rsidRDefault="00000000">
      <w:pPr>
        <w:pStyle w:val="SingleTxt"/>
        <w:ind w:left="1985" w:hanging="244"/>
      </w:pPr>
      <w:r>
        <w:t>-</w:t>
      </w:r>
      <w:r>
        <w:tab/>
        <w:t>Создание в прокуратурах городов Галле и Стендаль специальных отд</w:t>
      </w:r>
      <w:r>
        <w:t>е</w:t>
      </w:r>
      <w:r>
        <w:t>лов по борьбе с уголовными преступлениями, направленными против сексуального самоопределения (Сакс</w:t>
      </w:r>
      <w:r>
        <w:t>о</w:t>
      </w:r>
      <w:r>
        <w:t>ния-Анхальт)</w:t>
      </w:r>
    </w:p>
    <w:p w:rsidR="00000000" w:rsidRDefault="00000000">
      <w:pPr>
        <w:pStyle w:val="SingleTxt"/>
        <w:ind w:left="1985" w:hanging="244"/>
      </w:pPr>
      <w:r>
        <w:t>-</w:t>
      </w:r>
      <w:r>
        <w:tab/>
        <w:t>Концепция взаимодействия и экстренных мер по пресечению бытового насилия в отношении женщин, в том числе в регионах (округа и города, не относящиеся к графствам), имеющих самостоятельный статус (Шлезвиг-Гольштейн)</w:t>
      </w:r>
    </w:p>
    <w:p w:rsidR="00000000" w:rsidRDefault="00000000">
      <w:pPr>
        <w:pStyle w:val="SingleTxt"/>
        <w:ind w:left="1985" w:hanging="244"/>
      </w:pPr>
      <w:r>
        <w:t>-</w:t>
      </w:r>
      <w:r>
        <w:tab/>
        <w:t>Общее содействие созданию 16 приютов для женщин и 23 специальных агентств для оказания консультативной помощи женщинам, включая телефонные службы экстренной пом</w:t>
      </w:r>
      <w:r>
        <w:t>о</w:t>
      </w:r>
      <w:r>
        <w:t>щи (Шлезвиг-Гольштейн)</w:t>
      </w:r>
    </w:p>
    <w:p w:rsidR="00000000" w:rsidRDefault="00000000">
      <w:pPr>
        <w:pStyle w:val="SingleTxt"/>
        <w:tabs>
          <w:tab w:val="clear" w:pos="1267"/>
        </w:tabs>
        <w:ind w:left="1985" w:hanging="245"/>
        <w:rPr>
          <w:spacing w:val="-2"/>
        </w:rPr>
      </w:pPr>
      <w:r>
        <w:rPr>
          <w:spacing w:val="-2"/>
        </w:rPr>
        <w:t>-</w:t>
      </w:r>
      <w:r>
        <w:rPr>
          <w:spacing w:val="-2"/>
        </w:rPr>
        <w:tab/>
        <w:t>Содействие разработке общественно-образовательных программ для прав</w:t>
      </w:r>
      <w:r>
        <w:rPr>
          <w:spacing w:val="-2"/>
        </w:rPr>
        <w:t>о</w:t>
      </w:r>
      <w:r>
        <w:rPr>
          <w:spacing w:val="-2"/>
        </w:rPr>
        <w:t>нарушителей, соверши</w:t>
      </w:r>
      <w:r>
        <w:rPr>
          <w:spacing w:val="-2"/>
        </w:rPr>
        <w:t>в</w:t>
      </w:r>
      <w:r>
        <w:rPr>
          <w:spacing w:val="-2"/>
        </w:rPr>
        <w:t>ших акты насилия (Шлезвиг-Гольштейн)</w:t>
      </w:r>
    </w:p>
    <w:p w:rsidR="00000000" w:rsidRDefault="00000000">
      <w:pPr>
        <w:pStyle w:val="SingleTxt"/>
        <w:ind w:left="1985" w:hanging="244"/>
        <w:rPr>
          <w:spacing w:val="-2"/>
        </w:rPr>
      </w:pPr>
      <w:r>
        <w:rPr>
          <w:spacing w:val="-2"/>
        </w:rPr>
        <w:t>-</w:t>
      </w:r>
      <w:r>
        <w:rPr>
          <w:spacing w:val="-2"/>
        </w:rPr>
        <w:tab/>
        <w:t>"Диагностика насилия" – специальное мероприятие для врачей и социал</w:t>
      </w:r>
      <w:r>
        <w:rPr>
          <w:spacing w:val="-2"/>
        </w:rPr>
        <w:t>ь</w:t>
      </w:r>
      <w:r>
        <w:rPr>
          <w:spacing w:val="-2"/>
        </w:rPr>
        <w:t>ных работников по вопросам бытового и сексуального насилия в отношении женщин (Шлезвиг-Гольштейн)</w:t>
      </w:r>
    </w:p>
    <w:p w:rsidR="00000000" w:rsidRDefault="00000000">
      <w:pPr>
        <w:pStyle w:val="SingleTxt"/>
        <w:ind w:left="1985" w:hanging="244"/>
        <w:rPr>
          <w:spacing w:val="-2"/>
        </w:rPr>
      </w:pPr>
      <w:r>
        <w:rPr>
          <w:spacing w:val="-2"/>
        </w:rPr>
        <w:t>-</w:t>
      </w:r>
      <w:r>
        <w:rPr>
          <w:spacing w:val="-2"/>
        </w:rPr>
        <w:tab/>
        <w:t>Руководство для медицинских учреждений и больниц по вопросам борьбы с бытовым насилием (Шлезвиг-Гольштейн)</w:t>
      </w:r>
    </w:p>
    <w:p w:rsidR="00000000" w:rsidRDefault="00000000">
      <w:pPr>
        <w:pStyle w:val="SingleTxt"/>
        <w:ind w:left="1985" w:hanging="244"/>
        <w:rPr>
          <w:spacing w:val="-2"/>
        </w:rPr>
      </w:pPr>
      <w:r>
        <w:rPr>
          <w:spacing w:val="-2"/>
        </w:rPr>
        <w:t>-</w:t>
      </w:r>
      <w:r>
        <w:rPr>
          <w:spacing w:val="-2"/>
        </w:rPr>
        <w:tab/>
        <w:t>Брошюра под названием "Мужество" – Что следует делать женщинам в с</w:t>
      </w:r>
      <w:r>
        <w:rPr>
          <w:spacing w:val="-2"/>
        </w:rPr>
        <w:t>и</w:t>
      </w:r>
      <w:r>
        <w:rPr>
          <w:spacing w:val="-2"/>
        </w:rPr>
        <w:t>туациях, когда они стан</w:t>
      </w:r>
      <w:r>
        <w:rPr>
          <w:spacing w:val="-2"/>
        </w:rPr>
        <w:t>о</w:t>
      </w:r>
      <w:r>
        <w:rPr>
          <w:spacing w:val="-2"/>
        </w:rPr>
        <w:t>вятся жертвами насилия (Шлезвиг-Гольштейн)</w:t>
      </w:r>
    </w:p>
    <w:p w:rsidR="00000000" w:rsidRDefault="00000000">
      <w:pPr>
        <w:pStyle w:val="SingleTxt"/>
        <w:ind w:left="1985" w:hanging="244"/>
        <w:rPr>
          <w:spacing w:val="-2"/>
        </w:rPr>
      </w:pPr>
      <w:r>
        <w:rPr>
          <w:spacing w:val="-2"/>
        </w:rPr>
        <w:t>-</w:t>
      </w:r>
      <w:r>
        <w:rPr>
          <w:spacing w:val="-2"/>
        </w:rPr>
        <w:tab/>
        <w:t>Создание специальных департаментов для борьбы с "насилием в близких социальных отношениях" при всех государственных прокуратурах в Тюри</w:t>
      </w:r>
      <w:r>
        <w:rPr>
          <w:spacing w:val="-2"/>
        </w:rPr>
        <w:t>н</w:t>
      </w:r>
      <w:r>
        <w:rPr>
          <w:spacing w:val="-2"/>
        </w:rPr>
        <w:t>гии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Межведомственное координационное учреждение по вопросам предупре</w:t>
      </w:r>
      <w:r>
        <w:rPr>
          <w:spacing w:val="-2"/>
        </w:rPr>
        <w:t>ж</w:t>
      </w:r>
      <w:r>
        <w:rPr>
          <w:spacing w:val="-2"/>
        </w:rPr>
        <w:t>дения насилия (август 2000 года) с уделением особого внимания вопросам "б</w:t>
      </w:r>
      <w:r>
        <w:rPr>
          <w:spacing w:val="-2"/>
        </w:rPr>
        <w:t>ы</w:t>
      </w:r>
      <w:r>
        <w:rPr>
          <w:spacing w:val="-2"/>
        </w:rPr>
        <w:t>тового насилия" (Тюрингия)</w:t>
      </w:r>
    </w:p>
    <w:p w:rsidR="00000000" w:rsidRDefault="00000000">
      <w:pPr>
        <w:pStyle w:val="SingleTxt"/>
        <w:ind w:left="1985" w:hanging="244"/>
        <w:rPr>
          <w:spacing w:val="-2"/>
        </w:rPr>
      </w:pPr>
      <w:r>
        <w:rPr>
          <w:spacing w:val="-2"/>
        </w:rPr>
        <w:t>-</w:t>
      </w:r>
      <w:r>
        <w:rPr>
          <w:spacing w:val="-2"/>
        </w:rPr>
        <w:tab/>
        <w:t>Общеземельная рабочая группа по разработке стратегических предложений по борьбе с бытовым насилием (май 2001 года; инициатива координацио</w:t>
      </w:r>
      <w:r>
        <w:rPr>
          <w:spacing w:val="-2"/>
        </w:rPr>
        <w:t>н</w:t>
      </w:r>
      <w:r>
        <w:rPr>
          <w:spacing w:val="-2"/>
        </w:rPr>
        <w:t>ного учреждения по вопросам предупреждения насилия) (Тюрингия)</w:t>
      </w:r>
    </w:p>
    <w:p w:rsidR="00000000" w:rsidRDefault="00000000">
      <w:pPr>
        <w:pStyle w:val="SingleTxt"/>
        <w:ind w:left="1985" w:hanging="244"/>
        <w:rPr>
          <w:spacing w:val="-2"/>
        </w:rPr>
      </w:pPr>
      <w:r>
        <w:rPr>
          <w:spacing w:val="-2"/>
        </w:rPr>
        <w:t>-</w:t>
      </w:r>
      <w:r>
        <w:rPr>
          <w:spacing w:val="-2"/>
        </w:rPr>
        <w:tab/>
        <w:t>Оказание поддержки 28 женским приютам и учреждениям, обеспечива</w:t>
      </w:r>
      <w:r>
        <w:rPr>
          <w:spacing w:val="-2"/>
        </w:rPr>
        <w:t>ю</w:t>
      </w:r>
      <w:r>
        <w:rPr>
          <w:spacing w:val="-2"/>
        </w:rPr>
        <w:t>щим защиту женщин (общая базовая материально-техническая поддержка)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Оказание содействия консультационным учреждениям для мужчин по в</w:t>
      </w:r>
      <w:r>
        <w:rPr>
          <w:spacing w:val="-2"/>
        </w:rPr>
        <w:t>о</w:t>
      </w:r>
      <w:r>
        <w:rPr>
          <w:spacing w:val="-2"/>
        </w:rPr>
        <w:t>просам конфликтов, сопр</w:t>
      </w:r>
      <w:r>
        <w:rPr>
          <w:spacing w:val="-2"/>
        </w:rPr>
        <w:t>я</w:t>
      </w:r>
      <w:r>
        <w:rPr>
          <w:spacing w:val="-2"/>
        </w:rPr>
        <w:t>женных с насилием (Тюрингия)</w:t>
      </w:r>
    </w:p>
    <w:p w:rsidR="00000000" w:rsidRDefault="00000000">
      <w:pPr>
        <w:pStyle w:val="SingleTxt"/>
        <w:ind w:left="1985" w:hanging="244"/>
        <w:rPr>
          <w:spacing w:val="-2"/>
        </w:rPr>
      </w:pPr>
      <w:r>
        <w:rPr>
          <w:spacing w:val="-2"/>
        </w:rPr>
        <w:t>-</w:t>
      </w:r>
      <w:r>
        <w:rPr>
          <w:spacing w:val="-2"/>
        </w:rPr>
        <w:tab/>
        <w:t>Оказание содействия учреждениям, занимающимся вопросами защиты д</w:t>
      </w:r>
      <w:r>
        <w:rPr>
          <w:spacing w:val="-2"/>
        </w:rPr>
        <w:t>е</w:t>
      </w:r>
      <w:r>
        <w:rPr>
          <w:spacing w:val="-2"/>
        </w:rPr>
        <w:t>тей (в 2000 году помощь была оказана 542 девушкам и молодым женщинам)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Создание "горячей телефонной линии" для детей и молодежи в Тюрингии (действует с 1998 года) (Тюрингия)</w:t>
      </w:r>
    </w:p>
    <w:p w:rsidR="00000000" w:rsidRDefault="00000000">
      <w:pPr>
        <w:pStyle w:val="SingleTxt"/>
        <w:ind w:left="1985" w:hanging="244"/>
        <w:rPr>
          <w:spacing w:val="-2"/>
        </w:rPr>
      </w:pPr>
      <w:r>
        <w:rPr>
          <w:spacing w:val="-2"/>
        </w:rPr>
        <w:t>-</w:t>
      </w:r>
      <w:r>
        <w:rPr>
          <w:spacing w:val="-2"/>
        </w:rPr>
        <w:tab/>
        <w:t>Поддержка специальных учреждений, занимающихся оказанием помощи девушкам в кризисных с</w:t>
      </w:r>
      <w:r>
        <w:rPr>
          <w:spacing w:val="-2"/>
        </w:rPr>
        <w:t>и</w:t>
      </w:r>
      <w:r>
        <w:rPr>
          <w:spacing w:val="-2"/>
        </w:rPr>
        <w:t>туациях (Тюрингия)</w:t>
      </w:r>
    </w:p>
    <w:p w:rsidR="00000000" w:rsidRDefault="00000000">
      <w:pPr>
        <w:pStyle w:val="SingleTxt"/>
        <w:ind w:left="1985" w:hanging="244"/>
        <w:rPr>
          <w:spacing w:val="-2"/>
        </w:rPr>
      </w:pPr>
      <w:r>
        <w:rPr>
          <w:spacing w:val="-2"/>
        </w:rPr>
        <w:t>-</w:t>
      </w:r>
      <w:r>
        <w:rPr>
          <w:spacing w:val="-2"/>
        </w:rPr>
        <w:tab/>
        <w:t>Организация программы по защите потерпевших/свидетелей (Тюрингия)</w:t>
      </w:r>
    </w:p>
    <w:p w:rsidR="00000000" w:rsidRDefault="00000000">
      <w:pPr>
        <w:pStyle w:val="SingleTxt"/>
        <w:ind w:left="1985" w:hanging="244"/>
        <w:rPr>
          <w:spacing w:val="-2"/>
        </w:rPr>
      </w:pPr>
      <w:r>
        <w:rPr>
          <w:spacing w:val="-2"/>
        </w:rPr>
        <w:t>-</w:t>
      </w:r>
      <w:r>
        <w:rPr>
          <w:spacing w:val="-2"/>
        </w:rPr>
        <w:tab/>
        <w:t>Конференция специалистов по теме "Защита детей и судебная система – д</w:t>
      </w:r>
      <w:r>
        <w:rPr>
          <w:spacing w:val="-2"/>
        </w:rPr>
        <w:t>е</w:t>
      </w:r>
      <w:r>
        <w:rPr>
          <w:spacing w:val="-2"/>
        </w:rPr>
        <w:t>ти и подростки, являющиеся жертвами сексуального насилия и выступа</w:t>
      </w:r>
      <w:r>
        <w:rPr>
          <w:spacing w:val="-2"/>
        </w:rPr>
        <w:t>ю</w:t>
      </w:r>
      <w:r>
        <w:rPr>
          <w:spacing w:val="-2"/>
        </w:rPr>
        <w:t>щие в роли свидетелей в уголовном процессе (октябрь 1998 года) (Тюри</w:t>
      </w:r>
      <w:r>
        <w:rPr>
          <w:spacing w:val="-2"/>
        </w:rPr>
        <w:t>н</w:t>
      </w:r>
      <w:r>
        <w:rPr>
          <w:spacing w:val="-2"/>
        </w:rPr>
        <w:t>гия)</w:t>
      </w:r>
    </w:p>
    <w:p w:rsidR="00000000" w:rsidRDefault="00000000">
      <w:pPr>
        <w:pStyle w:val="SingleTxt"/>
        <w:ind w:left="1985" w:hanging="244"/>
        <w:rPr>
          <w:spacing w:val="-2"/>
        </w:rPr>
      </w:pPr>
      <w:r>
        <w:rPr>
          <w:spacing w:val="-2"/>
        </w:rPr>
        <w:t>-</w:t>
      </w:r>
      <w:r>
        <w:rPr>
          <w:spacing w:val="-2"/>
        </w:rPr>
        <w:tab/>
        <w:t>Архив материалов по теме "Предупреждение насилия в Тюрингии" (для и</w:t>
      </w:r>
      <w:r>
        <w:rPr>
          <w:spacing w:val="-2"/>
        </w:rPr>
        <w:t>н</w:t>
      </w:r>
      <w:r>
        <w:rPr>
          <w:spacing w:val="-2"/>
        </w:rPr>
        <w:t>структоров по вопросам предупреждения насилия; конец 2001 года)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Выпуск информационного бюллетеня для сотрудников полиции по вопр</w:t>
      </w:r>
      <w:r>
        <w:rPr>
          <w:spacing w:val="-2"/>
        </w:rPr>
        <w:t>о</w:t>
      </w:r>
      <w:r>
        <w:rPr>
          <w:spacing w:val="-2"/>
        </w:rPr>
        <w:t>сам, касающимся действий полиции в ситуациях, связанных с бытовым н</w:t>
      </w:r>
      <w:r>
        <w:rPr>
          <w:spacing w:val="-2"/>
        </w:rPr>
        <w:t>а</w:t>
      </w:r>
      <w:r>
        <w:rPr>
          <w:spacing w:val="-2"/>
        </w:rPr>
        <w:t>сил</w:t>
      </w:r>
      <w:r>
        <w:rPr>
          <w:spacing w:val="-2"/>
        </w:rPr>
        <w:t>и</w:t>
      </w:r>
      <w:r>
        <w:rPr>
          <w:spacing w:val="-2"/>
        </w:rPr>
        <w:t>ем (Тюрингия)</w:t>
      </w:r>
    </w:p>
    <w:p w:rsidR="00000000" w:rsidRDefault="00000000">
      <w:pPr>
        <w:pStyle w:val="H4"/>
      </w:pPr>
      <w:bookmarkStart w:id="857" w:name="_Toc44113882"/>
      <w:bookmarkStart w:id="858" w:name="_Toc44114391"/>
      <w:bookmarkStart w:id="859" w:name="_Toc44116073"/>
      <w:r>
        <w:t>f)</w:t>
      </w:r>
      <w:r>
        <w:tab/>
        <w:t>Женщины-иностранки</w:t>
      </w:r>
      <w:bookmarkEnd w:id="857"/>
      <w:bookmarkEnd w:id="858"/>
      <w:bookmarkEnd w:id="859"/>
    </w:p>
    <w:p w:rsidR="00000000" w:rsidRDefault="00000000">
      <w:pPr>
        <w:pStyle w:val="SingleTxt"/>
        <w:ind w:left="1985" w:hanging="244"/>
        <w:rPr>
          <w:spacing w:val="-2"/>
        </w:rPr>
      </w:pPr>
      <w:r>
        <w:rPr>
          <w:spacing w:val="-2"/>
        </w:rPr>
        <w:t>-</w:t>
      </w:r>
      <w:r>
        <w:rPr>
          <w:spacing w:val="-2"/>
        </w:rPr>
        <w:tab/>
        <w:t>Женский информационный центр для женщин-иностранок (Баден-Вюртемберг)</w:t>
      </w:r>
    </w:p>
    <w:p w:rsidR="00000000" w:rsidRDefault="00000000">
      <w:pPr>
        <w:pStyle w:val="SingleTxt"/>
        <w:ind w:left="1985" w:hanging="244"/>
        <w:rPr>
          <w:spacing w:val="-2"/>
        </w:rPr>
      </w:pPr>
      <w:r>
        <w:rPr>
          <w:spacing w:val="-2"/>
        </w:rPr>
        <w:t>-</w:t>
      </w:r>
      <w:r>
        <w:rPr>
          <w:spacing w:val="-2"/>
        </w:rPr>
        <w:tab/>
        <w:t>Помощь в издании информационных бюллетеней для жертв торговли люд</w:t>
      </w:r>
      <w:r>
        <w:rPr>
          <w:spacing w:val="-2"/>
        </w:rPr>
        <w:t>ь</w:t>
      </w:r>
      <w:r>
        <w:rPr>
          <w:spacing w:val="-2"/>
        </w:rPr>
        <w:t>ми на их родных языках (Баден-Вюртемберг)</w:t>
      </w:r>
    </w:p>
    <w:p w:rsidR="00000000" w:rsidRDefault="00000000">
      <w:pPr>
        <w:pStyle w:val="SingleTxt"/>
        <w:ind w:left="1985" w:hanging="244"/>
        <w:rPr>
          <w:spacing w:val="-2"/>
        </w:rPr>
      </w:pPr>
      <w:r>
        <w:rPr>
          <w:spacing w:val="-2"/>
        </w:rPr>
        <w:t>-</w:t>
      </w:r>
      <w:r>
        <w:rPr>
          <w:spacing w:val="-2"/>
        </w:rPr>
        <w:tab/>
        <w:t>Разработка инструкции по разделу 19 Закона об иностранцах в рамках Бе</w:t>
      </w:r>
      <w:r>
        <w:rPr>
          <w:spacing w:val="-2"/>
        </w:rPr>
        <w:t>р</w:t>
      </w:r>
      <w:r>
        <w:rPr>
          <w:spacing w:val="-2"/>
        </w:rPr>
        <w:t>линского проекта действий по борьбе с бытовым насилием (BIG e.V., 1999) (Бе</w:t>
      </w:r>
      <w:r>
        <w:rPr>
          <w:spacing w:val="-2"/>
        </w:rPr>
        <w:t>р</w:t>
      </w:r>
      <w:r>
        <w:rPr>
          <w:spacing w:val="-2"/>
        </w:rPr>
        <w:t>лин)</w:t>
      </w:r>
    </w:p>
    <w:p w:rsidR="00000000" w:rsidRDefault="00000000">
      <w:pPr>
        <w:pStyle w:val="SingleTxt"/>
        <w:ind w:left="1985" w:hanging="244"/>
        <w:rPr>
          <w:spacing w:val="-2"/>
        </w:rPr>
      </w:pPr>
      <w:r>
        <w:rPr>
          <w:spacing w:val="-2"/>
        </w:rPr>
        <w:t>-</w:t>
      </w:r>
      <w:r>
        <w:rPr>
          <w:spacing w:val="-2"/>
        </w:rPr>
        <w:tab/>
        <w:t>Заключение соглашения с берлинскими социальными учреждениями по в</w:t>
      </w:r>
      <w:r>
        <w:rPr>
          <w:spacing w:val="-2"/>
        </w:rPr>
        <w:t>о</w:t>
      </w:r>
      <w:r>
        <w:rPr>
          <w:spacing w:val="-2"/>
        </w:rPr>
        <w:t>просам, касающимся порядка посещения и применения избирательного подхода при предоставлении пособий в соответствии с Законом о пособиях для лиц, ищущих убежище (Asylbewerberleistungsgesetz) для женщин, пр</w:t>
      </w:r>
      <w:r>
        <w:rPr>
          <w:spacing w:val="-2"/>
        </w:rPr>
        <w:t>о</w:t>
      </w:r>
      <w:r>
        <w:rPr>
          <w:spacing w:val="-2"/>
        </w:rPr>
        <w:t>ходящих в качестве свидетелей по уголовным делам, связанным с торговлей людьми (октябрь 2001 года) (Бе</w:t>
      </w:r>
      <w:r>
        <w:rPr>
          <w:spacing w:val="-2"/>
        </w:rPr>
        <w:t>р</w:t>
      </w:r>
      <w:r>
        <w:rPr>
          <w:spacing w:val="-2"/>
        </w:rPr>
        <w:t>лин)</w:t>
      </w:r>
    </w:p>
    <w:p w:rsidR="00000000" w:rsidRDefault="00000000">
      <w:pPr>
        <w:pStyle w:val="SingleTxt"/>
        <w:ind w:left="1985" w:hanging="244"/>
        <w:rPr>
          <w:spacing w:val="-2"/>
        </w:rPr>
      </w:pPr>
      <w:r>
        <w:rPr>
          <w:spacing w:val="-2"/>
        </w:rPr>
        <w:t>-</w:t>
      </w:r>
      <w:r>
        <w:rPr>
          <w:spacing w:val="-2"/>
        </w:rPr>
        <w:tab/>
        <w:t>Создание консультационного органа по сложным делам, подпадающим под действие Закона об ин</w:t>
      </w:r>
      <w:r>
        <w:rPr>
          <w:spacing w:val="-2"/>
        </w:rPr>
        <w:t>о</w:t>
      </w:r>
      <w:r>
        <w:rPr>
          <w:spacing w:val="-2"/>
        </w:rPr>
        <w:t>странцах (Берлин)</w:t>
      </w:r>
    </w:p>
    <w:p w:rsidR="00000000" w:rsidRDefault="00000000">
      <w:pPr>
        <w:pStyle w:val="SingleTxt"/>
        <w:ind w:left="1985" w:hanging="244"/>
        <w:rPr>
          <w:spacing w:val="-2"/>
        </w:rPr>
      </w:pPr>
      <w:r>
        <w:rPr>
          <w:spacing w:val="-2"/>
        </w:rPr>
        <w:t>-</w:t>
      </w:r>
      <w:r>
        <w:rPr>
          <w:spacing w:val="-2"/>
        </w:rPr>
        <w:tab/>
        <w:t>Содействие осуществлению 19 проектов в интересах женщин-мигрантов, в том числе трех – для женщин, ставших предметом торговли (Берлин)</w:t>
      </w:r>
    </w:p>
    <w:p w:rsidR="00000000" w:rsidRDefault="00000000">
      <w:pPr>
        <w:pStyle w:val="SingleTxt"/>
        <w:ind w:left="1985" w:hanging="244"/>
        <w:rPr>
          <w:spacing w:val="-2"/>
        </w:rPr>
      </w:pPr>
      <w:r>
        <w:rPr>
          <w:spacing w:val="-2"/>
        </w:rPr>
        <w:t>-</w:t>
      </w:r>
      <w:r>
        <w:rPr>
          <w:spacing w:val="-2"/>
        </w:rPr>
        <w:tab/>
        <w:t>Создание приюта для женщин – представительниц разных культур (2000 год) (Берлин)</w:t>
      </w:r>
    </w:p>
    <w:p w:rsidR="00000000" w:rsidRDefault="00000000">
      <w:pPr>
        <w:pStyle w:val="SingleTxt"/>
        <w:ind w:left="1985" w:hanging="244"/>
        <w:rPr>
          <w:spacing w:val="-2"/>
        </w:rPr>
      </w:pPr>
      <w:r>
        <w:rPr>
          <w:spacing w:val="-2"/>
        </w:rPr>
        <w:t>-</w:t>
      </w:r>
      <w:r>
        <w:rPr>
          <w:spacing w:val="-2"/>
        </w:rPr>
        <w:tab/>
        <w:t>Берлинская экспертная комиссия по вопросам торговли женщинами (Бе</w:t>
      </w:r>
      <w:r>
        <w:rPr>
          <w:spacing w:val="-2"/>
        </w:rPr>
        <w:t>р</w:t>
      </w:r>
      <w:r>
        <w:rPr>
          <w:spacing w:val="-2"/>
        </w:rPr>
        <w:t>лин)</w:t>
      </w:r>
    </w:p>
    <w:p w:rsidR="00000000" w:rsidRDefault="00000000">
      <w:pPr>
        <w:pStyle w:val="SingleTxt"/>
        <w:ind w:left="1985" w:hanging="244"/>
        <w:rPr>
          <w:spacing w:val="-2"/>
        </w:rPr>
      </w:pPr>
      <w:r>
        <w:rPr>
          <w:spacing w:val="-2"/>
        </w:rPr>
        <w:t>-</w:t>
      </w:r>
      <w:r>
        <w:rPr>
          <w:spacing w:val="-2"/>
        </w:rPr>
        <w:tab/>
        <w:t>Специальная конференция и пакет документов под названием "Европейские стратегии по предупр</w:t>
      </w:r>
      <w:r>
        <w:rPr>
          <w:spacing w:val="-2"/>
        </w:rPr>
        <w:t>е</w:t>
      </w:r>
      <w:r>
        <w:rPr>
          <w:spacing w:val="-2"/>
        </w:rPr>
        <w:t>ждению и пресечению торговли женщинами" (25-26 ноября 1998 года) (Берлин)</w:t>
      </w:r>
    </w:p>
    <w:p w:rsidR="00000000" w:rsidRDefault="00000000">
      <w:pPr>
        <w:pStyle w:val="SingleTxt"/>
        <w:ind w:left="1985" w:hanging="244"/>
        <w:rPr>
          <w:spacing w:val="-2"/>
        </w:rPr>
      </w:pPr>
      <w:r>
        <w:rPr>
          <w:spacing w:val="-2"/>
        </w:rPr>
        <w:t>-</w:t>
      </w:r>
      <w:r>
        <w:rPr>
          <w:spacing w:val="-2"/>
        </w:rPr>
        <w:tab/>
        <w:t>Организация приюта для женщин из стран Центральной и Восточной Евр</w:t>
      </w:r>
      <w:r>
        <w:rPr>
          <w:spacing w:val="-2"/>
        </w:rPr>
        <w:t>о</w:t>
      </w:r>
      <w:r>
        <w:rPr>
          <w:spacing w:val="-2"/>
        </w:rPr>
        <w:t>пы, ставших предметом торговли, 1999 год (Берлин)</w:t>
      </w:r>
    </w:p>
    <w:p w:rsidR="00000000" w:rsidRDefault="00000000">
      <w:pPr>
        <w:pStyle w:val="SingleTxt"/>
        <w:ind w:left="1985" w:hanging="244"/>
        <w:rPr>
          <w:spacing w:val="-2"/>
        </w:rPr>
      </w:pPr>
      <w:r>
        <w:rPr>
          <w:spacing w:val="-2"/>
        </w:rPr>
        <w:t>-</w:t>
      </w:r>
      <w:r>
        <w:rPr>
          <w:spacing w:val="-2"/>
        </w:rPr>
        <w:tab/>
        <w:t>Женское инфраструктурное учреждение для консультирования женщин, ставших предметом торго</w:t>
      </w:r>
      <w:r>
        <w:rPr>
          <w:spacing w:val="-2"/>
        </w:rPr>
        <w:t>в</w:t>
      </w:r>
      <w:r>
        <w:rPr>
          <w:spacing w:val="-2"/>
        </w:rPr>
        <w:t>ли, и оказания им помощи (Берлин)</w:t>
      </w:r>
    </w:p>
    <w:p w:rsidR="00000000" w:rsidRDefault="00000000">
      <w:pPr>
        <w:pStyle w:val="SingleTxt"/>
        <w:ind w:left="1985" w:hanging="244"/>
        <w:rPr>
          <w:spacing w:val="-2"/>
        </w:rPr>
      </w:pPr>
      <w:r>
        <w:rPr>
          <w:spacing w:val="-2"/>
        </w:rPr>
        <w:t>-</w:t>
      </w:r>
      <w:r>
        <w:rPr>
          <w:spacing w:val="-2"/>
        </w:rPr>
        <w:tab/>
        <w:t>Информационный бюллетень под названием "Женщины как товар" по в</w:t>
      </w:r>
      <w:r>
        <w:rPr>
          <w:spacing w:val="-2"/>
        </w:rPr>
        <w:t>о</w:t>
      </w:r>
      <w:r>
        <w:rPr>
          <w:spacing w:val="-2"/>
        </w:rPr>
        <w:t>просам торговли женщин</w:t>
      </w:r>
      <w:r>
        <w:rPr>
          <w:spacing w:val="-2"/>
        </w:rPr>
        <w:t>а</w:t>
      </w:r>
      <w:r>
        <w:rPr>
          <w:spacing w:val="-2"/>
        </w:rPr>
        <w:t>ми (Берлин)</w:t>
      </w:r>
    </w:p>
    <w:p w:rsidR="00000000" w:rsidRDefault="00000000">
      <w:pPr>
        <w:pStyle w:val="SingleTxt"/>
        <w:ind w:left="1985" w:hanging="244"/>
        <w:rPr>
          <w:spacing w:val="-2"/>
        </w:rPr>
      </w:pPr>
      <w:r>
        <w:rPr>
          <w:spacing w:val="-2"/>
        </w:rPr>
        <w:t>-</w:t>
      </w:r>
      <w:r>
        <w:rPr>
          <w:spacing w:val="-2"/>
        </w:rPr>
        <w:tab/>
        <w:t>Специальное консультационное учреждение "Белладонна" по вопросам з</w:t>
      </w:r>
      <w:r>
        <w:rPr>
          <w:spacing w:val="-2"/>
        </w:rPr>
        <w:t>а</w:t>
      </w:r>
      <w:r>
        <w:rPr>
          <w:spacing w:val="-2"/>
        </w:rPr>
        <w:t>щиты жертв торговли людьми (Бранденбург)</w:t>
      </w:r>
    </w:p>
    <w:p w:rsidR="00000000" w:rsidRDefault="00000000">
      <w:pPr>
        <w:pStyle w:val="SingleTxt"/>
        <w:ind w:left="1985" w:hanging="244"/>
        <w:rPr>
          <w:spacing w:val="-2"/>
        </w:rPr>
      </w:pPr>
      <w:r>
        <w:rPr>
          <w:spacing w:val="-2"/>
        </w:rPr>
        <w:t>-</w:t>
      </w:r>
      <w:r>
        <w:rPr>
          <w:spacing w:val="-2"/>
        </w:rPr>
        <w:tab/>
        <w:t>Указ в отношении раздела 19 Закона об иностранцах (право на отдельное проживание супруги в особо сложных случаях) в преддверии применения нового текста Закона с мая 2000 года (Бремен)</w:t>
      </w:r>
    </w:p>
    <w:p w:rsidR="00000000" w:rsidRDefault="00000000">
      <w:pPr>
        <w:pStyle w:val="SingleTxt"/>
        <w:ind w:left="1985" w:hanging="244"/>
        <w:rPr>
          <w:spacing w:val="-2"/>
        </w:rPr>
      </w:pPr>
      <w:r>
        <w:rPr>
          <w:spacing w:val="-2"/>
        </w:rPr>
        <w:t>-</w:t>
      </w:r>
      <w:r>
        <w:rPr>
          <w:spacing w:val="-2"/>
        </w:rPr>
        <w:tab/>
        <w:t>Указ о временном приостановлении депортации жертв торговли люд</w:t>
      </w:r>
      <w:r>
        <w:rPr>
          <w:spacing w:val="-2"/>
        </w:rPr>
        <w:t>ь</w:t>
      </w:r>
      <w:r>
        <w:rPr>
          <w:spacing w:val="-2"/>
        </w:rPr>
        <w:t>ми/торговли женщинами (Бр</w:t>
      </w:r>
      <w:r>
        <w:rPr>
          <w:spacing w:val="-2"/>
        </w:rPr>
        <w:t>е</w:t>
      </w:r>
      <w:r>
        <w:rPr>
          <w:spacing w:val="-2"/>
        </w:rPr>
        <w:t>мен)</w:t>
      </w:r>
    </w:p>
    <w:p w:rsidR="00000000" w:rsidRDefault="00000000">
      <w:pPr>
        <w:pStyle w:val="SingleTxt"/>
        <w:ind w:left="1985" w:hanging="244"/>
        <w:rPr>
          <w:spacing w:val="-2"/>
        </w:rPr>
      </w:pPr>
      <w:r>
        <w:rPr>
          <w:spacing w:val="-2"/>
        </w:rPr>
        <w:t>-</w:t>
      </w:r>
      <w:r>
        <w:rPr>
          <w:spacing w:val="-2"/>
        </w:rPr>
        <w:tab/>
        <w:t>Мероприятие по вопросам, касающимся торговли женщинами и принуд</w:t>
      </w:r>
      <w:r>
        <w:rPr>
          <w:spacing w:val="-2"/>
        </w:rPr>
        <w:t>и</w:t>
      </w:r>
      <w:r>
        <w:rPr>
          <w:spacing w:val="-2"/>
        </w:rPr>
        <w:t>тельной проституции, а также положения жертв, включая вопросы попеч</w:t>
      </w:r>
      <w:r>
        <w:rPr>
          <w:spacing w:val="-2"/>
        </w:rPr>
        <w:t>и</w:t>
      </w:r>
      <w:r>
        <w:rPr>
          <w:spacing w:val="-2"/>
        </w:rPr>
        <w:t>тел</w:t>
      </w:r>
      <w:r>
        <w:rPr>
          <w:spacing w:val="-2"/>
        </w:rPr>
        <w:t>ь</w:t>
      </w:r>
      <w:r>
        <w:rPr>
          <w:spacing w:val="-2"/>
        </w:rPr>
        <w:t>ской работы (Бремен)</w:t>
      </w:r>
    </w:p>
    <w:p w:rsidR="00000000" w:rsidRDefault="00000000">
      <w:pPr>
        <w:pStyle w:val="SingleTxt"/>
        <w:ind w:left="1985" w:hanging="244"/>
        <w:rPr>
          <w:spacing w:val="-2"/>
        </w:rPr>
      </w:pPr>
      <w:r>
        <w:rPr>
          <w:spacing w:val="-2"/>
        </w:rPr>
        <w:t>-</w:t>
      </w:r>
      <w:r>
        <w:rPr>
          <w:spacing w:val="-2"/>
        </w:rPr>
        <w:tab/>
        <w:t>Планы улучшения положения женщин, ставших жертвами торговли и пр</w:t>
      </w:r>
      <w:r>
        <w:rPr>
          <w:spacing w:val="-2"/>
        </w:rPr>
        <w:t>и</w:t>
      </w:r>
      <w:r>
        <w:rPr>
          <w:spacing w:val="-2"/>
        </w:rPr>
        <w:t>нудительной проституции (Бремен)</w:t>
      </w:r>
    </w:p>
    <w:p w:rsidR="00000000" w:rsidRDefault="00000000">
      <w:pPr>
        <w:pStyle w:val="SingleTxt"/>
        <w:ind w:left="1985" w:hanging="244"/>
        <w:rPr>
          <w:spacing w:val="-2"/>
        </w:rPr>
      </w:pPr>
      <w:r>
        <w:rPr>
          <w:spacing w:val="-2"/>
        </w:rPr>
        <w:t>-</w:t>
      </w:r>
      <w:r>
        <w:rPr>
          <w:spacing w:val="-2"/>
        </w:rPr>
        <w:tab/>
        <w:t>Оказание содействия координационному учреждению по вопросам торговли женщинами (КООФРА) (Гамбург)</w:t>
      </w:r>
    </w:p>
    <w:p w:rsidR="00000000" w:rsidRDefault="00000000">
      <w:pPr>
        <w:pStyle w:val="SingleTxt"/>
        <w:ind w:left="1985" w:hanging="244"/>
        <w:rPr>
          <w:spacing w:val="-2"/>
        </w:rPr>
      </w:pPr>
      <w:r>
        <w:rPr>
          <w:spacing w:val="-2"/>
        </w:rPr>
        <w:t>-</w:t>
      </w:r>
      <w:r>
        <w:rPr>
          <w:spacing w:val="-2"/>
        </w:rPr>
        <w:tab/>
        <w:t>Проведение "круглого стола" по вопросам пресечения торговли людьми (Гессен)</w:t>
      </w:r>
    </w:p>
    <w:p w:rsidR="00000000" w:rsidRDefault="00000000">
      <w:pPr>
        <w:pStyle w:val="SingleTxt"/>
        <w:ind w:left="1985" w:hanging="244"/>
        <w:rPr>
          <w:spacing w:val="-2"/>
        </w:rPr>
      </w:pPr>
      <w:r>
        <w:rPr>
          <w:spacing w:val="-2"/>
        </w:rPr>
        <w:t>-</w:t>
      </w:r>
      <w:r>
        <w:rPr>
          <w:spacing w:val="-2"/>
        </w:rPr>
        <w:tab/>
        <w:t>Пилотный проект для жертв/свидетелей торговли людьми (Гессен)</w:t>
      </w:r>
    </w:p>
    <w:p w:rsidR="00000000" w:rsidRDefault="00000000">
      <w:pPr>
        <w:pStyle w:val="SingleTxt"/>
        <w:ind w:left="1985" w:hanging="244"/>
        <w:rPr>
          <w:spacing w:val="-2"/>
        </w:rPr>
      </w:pPr>
      <w:r>
        <w:rPr>
          <w:spacing w:val="-2"/>
        </w:rPr>
        <w:t>-</w:t>
      </w:r>
      <w:r>
        <w:rPr>
          <w:spacing w:val="-2"/>
        </w:rPr>
        <w:tab/>
        <w:t>Изучение возможности использования женских приютов для размещения жертв торговли людьми (Мекленбург-Западная Померания)</w:t>
      </w:r>
    </w:p>
    <w:p w:rsidR="00000000" w:rsidRDefault="00000000">
      <w:pPr>
        <w:pStyle w:val="SingleTxt"/>
        <w:ind w:left="1985" w:hanging="244"/>
        <w:rPr>
          <w:spacing w:val="-2"/>
        </w:rPr>
      </w:pPr>
      <w:r>
        <w:rPr>
          <w:spacing w:val="-2"/>
        </w:rPr>
        <w:t>-</w:t>
      </w:r>
      <w:r>
        <w:rPr>
          <w:spacing w:val="-2"/>
        </w:rPr>
        <w:tab/>
        <w:t>План создания консультационного учреждения для жертв торговли людьми (Мекленбург-Западная Померания)</w:t>
      </w:r>
    </w:p>
    <w:p w:rsidR="00000000" w:rsidRDefault="00000000">
      <w:pPr>
        <w:pStyle w:val="SingleTxt"/>
        <w:ind w:left="1985" w:hanging="244"/>
        <w:rPr>
          <w:spacing w:val="-2"/>
        </w:rPr>
      </w:pPr>
      <w:r>
        <w:rPr>
          <w:spacing w:val="-2"/>
        </w:rPr>
        <w:t>-</w:t>
      </w:r>
      <w:r>
        <w:rPr>
          <w:spacing w:val="-2"/>
        </w:rPr>
        <w:tab/>
        <w:t>Организация "круглого стола" на уровне земель по теме "Международная торговля женщинами и д</w:t>
      </w:r>
      <w:r>
        <w:rPr>
          <w:spacing w:val="-2"/>
        </w:rPr>
        <w:t>е</w:t>
      </w:r>
      <w:r>
        <w:rPr>
          <w:spacing w:val="-2"/>
        </w:rPr>
        <w:t>вушками-иностранками в земле Северный Рейн-Вестфалия (Северный Рейн-Вестфалия)</w:t>
      </w:r>
    </w:p>
    <w:p w:rsidR="00000000" w:rsidRDefault="00000000">
      <w:pPr>
        <w:pStyle w:val="SingleTxt"/>
        <w:ind w:left="1985" w:hanging="244"/>
        <w:rPr>
          <w:spacing w:val="-2"/>
        </w:rPr>
      </w:pPr>
      <w:r>
        <w:rPr>
          <w:spacing w:val="-2"/>
        </w:rPr>
        <w:t>-</w:t>
      </w:r>
      <w:r>
        <w:rPr>
          <w:spacing w:val="-2"/>
        </w:rPr>
        <w:tab/>
        <w:t>Включены в инфраструктуру девяти специализированных женских консул</w:t>
      </w:r>
      <w:r>
        <w:rPr>
          <w:spacing w:val="-2"/>
        </w:rPr>
        <w:t>ь</w:t>
      </w:r>
      <w:r>
        <w:rPr>
          <w:spacing w:val="-2"/>
        </w:rPr>
        <w:t>таций по вопросам бор</w:t>
      </w:r>
      <w:r>
        <w:rPr>
          <w:spacing w:val="-2"/>
        </w:rPr>
        <w:t>ь</w:t>
      </w:r>
      <w:r>
        <w:rPr>
          <w:spacing w:val="-2"/>
        </w:rPr>
        <w:t>бы с торговлей людьми (Северный Рейн-Вестфалия)</w:t>
      </w:r>
    </w:p>
    <w:p w:rsidR="00000000" w:rsidRDefault="00000000">
      <w:pPr>
        <w:pStyle w:val="SingleTxt"/>
        <w:ind w:left="1985" w:hanging="244"/>
        <w:rPr>
          <w:spacing w:val="-2"/>
        </w:rPr>
      </w:pPr>
      <w:r>
        <w:rPr>
          <w:spacing w:val="-2"/>
        </w:rPr>
        <w:t>-</w:t>
      </w:r>
      <w:r>
        <w:rPr>
          <w:spacing w:val="-2"/>
        </w:rPr>
        <w:tab/>
        <w:t>Циркулярные письма по вопросам защиты от депортации женщин, ставших предметом торговли, оказания им помощи, оплаты обратной дороги и коо</w:t>
      </w:r>
      <w:r>
        <w:rPr>
          <w:spacing w:val="-2"/>
        </w:rPr>
        <w:t>р</w:t>
      </w:r>
      <w:r>
        <w:rPr>
          <w:spacing w:val="-2"/>
        </w:rPr>
        <w:t>динация сотрудничества между соответствующими органами (Северный Рейн-Вестфалия)</w:t>
      </w:r>
    </w:p>
    <w:p w:rsidR="00000000" w:rsidRDefault="00000000">
      <w:pPr>
        <w:pStyle w:val="SingleTxt"/>
        <w:ind w:left="1985" w:hanging="244"/>
        <w:rPr>
          <w:spacing w:val="-2"/>
        </w:rPr>
      </w:pPr>
      <w:r>
        <w:rPr>
          <w:spacing w:val="-2"/>
        </w:rPr>
        <w:t>-</w:t>
      </w:r>
      <w:r>
        <w:rPr>
          <w:spacing w:val="-2"/>
        </w:rPr>
        <w:tab/>
        <w:t>Оказание содействия консультационному учреждению "СОЛВОДИ" для женщин-иностранок, которые стали жертвами торговли людьми и принуд</w:t>
      </w:r>
      <w:r>
        <w:rPr>
          <w:spacing w:val="-2"/>
        </w:rPr>
        <w:t>и</w:t>
      </w:r>
      <w:r>
        <w:rPr>
          <w:spacing w:val="-2"/>
        </w:rPr>
        <w:t>тельной проституции (Рейнланд-Пфальц)</w:t>
      </w:r>
    </w:p>
    <w:p w:rsidR="00000000" w:rsidRDefault="00000000">
      <w:pPr>
        <w:pStyle w:val="SingleTxt"/>
        <w:ind w:left="1985" w:hanging="244"/>
        <w:rPr>
          <w:spacing w:val="-2"/>
        </w:rPr>
      </w:pPr>
      <w:r>
        <w:rPr>
          <w:spacing w:val="-2"/>
        </w:rPr>
        <w:t>-</w:t>
      </w:r>
      <w:r>
        <w:rPr>
          <w:spacing w:val="-2"/>
        </w:rPr>
        <w:tab/>
        <w:t>Проект оказания психологической и социальной консультационной помощи потерпевшим/свидетелям, проходящим по уголовным делам, связанным с торговлей людьми, и попечения о них (Рей</w:t>
      </w:r>
      <w:r>
        <w:rPr>
          <w:spacing w:val="-2"/>
        </w:rPr>
        <w:t>н</w:t>
      </w:r>
      <w:r>
        <w:rPr>
          <w:spacing w:val="-2"/>
        </w:rPr>
        <w:t>ланд-Пфальц)</w:t>
      </w:r>
    </w:p>
    <w:p w:rsidR="00000000" w:rsidRDefault="00000000">
      <w:pPr>
        <w:pStyle w:val="SingleTxt"/>
        <w:ind w:left="1985" w:hanging="244"/>
        <w:rPr>
          <w:spacing w:val="-2"/>
        </w:rPr>
      </w:pPr>
      <w:r>
        <w:rPr>
          <w:spacing w:val="-2"/>
        </w:rPr>
        <w:t>-</w:t>
      </w:r>
      <w:r>
        <w:rPr>
          <w:spacing w:val="-2"/>
        </w:rPr>
        <w:tab/>
        <w:t>Оказание содействия работе консультационного учреждения для женщин из Центральной и Восто</w:t>
      </w:r>
      <w:r>
        <w:rPr>
          <w:spacing w:val="-2"/>
        </w:rPr>
        <w:t>ч</w:t>
      </w:r>
      <w:r>
        <w:rPr>
          <w:spacing w:val="-2"/>
        </w:rPr>
        <w:t>ной Европы – КОБРА (Саксония)</w:t>
      </w:r>
    </w:p>
    <w:p w:rsidR="00000000" w:rsidRDefault="00000000">
      <w:pPr>
        <w:pStyle w:val="SingleTxt"/>
        <w:ind w:left="1985" w:hanging="244"/>
        <w:rPr>
          <w:spacing w:val="-2"/>
        </w:rPr>
      </w:pPr>
      <w:r>
        <w:rPr>
          <w:spacing w:val="-2"/>
        </w:rPr>
        <w:t>-</w:t>
      </w:r>
      <w:r>
        <w:rPr>
          <w:spacing w:val="-2"/>
        </w:rPr>
        <w:tab/>
        <w:t>Приют для женщин-беженцев, открытый для пострадавших одиноких же</w:t>
      </w:r>
      <w:r>
        <w:rPr>
          <w:spacing w:val="-2"/>
        </w:rPr>
        <w:t>н</w:t>
      </w:r>
      <w:r>
        <w:rPr>
          <w:spacing w:val="-2"/>
        </w:rPr>
        <w:t>щин и их детей (Сакс</w:t>
      </w:r>
      <w:r>
        <w:rPr>
          <w:spacing w:val="-2"/>
        </w:rPr>
        <w:t>о</w:t>
      </w:r>
      <w:r>
        <w:rPr>
          <w:spacing w:val="-2"/>
        </w:rPr>
        <w:t>ния-Айнхальт)</w:t>
      </w:r>
    </w:p>
    <w:p w:rsidR="00000000" w:rsidRDefault="00000000">
      <w:pPr>
        <w:pStyle w:val="SingleTxt"/>
        <w:ind w:left="1985" w:hanging="244"/>
        <w:rPr>
          <w:spacing w:val="-2"/>
        </w:rPr>
      </w:pPr>
      <w:r>
        <w:rPr>
          <w:spacing w:val="-2"/>
        </w:rPr>
        <w:t>-</w:t>
      </w:r>
      <w:r>
        <w:rPr>
          <w:spacing w:val="-2"/>
        </w:rPr>
        <w:tab/>
        <w:t>Консультационное учреждение "Вера" для жертв торговли людьми и прин</w:t>
      </w:r>
      <w:r>
        <w:rPr>
          <w:spacing w:val="-2"/>
        </w:rPr>
        <w:t>у</w:t>
      </w:r>
      <w:r>
        <w:rPr>
          <w:spacing w:val="-2"/>
        </w:rPr>
        <w:t>дительной проституции (Саксония-Айнхальт)</w:t>
      </w:r>
    </w:p>
    <w:p w:rsidR="00000000" w:rsidRDefault="00000000">
      <w:pPr>
        <w:pStyle w:val="SingleTxt"/>
        <w:ind w:left="1985" w:hanging="244"/>
        <w:rPr>
          <w:spacing w:val="-2"/>
        </w:rPr>
      </w:pPr>
      <w:r>
        <w:rPr>
          <w:spacing w:val="-2"/>
        </w:rPr>
        <w:t>-</w:t>
      </w:r>
      <w:r>
        <w:rPr>
          <w:spacing w:val="-2"/>
        </w:rPr>
        <w:tab/>
        <w:t>Оказание содействия работе консультационно-координационного учрежд</w:t>
      </w:r>
      <w:r>
        <w:rPr>
          <w:spacing w:val="-2"/>
        </w:rPr>
        <w:t>е</w:t>
      </w:r>
      <w:r>
        <w:rPr>
          <w:spacing w:val="-2"/>
        </w:rPr>
        <w:t>ния "Контра" для женщин, ставших предметом торговли (Шлезвиг-Гольштейн)</w:t>
      </w:r>
    </w:p>
    <w:p w:rsidR="00000000" w:rsidRDefault="00000000">
      <w:pPr>
        <w:pStyle w:val="SingleTxt"/>
        <w:ind w:left="1985" w:hanging="244"/>
        <w:rPr>
          <w:spacing w:val="-2"/>
        </w:rPr>
      </w:pPr>
      <w:r>
        <w:rPr>
          <w:spacing w:val="-2"/>
        </w:rPr>
        <w:t>-</w:t>
      </w:r>
      <w:r>
        <w:rPr>
          <w:spacing w:val="-2"/>
        </w:rPr>
        <w:tab/>
        <w:t>Содействие оказанию социальной помощи женщинам-иностранкам ("Соц</w:t>
      </w:r>
      <w:r>
        <w:rPr>
          <w:spacing w:val="-2"/>
        </w:rPr>
        <w:t>и</w:t>
      </w:r>
      <w:r>
        <w:rPr>
          <w:spacing w:val="-2"/>
        </w:rPr>
        <w:t>альные консультации для иностранцев") в сотрудничестве с федеральным министерством труда и социальных дел (с 1997 года) (Тюрингия)</w:t>
      </w:r>
    </w:p>
    <w:p w:rsidR="00000000" w:rsidRDefault="00000000">
      <w:pPr>
        <w:pStyle w:val="H4"/>
      </w:pPr>
      <w:bookmarkStart w:id="860" w:name="_Toc44113883"/>
      <w:bookmarkStart w:id="861" w:name="_Toc44114392"/>
      <w:bookmarkStart w:id="862" w:name="_Toc44116074"/>
      <w:r>
        <w:t>g)</w:t>
      </w:r>
      <w:r>
        <w:tab/>
        <w:t>Женщины и научно-исследовательская работа, изучение женской проблематики</w:t>
      </w:r>
      <w:bookmarkEnd w:id="860"/>
      <w:bookmarkEnd w:id="861"/>
      <w:bookmarkEnd w:id="862"/>
    </w:p>
    <w:p w:rsidR="00000000" w:rsidRDefault="00000000">
      <w:pPr>
        <w:pStyle w:val="SingleTxt"/>
        <w:ind w:left="1985" w:hanging="244"/>
        <w:rPr>
          <w:spacing w:val="-2"/>
        </w:rPr>
      </w:pPr>
      <w:r>
        <w:rPr>
          <w:spacing w:val="-2"/>
        </w:rPr>
        <w:t>-</w:t>
      </w:r>
      <w:r>
        <w:rPr>
          <w:spacing w:val="-2"/>
        </w:rPr>
        <w:tab/>
        <w:t>Планы, касающиеся улучшения положения женщин и работы уполномоче</w:t>
      </w:r>
      <w:r>
        <w:rPr>
          <w:spacing w:val="-2"/>
        </w:rPr>
        <w:t>н</w:t>
      </w:r>
      <w:r>
        <w:rPr>
          <w:spacing w:val="-2"/>
        </w:rPr>
        <w:t>ных по делам женщин в высших учебных заведениях (Северный Рейн-Вестфалия, Шлезвиг-Гольштейн)</w:t>
      </w:r>
    </w:p>
    <w:p w:rsidR="00000000" w:rsidRDefault="00000000">
      <w:pPr>
        <w:pStyle w:val="SingleTxt"/>
        <w:ind w:left="1985" w:hanging="244"/>
        <w:rPr>
          <w:spacing w:val="-2"/>
        </w:rPr>
      </w:pPr>
      <w:r>
        <w:rPr>
          <w:spacing w:val="-2"/>
        </w:rPr>
        <w:t>-</w:t>
      </w:r>
      <w:r>
        <w:rPr>
          <w:spacing w:val="-2"/>
        </w:rPr>
        <w:tab/>
        <w:t>Рабочая группа и программа по поощрению равных возможностей женщин в области исследовательской и преподавательской деятельности в рамках нау</w:t>
      </w:r>
      <w:r>
        <w:rPr>
          <w:spacing w:val="-2"/>
        </w:rPr>
        <w:t>ч</w:t>
      </w:r>
      <w:r>
        <w:rPr>
          <w:spacing w:val="-2"/>
        </w:rPr>
        <w:t>ной программы университетов (Берлин, Саксония)</w:t>
      </w:r>
    </w:p>
    <w:p w:rsidR="00000000" w:rsidRDefault="00000000">
      <w:pPr>
        <w:pStyle w:val="SingleTxt"/>
        <w:ind w:left="1985" w:hanging="244"/>
        <w:rPr>
          <w:spacing w:val="-2"/>
        </w:rPr>
      </w:pPr>
      <w:r>
        <w:rPr>
          <w:spacing w:val="-2"/>
        </w:rPr>
        <w:t>-</w:t>
      </w:r>
      <w:r>
        <w:rPr>
          <w:spacing w:val="-2"/>
        </w:rPr>
        <w:tab/>
        <w:t>Реабилитационная программа им. Маргарет фон Врангель в интересах женщин (Баден-Вюртемберг)</w:t>
      </w:r>
    </w:p>
    <w:p w:rsidR="00000000" w:rsidRDefault="00000000">
      <w:pPr>
        <w:pStyle w:val="SingleTxt"/>
        <w:ind w:left="1985" w:hanging="244"/>
        <w:rPr>
          <w:spacing w:val="-2"/>
        </w:rPr>
      </w:pPr>
      <w:r>
        <w:rPr>
          <w:spacing w:val="-2"/>
        </w:rPr>
        <w:t>-</w:t>
      </w:r>
      <w:r>
        <w:rPr>
          <w:spacing w:val="-2"/>
        </w:rPr>
        <w:tab/>
        <w:t>Программа пропагандистских и практических мер им. Матильды Планк для продвижения молодых преподавателей-женщин по службе в технических ко</w:t>
      </w:r>
      <w:r>
        <w:rPr>
          <w:spacing w:val="-2"/>
        </w:rPr>
        <w:t>л</w:t>
      </w:r>
      <w:r>
        <w:rPr>
          <w:spacing w:val="-2"/>
        </w:rPr>
        <w:t>леджах (Баден-Вюртемберг)</w:t>
      </w:r>
    </w:p>
    <w:p w:rsidR="00000000" w:rsidRDefault="00000000">
      <w:pPr>
        <w:pStyle w:val="SingleTxt"/>
        <w:ind w:left="1985" w:hanging="244"/>
        <w:rPr>
          <w:spacing w:val="-2"/>
        </w:rPr>
      </w:pPr>
      <w:r>
        <w:rPr>
          <w:spacing w:val="-2"/>
        </w:rPr>
        <w:t>-</w:t>
      </w:r>
      <w:r>
        <w:rPr>
          <w:spacing w:val="-2"/>
        </w:rPr>
        <w:tab/>
        <w:t>Программа подготовки младших преподавателей-женщин для художестве</w:t>
      </w:r>
      <w:r>
        <w:rPr>
          <w:spacing w:val="-2"/>
        </w:rPr>
        <w:t>н</w:t>
      </w:r>
      <w:r>
        <w:rPr>
          <w:spacing w:val="-2"/>
        </w:rPr>
        <w:t>ных и музыкальных ко</w:t>
      </w:r>
      <w:r>
        <w:rPr>
          <w:spacing w:val="-2"/>
        </w:rPr>
        <w:t>л</w:t>
      </w:r>
      <w:r>
        <w:rPr>
          <w:spacing w:val="-2"/>
        </w:rPr>
        <w:t>леджей (Баден-Вюртемберг)</w:t>
      </w:r>
    </w:p>
    <w:p w:rsidR="00000000" w:rsidRDefault="00000000">
      <w:pPr>
        <w:pStyle w:val="SingleTxt"/>
        <w:ind w:left="1985" w:hanging="244"/>
        <w:rPr>
          <w:spacing w:val="-2"/>
        </w:rPr>
      </w:pPr>
      <w:r>
        <w:rPr>
          <w:spacing w:val="-2"/>
        </w:rPr>
        <w:t>-</w:t>
      </w:r>
      <w:r>
        <w:rPr>
          <w:spacing w:val="-2"/>
        </w:rPr>
        <w:tab/>
        <w:t>Гранты для реинтеграции женщин в общество (Баден-Вюртемберг)</w:t>
      </w:r>
    </w:p>
    <w:p w:rsidR="00000000" w:rsidRDefault="00000000">
      <w:pPr>
        <w:pStyle w:val="SingleTxt"/>
        <w:ind w:left="1985" w:hanging="244"/>
        <w:rPr>
          <w:spacing w:val="-2"/>
        </w:rPr>
      </w:pPr>
      <w:r>
        <w:rPr>
          <w:spacing w:val="-2"/>
        </w:rPr>
        <w:t>-</w:t>
      </w:r>
      <w:r>
        <w:rPr>
          <w:spacing w:val="-2"/>
        </w:rPr>
        <w:tab/>
        <w:t>Сеть "Женщины. Инновации. Технология", проекты для учащихся-женщин, веб-сайт (Баден-Вюртемберг)</w:t>
      </w:r>
    </w:p>
    <w:p w:rsidR="00000000" w:rsidRDefault="00000000">
      <w:pPr>
        <w:pStyle w:val="SingleTxt"/>
        <w:ind w:left="1985" w:hanging="244"/>
        <w:rPr>
          <w:spacing w:val="-2"/>
        </w:rPr>
      </w:pPr>
      <w:r>
        <w:rPr>
          <w:spacing w:val="-2"/>
        </w:rPr>
        <w:t>-</w:t>
      </w:r>
      <w:r>
        <w:rPr>
          <w:spacing w:val="-2"/>
        </w:rPr>
        <w:tab/>
        <w:t>Организация ежегодного летнего курса "неформальная информатика" (Б</w:t>
      </w:r>
      <w:r>
        <w:rPr>
          <w:spacing w:val="-2"/>
        </w:rPr>
        <w:t>а</w:t>
      </w:r>
      <w:r>
        <w:rPr>
          <w:spacing w:val="-2"/>
        </w:rPr>
        <w:t>ден-Вюртемберг)</w:t>
      </w:r>
    </w:p>
    <w:p w:rsidR="00000000" w:rsidRDefault="00000000">
      <w:pPr>
        <w:pStyle w:val="SingleTxt"/>
        <w:ind w:left="1985" w:hanging="244"/>
        <w:rPr>
          <w:spacing w:val="-2"/>
        </w:rPr>
      </w:pPr>
      <w:r>
        <w:rPr>
          <w:spacing w:val="-2"/>
        </w:rPr>
        <w:t>-</w:t>
      </w:r>
      <w:r>
        <w:rPr>
          <w:spacing w:val="-2"/>
        </w:rPr>
        <w:tab/>
        <w:t>Распределение финансовых средств в зависимости от результатов труда в качестве стимула для улучшения положения женщин (Баден-Вюртемберг)</w:t>
      </w:r>
    </w:p>
    <w:p w:rsidR="00000000" w:rsidRDefault="00000000">
      <w:pPr>
        <w:pStyle w:val="SingleTxt"/>
        <w:ind w:left="1985" w:hanging="244"/>
        <w:rPr>
          <w:spacing w:val="-2"/>
        </w:rPr>
      </w:pPr>
      <w:r>
        <w:t>-</w:t>
      </w:r>
      <w:r>
        <w:tab/>
      </w:r>
      <w:r>
        <w:rPr>
          <w:spacing w:val="-2"/>
        </w:rPr>
        <w:t>Содействие осуществлению программы институционализации исследов</w:t>
      </w:r>
      <w:r>
        <w:rPr>
          <w:spacing w:val="-2"/>
        </w:rPr>
        <w:t>а</w:t>
      </w:r>
      <w:r>
        <w:rPr>
          <w:spacing w:val="-2"/>
        </w:rPr>
        <w:t>ний женской и гендерной проблематики в высших учебных заведениях Б</w:t>
      </w:r>
      <w:r>
        <w:rPr>
          <w:spacing w:val="-2"/>
        </w:rPr>
        <w:t>а</w:t>
      </w:r>
      <w:r>
        <w:rPr>
          <w:spacing w:val="-2"/>
        </w:rPr>
        <w:t>ден-Вюртемберга (Баден-Вюртемберг)</w:t>
      </w:r>
    </w:p>
    <w:p w:rsidR="00000000" w:rsidRDefault="00000000">
      <w:pPr>
        <w:pStyle w:val="SingleTxt"/>
        <w:ind w:left="1985" w:hanging="244"/>
        <w:rPr>
          <w:spacing w:val="-2"/>
        </w:rPr>
      </w:pPr>
      <w:r>
        <w:t>-</w:t>
      </w:r>
      <w:r>
        <w:tab/>
      </w:r>
      <w:r>
        <w:rPr>
          <w:spacing w:val="-2"/>
        </w:rPr>
        <w:t>Реформа Закона 2000 года о высших учебных заведениях: улучшение пол</w:t>
      </w:r>
      <w:r>
        <w:rPr>
          <w:spacing w:val="-2"/>
        </w:rPr>
        <w:t>о</w:t>
      </w:r>
      <w:r>
        <w:rPr>
          <w:spacing w:val="-2"/>
        </w:rPr>
        <w:t>жения женщин в высших уче</w:t>
      </w:r>
      <w:r>
        <w:rPr>
          <w:spacing w:val="-2"/>
        </w:rPr>
        <w:t>б</w:t>
      </w:r>
      <w:r>
        <w:rPr>
          <w:spacing w:val="-2"/>
        </w:rPr>
        <w:t>ных заведениях (Баден-Вюртемберг)</w:t>
      </w:r>
    </w:p>
    <w:p w:rsidR="00000000" w:rsidRDefault="00000000">
      <w:pPr>
        <w:pStyle w:val="SingleTxt"/>
        <w:ind w:left="1985" w:hanging="244"/>
        <w:rPr>
          <w:spacing w:val="-2"/>
        </w:rPr>
      </w:pPr>
      <w:r>
        <w:rPr>
          <w:spacing w:val="-2"/>
        </w:rPr>
        <w:t>-</w:t>
      </w:r>
      <w:r>
        <w:rPr>
          <w:spacing w:val="-2"/>
        </w:rPr>
        <w:tab/>
        <w:t>Ежегодное объявление конкурса на лучшую программу поощрения иссл</w:t>
      </w:r>
      <w:r>
        <w:rPr>
          <w:spacing w:val="-2"/>
        </w:rPr>
        <w:t>е</w:t>
      </w:r>
      <w:r>
        <w:rPr>
          <w:spacing w:val="-2"/>
        </w:rPr>
        <w:t>дований женской пробл</w:t>
      </w:r>
      <w:r>
        <w:rPr>
          <w:spacing w:val="-2"/>
        </w:rPr>
        <w:t>е</w:t>
      </w:r>
      <w:r>
        <w:rPr>
          <w:spacing w:val="-2"/>
        </w:rPr>
        <w:t>матики в министерстве социальных дел (Баден-Вюртемберг)</w:t>
      </w:r>
    </w:p>
    <w:p w:rsidR="00000000" w:rsidRDefault="00000000">
      <w:pPr>
        <w:pStyle w:val="SingleTxt"/>
        <w:ind w:left="1985" w:hanging="244"/>
        <w:rPr>
          <w:spacing w:val="-2"/>
        </w:rPr>
      </w:pPr>
      <w:r>
        <w:rPr>
          <w:spacing w:val="-2"/>
        </w:rPr>
        <w:t>-</w:t>
      </w:r>
      <w:r>
        <w:rPr>
          <w:spacing w:val="-2"/>
        </w:rPr>
        <w:tab/>
        <w:t>Программа им. Ирэн Розенберг, касающаяся продвижения по службе же</w:t>
      </w:r>
      <w:r>
        <w:rPr>
          <w:spacing w:val="-2"/>
        </w:rPr>
        <w:t>н</w:t>
      </w:r>
      <w:r>
        <w:rPr>
          <w:spacing w:val="-2"/>
        </w:rPr>
        <w:t>щин-</w:t>
      </w:r>
      <w:r>
        <w:t>-</w:t>
      </w:r>
      <w:r>
        <w:tab/>
      </w:r>
      <w:r>
        <w:rPr>
          <w:spacing w:val="-2"/>
        </w:rPr>
        <w:t>фон Брентано, присуждаемая Берлинским независимым универс</w:t>
      </w:r>
      <w:r>
        <w:rPr>
          <w:spacing w:val="-2"/>
        </w:rPr>
        <w:t>и</w:t>
      </w:r>
      <w:r>
        <w:rPr>
          <w:spacing w:val="-2"/>
        </w:rPr>
        <w:t>тетом наиболее удачным проектам и мерам по улучшению положения же</w:t>
      </w:r>
      <w:r>
        <w:rPr>
          <w:spacing w:val="-2"/>
        </w:rPr>
        <w:t>н</w:t>
      </w:r>
      <w:r>
        <w:rPr>
          <w:spacing w:val="-2"/>
        </w:rPr>
        <w:t>щин или пров</w:t>
      </w:r>
      <w:r>
        <w:rPr>
          <w:spacing w:val="-2"/>
        </w:rPr>
        <w:t>е</w:t>
      </w:r>
      <w:r>
        <w:rPr>
          <w:spacing w:val="-2"/>
        </w:rPr>
        <w:t>дению исследований женской проблематики (Берлин)</w:t>
      </w:r>
    </w:p>
    <w:p w:rsidR="00000000" w:rsidRDefault="00000000">
      <w:pPr>
        <w:pStyle w:val="SingleTxt"/>
        <w:ind w:left="1985" w:hanging="244"/>
        <w:rPr>
          <w:spacing w:val="-2"/>
        </w:rPr>
      </w:pPr>
      <w:r>
        <w:rPr>
          <w:spacing w:val="-2"/>
        </w:rPr>
        <w:t>-</w:t>
      </w:r>
      <w:r>
        <w:rPr>
          <w:spacing w:val="-2"/>
        </w:rPr>
        <w:tab/>
        <w:t>Усиление позиций уполномоченных по вопросам женщин и равенства в высших учебных заведениях с помощью ряда конкретных положений Бра</w:t>
      </w:r>
      <w:r>
        <w:rPr>
          <w:spacing w:val="-2"/>
        </w:rPr>
        <w:t>н</w:t>
      </w:r>
      <w:r>
        <w:rPr>
          <w:spacing w:val="-2"/>
        </w:rPr>
        <w:t>денбургского закона о высших учебных заведениях, действующего с мая 1999 года (Бра</w:t>
      </w:r>
      <w:r>
        <w:rPr>
          <w:spacing w:val="-2"/>
        </w:rPr>
        <w:t>н</w:t>
      </w:r>
      <w:r>
        <w:rPr>
          <w:spacing w:val="-2"/>
        </w:rPr>
        <w:t>денбург)</w:t>
      </w:r>
    </w:p>
    <w:p w:rsidR="00000000" w:rsidRDefault="00000000">
      <w:pPr>
        <w:pStyle w:val="SingleTxt"/>
        <w:ind w:left="1985" w:hanging="244"/>
        <w:rPr>
          <w:spacing w:val="-2"/>
        </w:rPr>
      </w:pPr>
      <w:r>
        <w:rPr>
          <w:spacing w:val="-2"/>
        </w:rPr>
        <w:t>-</w:t>
      </w:r>
      <w:r>
        <w:rPr>
          <w:spacing w:val="-2"/>
        </w:rPr>
        <w:tab/>
        <w:t>Доля женщин во всех высших учебных заведениях и в Земельном совете по высшим учебным заведениям должна составлять не менее одной трети, а в апелляционных комиссиях по назначению преподавателей – не менее 40 процентов (Бранденбург)</w:t>
      </w:r>
    </w:p>
    <w:p w:rsidR="00000000" w:rsidRDefault="00000000">
      <w:pPr>
        <w:pStyle w:val="SingleTxt"/>
        <w:ind w:left="1985" w:hanging="244"/>
        <w:rPr>
          <w:spacing w:val="-2"/>
        </w:rPr>
      </w:pPr>
      <w:r>
        <w:rPr>
          <w:spacing w:val="-2"/>
        </w:rPr>
        <w:t>-</w:t>
      </w:r>
      <w:r>
        <w:rPr>
          <w:spacing w:val="-2"/>
        </w:rPr>
        <w:tab/>
        <w:t>Ориентация государственной пропаганды на достижение прогресса в деле обеспечения равенства (Бранденбург)</w:t>
      </w:r>
    </w:p>
    <w:p w:rsidR="00000000" w:rsidRDefault="00000000">
      <w:pPr>
        <w:pStyle w:val="SingleTxt"/>
        <w:ind w:left="1985" w:hanging="244"/>
        <w:rPr>
          <w:spacing w:val="-2"/>
        </w:rPr>
      </w:pPr>
      <w:r>
        <w:rPr>
          <w:spacing w:val="-2"/>
        </w:rPr>
        <w:t>-</w:t>
      </w:r>
      <w:r>
        <w:rPr>
          <w:spacing w:val="-2"/>
        </w:rPr>
        <w:tab/>
        <w:t>Участие уполномоченных по вопросам равных возможностей в высших учебных заведениях в принятии согласованных решений, касающихся ц</w:t>
      </w:r>
      <w:r>
        <w:rPr>
          <w:spacing w:val="-2"/>
        </w:rPr>
        <w:t>е</w:t>
      </w:r>
      <w:r>
        <w:rPr>
          <w:spacing w:val="-2"/>
        </w:rPr>
        <w:t>лей, структуры и кадров, а также в разработке и контроле за выполнением руководящих принципов и планов, направленных на улучшение положения женщин (Бранденбург)</w:t>
      </w:r>
    </w:p>
    <w:p w:rsidR="00000000" w:rsidRDefault="00000000">
      <w:pPr>
        <w:pStyle w:val="SingleTxt"/>
        <w:ind w:left="1985" w:hanging="244"/>
        <w:rPr>
          <w:spacing w:val="-2"/>
        </w:rPr>
      </w:pPr>
      <w:r>
        <w:rPr>
          <w:spacing w:val="-2"/>
        </w:rPr>
        <w:t>-</w:t>
      </w:r>
      <w:r>
        <w:rPr>
          <w:spacing w:val="-2"/>
        </w:rPr>
        <w:tab/>
        <w:t>Включение в план работы высших учебных заведений на 2001 год целевых инструкций, в частности касающихся увеличения доли женщин среди вновь назначаемых преподавателей до 25 процентов (Бранде</w:t>
      </w:r>
      <w:r>
        <w:rPr>
          <w:spacing w:val="-2"/>
        </w:rPr>
        <w:t>н</w:t>
      </w:r>
      <w:r>
        <w:rPr>
          <w:spacing w:val="-2"/>
        </w:rPr>
        <w:t>бург)</w:t>
      </w:r>
    </w:p>
    <w:p w:rsidR="00000000" w:rsidRDefault="00000000">
      <w:pPr>
        <w:pStyle w:val="SingleTxt"/>
        <w:ind w:left="1985" w:hanging="244"/>
        <w:rPr>
          <w:spacing w:val="-2"/>
        </w:rPr>
      </w:pPr>
      <w:r>
        <w:rPr>
          <w:spacing w:val="-2"/>
        </w:rPr>
        <w:t>-</w:t>
      </w:r>
      <w:r>
        <w:rPr>
          <w:spacing w:val="-2"/>
        </w:rPr>
        <w:tab/>
        <w:t>Руководящие принципы и планы, касающиеся продвижения женщин по службе в высших учебных заведениях (Бранденбург)</w:t>
      </w:r>
    </w:p>
    <w:p w:rsidR="00000000" w:rsidRDefault="00000000">
      <w:pPr>
        <w:pStyle w:val="SingleTxt"/>
        <w:ind w:left="1985" w:hanging="244"/>
        <w:rPr>
          <w:spacing w:val="-2"/>
        </w:rPr>
      </w:pPr>
      <w:r>
        <w:rPr>
          <w:spacing w:val="-2"/>
        </w:rPr>
        <w:t>-</w:t>
      </w:r>
      <w:r>
        <w:rPr>
          <w:spacing w:val="-2"/>
        </w:rPr>
        <w:tab/>
        <w:t>Меры, направленные на продвижение женщин по службе – связанные с п</w:t>
      </w:r>
      <w:r>
        <w:rPr>
          <w:spacing w:val="-2"/>
        </w:rPr>
        <w:t>о</w:t>
      </w:r>
      <w:r>
        <w:rPr>
          <w:spacing w:val="-2"/>
        </w:rPr>
        <w:t>вышением квалификации, исследованиями женской и гендерной проблем</w:t>
      </w:r>
      <w:r>
        <w:rPr>
          <w:spacing w:val="-2"/>
        </w:rPr>
        <w:t>а</w:t>
      </w:r>
      <w:r>
        <w:rPr>
          <w:spacing w:val="-2"/>
        </w:rPr>
        <w:t>тики – в контексте специальных университетских программ Федерации (HSP III и HWP) (Бранденбург)</w:t>
      </w:r>
    </w:p>
    <w:p w:rsidR="00000000" w:rsidRDefault="00000000">
      <w:pPr>
        <w:pStyle w:val="SingleTxt"/>
        <w:ind w:left="1985" w:hanging="244"/>
        <w:rPr>
          <w:spacing w:val="-2"/>
        </w:rPr>
      </w:pPr>
      <w:r>
        <w:rPr>
          <w:spacing w:val="-2"/>
        </w:rPr>
        <w:t>-</w:t>
      </w:r>
      <w:r>
        <w:rPr>
          <w:spacing w:val="-2"/>
        </w:rPr>
        <w:tab/>
        <w:t>Бранденбургский летний университет для женщин (математика, естестве</w:t>
      </w:r>
      <w:r>
        <w:rPr>
          <w:spacing w:val="-2"/>
        </w:rPr>
        <w:t>н</w:t>
      </w:r>
      <w:r>
        <w:rPr>
          <w:spacing w:val="-2"/>
        </w:rPr>
        <w:t>ные науки и технология) (Бранденбург)</w:t>
      </w:r>
    </w:p>
    <w:p w:rsidR="00000000" w:rsidRDefault="00000000">
      <w:pPr>
        <w:pStyle w:val="SingleTxt"/>
        <w:ind w:left="1985" w:hanging="244"/>
        <w:rPr>
          <w:spacing w:val="-2"/>
        </w:rPr>
      </w:pPr>
      <w:r>
        <w:rPr>
          <w:spacing w:val="-2"/>
        </w:rPr>
        <w:t>-</w:t>
      </w:r>
      <w:r>
        <w:rPr>
          <w:spacing w:val="-2"/>
        </w:rPr>
        <w:tab/>
        <w:t>Организация международного женского курса по вычислительной технике (Бремен)</w:t>
      </w:r>
    </w:p>
    <w:p w:rsidR="00000000" w:rsidRDefault="00000000">
      <w:pPr>
        <w:pStyle w:val="SingleTxt"/>
        <w:ind w:left="1985" w:hanging="244"/>
        <w:rPr>
          <w:spacing w:val="-2"/>
        </w:rPr>
      </w:pPr>
      <w:r>
        <w:rPr>
          <w:spacing w:val="-2"/>
        </w:rPr>
        <w:t>-</w:t>
      </w:r>
      <w:r>
        <w:rPr>
          <w:spacing w:val="-2"/>
        </w:rPr>
        <w:tab/>
        <w:t>Организация ежегодного летнего исследовательского курса "Женская и</w:t>
      </w:r>
      <w:r>
        <w:rPr>
          <w:spacing w:val="-2"/>
        </w:rPr>
        <w:t>н</w:t>
      </w:r>
      <w:r>
        <w:rPr>
          <w:spacing w:val="-2"/>
        </w:rPr>
        <w:t>форматика" (Бремен)</w:t>
      </w:r>
    </w:p>
    <w:p w:rsidR="00000000" w:rsidRDefault="00000000">
      <w:pPr>
        <w:pStyle w:val="SingleTxt"/>
        <w:ind w:left="1985" w:hanging="244"/>
        <w:rPr>
          <w:spacing w:val="-2"/>
        </w:rPr>
      </w:pPr>
      <w:r>
        <w:rPr>
          <w:spacing w:val="-2"/>
        </w:rPr>
        <w:t>-</w:t>
      </w:r>
      <w:r>
        <w:rPr>
          <w:spacing w:val="-2"/>
        </w:rPr>
        <w:tab/>
        <w:t>Вспомогательный проект бременских высших учебных заведений для ув</w:t>
      </w:r>
      <w:r>
        <w:rPr>
          <w:spacing w:val="-2"/>
        </w:rPr>
        <w:t>е</w:t>
      </w:r>
      <w:r>
        <w:rPr>
          <w:spacing w:val="-2"/>
        </w:rPr>
        <w:t>личения доли женщин, изучающих естественные науки и овладевающих техн</w:t>
      </w:r>
      <w:r>
        <w:rPr>
          <w:spacing w:val="-2"/>
        </w:rPr>
        <w:t>и</w:t>
      </w:r>
      <w:r>
        <w:rPr>
          <w:spacing w:val="-2"/>
        </w:rPr>
        <w:t>ческими и инженерными специальностями (Бремен)</w:t>
      </w:r>
    </w:p>
    <w:p w:rsidR="00000000" w:rsidRDefault="00000000">
      <w:pPr>
        <w:pStyle w:val="SingleTxt"/>
        <w:ind w:left="1985" w:hanging="244"/>
        <w:rPr>
          <w:spacing w:val="-2"/>
        </w:rPr>
      </w:pPr>
      <w:r>
        <w:rPr>
          <w:spacing w:val="-2"/>
        </w:rPr>
        <w:t>-</w:t>
      </w:r>
      <w:r>
        <w:rPr>
          <w:spacing w:val="-2"/>
        </w:rPr>
        <w:tab/>
        <w:t>Исследовательский проект по открытию межкультурных окружных соц</w:t>
      </w:r>
      <w:r>
        <w:rPr>
          <w:spacing w:val="-2"/>
        </w:rPr>
        <w:t>и</w:t>
      </w:r>
      <w:r>
        <w:rPr>
          <w:spacing w:val="-2"/>
        </w:rPr>
        <w:t>альных центров (Гамбург)</w:t>
      </w:r>
    </w:p>
    <w:p w:rsidR="00000000" w:rsidRDefault="00000000">
      <w:pPr>
        <w:pStyle w:val="SingleTxt"/>
        <w:ind w:left="1985" w:hanging="244"/>
        <w:rPr>
          <w:spacing w:val="-2"/>
        </w:rPr>
      </w:pPr>
      <w:r>
        <w:rPr>
          <w:spacing w:val="-2"/>
        </w:rPr>
        <w:t>-</w:t>
      </w:r>
      <w:r>
        <w:rPr>
          <w:spacing w:val="-2"/>
        </w:rPr>
        <w:tab/>
        <w:t>Создание сети наставников координационного управления земли Гессен для женщин, изучающих естественные науки и технические предметы (Гессен)</w:t>
      </w:r>
    </w:p>
    <w:p w:rsidR="00000000" w:rsidRDefault="00000000">
      <w:pPr>
        <w:pStyle w:val="SingleTxt"/>
        <w:ind w:left="1985" w:hanging="244"/>
        <w:rPr>
          <w:spacing w:val="-2"/>
        </w:rPr>
      </w:pPr>
      <w:r>
        <w:rPr>
          <w:spacing w:val="-2"/>
        </w:rPr>
        <w:t>-</w:t>
      </w:r>
      <w:r>
        <w:rPr>
          <w:spacing w:val="-2"/>
        </w:rPr>
        <w:tab/>
        <w:t>Распределение финансовых средств в зависимости от результатов труда в качестве стимула для улучшения положения женщин на основе Амстерда</w:t>
      </w:r>
      <w:r>
        <w:rPr>
          <w:spacing w:val="-2"/>
        </w:rPr>
        <w:t>м</w:t>
      </w:r>
      <w:r>
        <w:rPr>
          <w:spacing w:val="-2"/>
        </w:rPr>
        <w:t>ского договора, Рамочного закона о высшем образовании и Закона земли Гессен о высшем образовании (Гессен)</w:t>
      </w:r>
    </w:p>
    <w:p w:rsidR="00000000" w:rsidRDefault="00000000">
      <w:pPr>
        <w:pStyle w:val="SingleTxt"/>
        <w:ind w:left="1985" w:hanging="244"/>
        <w:rPr>
          <w:spacing w:val="-2"/>
        </w:rPr>
      </w:pPr>
      <w:r>
        <w:rPr>
          <w:spacing w:val="-2"/>
        </w:rPr>
        <w:t>-</w:t>
      </w:r>
      <w:r>
        <w:rPr>
          <w:spacing w:val="-2"/>
        </w:rPr>
        <w:tab/>
        <w:t>Изучение деятельности женских центров при университетах и технических колледжах земли Гессен (Гессен)</w:t>
      </w:r>
    </w:p>
    <w:p w:rsidR="00000000" w:rsidRDefault="00000000">
      <w:pPr>
        <w:pStyle w:val="SingleTxt"/>
        <w:ind w:left="1985" w:hanging="244"/>
        <w:rPr>
          <w:spacing w:val="-2"/>
        </w:rPr>
      </w:pPr>
      <w:r>
        <w:rPr>
          <w:spacing w:val="-2"/>
        </w:rPr>
        <w:t>-</w:t>
      </w:r>
      <w:r>
        <w:rPr>
          <w:spacing w:val="-2"/>
        </w:rPr>
        <w:tab/>
        <w:t>Премия им. Лайзы Майтнер для поощрения изучения молодыми учен</w:t>
      </w:r>
      <w:r>
        <w:rPr>
          <w:spacing w:val="-2"/>
        </w:rPr>
        <w:t>ы</w:t>
      </w:r>
      <w:r>
        <w:rPr>
          <w:spacing w:val="-2"/>
        </w:rPr>
        <w:t>ми-женщинами естественных наук и технических предметов (Гессен)</w:t>
      </w:r>
    </w:p>
    <w:p w:rsidR="00000000" w:rsidRDefault="00000000">
      <w:pPr>
        <w:pStyle w:val="SingleTxt"/>
        <w:ind w:left="1985" w:hanging="244"/>
        <w:rPr>
          <w:spacing w:val="-2"/>
        </w:rPr>
      </w:pPr>
      <w:r>
        <w:rPr>
          <w:spacing w:val="-2"/>
        </w:rPr>
        <w:t>-</w:t>
      </w:r>
      <w:r>
        <w:rPr>
          <w:spacing w:val="-2"/>
        </w:rPr>
        <w:tab/>
        <w:t>Научная премия им. Элизабет Селберт за выдающуюся работу ученых-женщин в земле Гессен (Ге</w:t>
      </w:r>
      <w:r>
        <w:rPr>
          <w:spacing w:val="-2"/>
        </w:rPr>
        <w:t>с</w:t>
      </w:r>
      <w:r>
        <w:rPr>
          <w:spacing w:val="-2"/>
        </w:rPr>
        <w:t>сен)</w:t>
      </w:r>
    </w:p>
    <w:p w:rsidR="00000000" w:rsidRDefault="00000000">
      <w:pPr>
        <w:pStyle w:val="SingleTxt"/>
        <w:ind w:left="1985" w:hanging="244"/>
        <w:rPr>
          <w:spacing w:val="-2"/>
        </w:rPr>
      </w:pPr>
      <w:r>
        <w:rPr>
          <w:spacing w:val="-2"/>
        </w:rPr>
        <w:t>-</w:t>
      </w:r>
      <w:r>
        <w:rPr>
          <w:spacing w:val="-2"/>
        </w:rPr>
        <w:tab/>
        <w:t>Брошюра под названием "Наставничество – инициативы и меры по созд</w:t>
      </w:r>
      <w:r>
        <w:rPr>
          <w:spacing w:val="-2"/>
        </w:rPr>
        <w:t>а</w:t>
      </w:r>
      <w:r>
        <w:rPr>
          <w:spacing w:val="-2"/>
        </w:rPr>
        <w:t>нию равных возможностей для женщин в области науки". В брошюре отр</w:t>
      </w:r>
      <w:r>
        <w:rPr>
          <w:spacing w:val="-2"/>
        </w:rPr>
        <w:t>а</w:t>
      </w:r>
      <w:r>
        <w:rPr>
          <w:spacing w:val="-2"/>
        </w:rPr>
        <w:t>жены результаты обследования, проведенного на уровне Федерации и земли в августе 2001 года (Гессен)</w:t>
      </w:r>
    </w:p>
    <w:p w:rsidR="00000000" w:rsidRDefault="00000000">
      <w:pPr>
        <w:pStyle w:val="SingleTxt"/>
        <w:ind w:left="1985" w:hanging="244"/>
        <w:rPr>
          <w:spacing w:val="-2"/>
        </w:rPr>
      </w:pPr>
      <w:r>
        <w:rPr>
          <w:spacing w:val="-2"/>
        </w:rPr>
        <w:t>-</w:t>
      </w:r>
      <w:r>
        <w:rPr>
          <w:spacing w:val="-2"/>
        </w:rPr>
        <w:tab/>
        <w:t>Центры повышения квалификации женщин в области науки и техники (Мекленбург-Западная Пом</w:t>
      </w:r>
      <w:r>
        <w:rPr>
          <w:spacing w:val="-2"/>
        </w:rPr>
        <w:t>е</w:t>
      </w:r>
      <w:r>
        <w:rPr>
          <w:spacing w:val="-2"/>
        </w:rPr>
        <w:t>рания)</w:t>
      </w:r>
    </w:p>
    <w:p w:rsidR="00000000" w:rsidRDefault="00000000">
      <w:pPr>
        <w:pStyle w:val="SingleTxt"/>
        <w:ind w:left="1985" w:hanging="244"/>
        <w:rPr>
          <w:spacing w:val="-2"/>
        </w:rPr>
      </w:pPr>
      <w:r>
        <w:rPr>
          <w:spacing w:val="-2"/>
        </w:rPr>
        <w:t>-</w:t>
      </w:r>
      <w:r>
        <w:rPr>
          <w:spacing w:val="-2"/>
        </w:rPr>
        <w:tab/>
        <w:t>Программа им. Франциски Тибуртиус для поощрения женщин, работающих преподавателями технических колледжей (Мекленбург-Западная Помер</w:t>
      </w:r>
      <w:r>
        <w:rPr>
          <w:spacing w:val="-2"/>
        </w:rPr>
        <w:t>а</w:t>
      </w:r>
      <w:r>
        <w:rPr>
          <w:spacing w:val="-2"/>
        </w:rPr>
        <w:t>ния)</w:t>
      </w:r>
    </w:p>
    <w:p w:rsidR="00000000" w:rsidRDefault="00000000">
      <w:pPr>
        <w:pStyle w:val="SingleTxt"/>
        <w:ind w:left="1985" w:hanging="244"/>
        <w:rPr>
          <w:spacing w:val="-2"/>
        </w:rPr>
      </w:pPr>
      <w:r>
        <w:rPr>
          <w:spacing w:val="-2"/>
        </w:rPr>
        <w:t>-</w:t>
      </w:r>
      <w:r>
        <w:rPr>
          <w:spacing w:val="-2"/>
        </w:rPr>
        <w:tab/>
        <w:t>Программа им. Доротеи Эркслебен для подготовки кандидатов-женщин к лекционной работе в высших учебных заведениях в Нижней Саксонии (Нижняя Саксония)</w:t>
      </w:r>
    </w:p>
    <w:p w:rsidR="00000000" w:rsidRDefault="00000000">
      <w:pPr>
        <w:pStyle w:val="SingleTxt"/>
        <w:ind w:left="1985" w:hanging="244"/>
        <w:rPr>
          <w:spacing w:val="-2"/>
        </w:rPr>
      </w:pPr>
      <w:r>
        <w:rPr>
          <w:spacing w:val="-2"/>
        </w:rPr>
        <w:t>-</w:t>
      </w:r>
      <w:r>
        <w:rPr>
          <w:spacing w:val="-2"/>
        </w:rPr>
        <w:tab/>
        <w:t>Исследования и конференции по вопросам продвижения женщин по службе (Северный Рейн-Вестфалия)</w:t>
      </w:r>
    </w:p>
    <w:p w:rsidR="00000000" w:rsidRDefault="00000000">
      <w:pPr>
        <w:pStyle w:val="SingleTxt"/>
        <w:ind w:left="1985" w:hanging="244"/>
        <w:rPr>
          <w:spacing w:val="-2"/>
        </w:rPr>
      </w:pPr>
      <w:r>
        <w:rPr>
          <w:spacing w:val="-2"/>
        </w:rPr>
        <w:t>-</w:t>
      </w:r>
      <w:r>
        <w:rPr>
          <w:spacing w:val="-2"/>
        </w:rPr>
        <w:tab/>
        <w:t>Гранты и программы создания рабочих мест для поощрения ученых-женщин (в том числе гранты на реинтеграцию): "Программа грантов им. Лайзы Майтнер" для продвижения квалифицированных ученых-женщин в качестве кандидатов на соискание должностей лекторов в высших учебных заведениях (Северный Рейн-Вестфалия)</w:t>
      </w:r>
    </w:p>
    <w:p w:rsidR="00000000" w:rsidRDefault="00000000">
      <w:pPr>
        <w:pStyle w:val="SingleTxt"/>
        <w:ind w:left="1985" w:hanging="244"/>
        <w:rPr>
          <w:spacing w:val="-2"/>
        </w:rPr>
      </w:pPr>
      <w:r>
        <w:rPr>
          <w:spacing w:val="-2"/>
        </w:rPr>
        <w:t>-</w:t>
      </w:r>
      <w:r>
        <w:rPr>
          <w:spacing w:val="-2"/>
        </w:rPr>
        <w:tab/>
        <w:t>Распространение информационных материалов по теме "Продвижение женщин по службе и выделение грантов высшим учебным заведениям"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Исследования и конференции по женской проблематике (Северный Рейн-Вестфалия)</w:t>
      </w:r>
    </w:p>
    <w:p w:rsidR="00000000" w:rsidRDefault="00000000">
      <w:pPr>
        <w:pStyle w:val="SingleTxt"/>
        <w:ind w:left="1985" w:hanging="244"/>
        <w:rPr>
          <w:spacing w:val="-2"/>
        </w:rPr>
      </w:pPr>
      <w:r>
        <w:rPr>
          <w:spacing w:val="-2"/>
        </w:rPr>
        <w:t>-</w:t>
      </w:r>
      <w:r>
        <w:rPr>
          <w:spacing w:val="-2"/>
        </w:rPr>
        <w:tab/>
        <w:t>Поддержка исследований, посвященных женским проектам и мероприятиям (Северный Рейн-Вестфалия)</w:t>
      </w:r>
    </w:p>
    <w:p w:rsidR="00000000" w:rsidRDefault="00000000">
      <w:pPr>
        <w:pStyle w:val="SingleTxt"/>
        <w:ind w:left="1985" w:hanging="244"/>
        <w:rPr>
          <w:spacing w:val="-2"/>
        </w:rPr>
      </w:pPr>
      <w:r>
        <w:rPr>
          <w:spacing w:val="-2"/>
        </w:rPr>
        <w:t>-</w:t>
      </w:r>
      <w:r>
        <w:rPr>
          <w:spacing w:val="-2"/>
        </w:rPr>
        <w:tab/>
        <w:t>Дискуссионные кружки, сети (Сеть по женской проблематике" в составе 38 ученых-женщин) и проведение исследований женской проблематики и инстит</w:t>
      </w:r>
      <w:r>
        <w:rPr>
          <w:spacing w:val="-2"/>
        </w:rPr>
        <w:t>у</w:t>
      </w:r>
      <w:r>
        <w:rPr>
          <w:spacing w:val="-2"/>
        </w:rPr>
        <w:t>ционализация таких исследований (Северный Рейн-Вестфалия)</w:t>
      </w:r>
    </w:p>
    <w:p w:rsidR="00000000" w:rsidRDefault="00000000">
      <w:pPr>
        <w:pStyle w:val="SingleTxt"/>
        <w:ind w:left="1985" w:hanging="244"/>
        <w:rPr>
          <w:spacing w:val="-2"/>
        </w:rPr>
      </w:pPr>
      <w:r>
        <w:rPr>
          <w:spacing w:val="-2"/>
        </w:rPr>
        <w:t>-</w:t>
      </w:r>
      <w:r>
        <w:rPr>
          <w:spacing w:val="-2"/>
        </w:rPr>
        <w:tab/>
        <w:t>Законодательное закрепление положения о назначении уполномоченных по вопросам равенства в высшие учебные заведения и ликвидация сохраня</w:t>
      </w:r>
      <w:r>
        <w:rPr>
          <w:spacing w:val="-2"/>
        </w:rPr>
        <w:t>ю</w:t>
      </w:r>
      <w:r>
        <w:rPr>
          <w:spacing w:val="-2"/>
        </w:rPr>
        <w:t>щихся проявлений дискриминации женщин в высших учебных заведениях – Закон Сакс</w:t>
      </w:r>
      <w:r>
        <w:rPr>
          <w:spacing w:val="-2"/>
        </w:rPr>
        <w:t>о</w:t>
      </w:r>
      <w:r>
        <w:rPr>
          <w:spacing w:val="-2"/>
        </w:rPr>
        <w:t>нии о высшем образовании (Саксония)</w:t>
      </w:r>
    </w:p>
    <w:p w:rsidR="00000000" w:rsidRDefault="00000000">
      <w:pPr>
        <w:pStyle w:val="SingleTxt"/>
        <w:ind w:left="1985" w:hanging="244"/>
        <w:rPr>
          <w:spacing w:val="-2"/>
        </w:rPr>
      </w:pPr>
      <w:r>
        <w:rPr>
          <w:spacing w:val="-2"/>
        </w:rPr>
        <w:t>-</w:t>
      </w:r>
      <w:r>
        <w:rPr>
          <w:spacing w:val="-2"/>
        </w:rPr>
        <w:tab/>
        <w:t>Планы продвижения женщин по службе в целях улучшения положения женщин в сфере науки (Са</w:t>
      </w:r>
      <w:r>
        <w:rPr>
          <w:spacing w:val="-2"/>
        </w:rPr>
        <w:t>к</w:t>
      </w:r>
      <w:r>
        <w:rPr>
          <w:spacing w:val="-2"/>
        </w:rPr>
        <w:t>сония)</w:t>
      </w:r>
    </w:p>
    <w:p w:rsidR="00000000" w:rsidRDefault="00000000">
      <w:pPr>
        <w:pStyle w:val="SingleTxt"/>
        <w:ind w:left="1985" w:hanging="244"/>
        <w:rPr>
          <w:spacing w:val="-2"/>
        </w:rPr>
      </w:pPr>
      <w:r>
        <w:rPr>
          <w:spacing w:val="-2"/>
        </w:rPr>
        <w:t>-</w:t>
      </w:r>
      <w:r>
        <w:rPr>
          <w:spacing w:val="-2"/>
        </w:rPr>
        <w:tab/>
        <w:t>Грант на реинтеграцию, предоставляемый женщинам и мужчинам, которые были вынуждены временно прервать исследования на соискание докторской степени и снять свою кандидатуру на соискание должности лектора в вы</w:t>
      </w:r>
      <w:r>
        <w:rPr>
          <w:spacing w:val="-2"/>
        </w:rPr>
        <w:t>с</w:t>
      </w:r>
      <w:r>
        <w:rPr>
          <w:spacing w:val="-2"/>
        </w:rPr>
        <w:t>ших уче</w:t>
      </w:r>
      <w:r>
        <w:rPr>
          <w:spacing w:val="-2"/>
        </w:rPr>
        <w:t>б</w:t>
      </w:r>
      <w:r>
        <w:rPr>
          <w:spacing w:val="-2"/>
        </w:rPr>
        <w:t>ных заведениях по семейным обстоятельствам (Саксония)</w:t>
      </w:r>
    </w:p>
    <w:p w:rsidR="00000000" w:rsidRDefault="00000000">
      <w:pPr>
        <w:pStyle w:val="SingleTxt"/>
        <w:ind w:left="1985" w:hanging="244"/>
        <w:rPr>
          <w:spacing w:val="-2"/>
        </w:rPr>
      </w:pPr>
      <w:r>
        <w:rPr>
          <w:spacing w:val="-2"/>
        </w:rPr>
        <w:t>-</w:t>
      </w:r>
      <w:r>
        <w:rPr>
          <w:spacing w:val="-2"/>
        </w:rPr>
        <w:tab/>
        <w:t>Программа поощрения равных возможностей для женщин в исследовател</w:t>
      </w:r>
      <w:r>
        <w:rPr>
          <w:spacing w:val="-2"/>
        </w:rPr>
        <w:t>ь</w:t>
      </w:r>
      <w:r>
        <w:rPr>
          <w:spacing w:val="-2"/>
        </w:rPr>
        <w:t>ской и преподавательской деятельности в рамках научной программы ун</w:t>
      </w:r>
      <w:r>
        <w:rPr>
          <w:spacing w:val="-2"/>
        </w:rPr>
        <w:t>и</w:t>
      </w:r>
      <w:r>
        <w:rPr>
          <w:spacing w:val="-2"/>
        </w:rPr>
        <w:t>верс</w:t>
      </w:r>
      <w:r>
        <w:rPr>
          <w:spacing w:val="-2"/>
        </w:rPr>
        <w:t>и</w:t>
      </w:r>
      <w:r>
        <w:rPr>
          <w:spacing w:val="-2"/>
        </w:rPr>
        <w:t>тетов (HWP) (Саксония)</w:t>
      </w:r>
    </w:p>
    <w:p w:rsidR="00000000" w:rsidRDefault="00000000">
      <w:pPr>
        <w:pStyle w:val="SingleTxt"/>
        <w:ind w:left="1985" w:hanging="244"/>
        <w:rPr>
          <w:spacing w:val="-2"/>
        </w:rPr>
      </w:pPr>
      <w:r>
        <w:rPr>
          <w:spacing w:val="-2"/>
        </w:rPr>
        <w:t>-</w:t>
      </w:r>
      <w:r>
        <w:rPr>
          <w:spacing w:val="-2"/>
        </w:rPr>
        <w:tab/>
        <w:t>Коллегиальное сотрудничество между высшими учебными заведени</w:t>
      </w:r>
      <w:r>
        <w:rPr>
          <w:spacing w:val="-2"/>
        </w:rPr>
        <w:t>я</w:t>
      </w:r>
      <w:r>
        <w:rPr>
          <w:spacing w:val="-2"/>
        </w:rPr>
        <w:t>ми/профессионально-техническими училищами и деловыми кругами Св</w:t>
      </w:r>
      <w:r>
        <w:rPr>
          <w:spacing w:val="-2"/>
        </w:rPr>
        <w:t>о</w:t>
      </w:r>
      <w:r>
        <w:rPr>
          <w:spacing w:val="-2"/>
        </w:rPr>
        <w:t>бодного государства Саксонии (Саксония)</w:t>
      </w:r>
    </w:p>
    <w:p w:rsidR="00000000" w:rsidRDefault="00000000">
      <w:pPr>
        <w:pStyle w:val="SingleTxt"/>
        <w:ind w:left="1985" w:hanging="244"/>
        <w:rPr>
          <w:spacing w:val="-2"/>
        </w:rPr>
      </w:pPr>
      <w:r>
        <w:rPr>
          <w:spacing w:val="-2"/>
        </w:rPr>
        <w:t>-</w:t>
      </w:r>
      <w:r>
        <w:rPr>
          <w:spacing w:val="-2"/>
        </w:rPr>
        <w:tab/>
        <w:t>Проведение исследований по темам "Школа с исследовательским проф</w:t>
      </w:r>
      <w:r>
        <w:rPr>
          <w:spacing w:val="-2"/>
        </w:rPr>
        <w:t>и</w:t>
      </w:r>
      <w:r>
        <w:rPr>
          <w:spacing w:val="-2"/>
        </w:rPr>
        <w:t>лем – высшее учебное заведение – деловые круги" и "Проблемы связи ме</w:t>
      </w:r>
      <w:r>
        <w:rPr>
          <w:spacing w:val="-2"/>
        </w:rPr>
        <w:t>ж</w:t>
      </w:r>
      <w:r>
        <w:rPr>
          <w:spacing w:val="-2"/>
        </w:rPr>
        <w:t>ду средним образованием и изучением технических предметов и естестве</w:t>
      </w:r>
      <w:r>
        <w:rPr>
          <w:spacing w:val="-2"/>
        </w:rPr>
        <w:t>н</w:t>
      </w:r>
      <w:r>
        <w:rPr>
          <w:spacing w:val="-2"/>
        </w:rPr>
        <w:t>ных наук в ун</w:t>
      </w:r>
      <w:r>
        <w:rPr>
          <w:spacing w:val="-2"/>
        </w:rPr>
        <w:t>и</w:t>
      </w:r>
      <w:r>
        <w:rPr>
          <w:spacing w:val="-2"/>
        </w:rPr>
        <w:t>верситетах и технических колледжах" (Саксония)</w:t>
      </w:r>
    </w:p>
    <w:p w:rsidR="00000000" w:rsidRDefault="00000000">
      <w:pPr>
        <w:pStyle w:val="SingleTxt"/>
        <w:ind w:left="1985" w:hanging="244"/>
        <w:rPr>
          <w:spacing w:val="-2"/>
        </w:rPr>
      </w:pPr>
      <w:r>
        <w:t>-</w:t>
      </w:r>
      <w:r>
        <w:tab/>
      </w:r>
      <w:r>
        <w:rPr>
          <w:spacing w:val="-2"/>
        </w:rPr>
        <w:t>Сотрудничество с земельной конференцией уполномоченных по вопросам равенства в высших учебных заведениях и деловое общение между такими уполном</w:t>
      </w:r>
      <w:r>
        <w:rPr>
          <w:spacing w:val="-2"/>
        </w:rPr>
        <w:t>о</w:t>
      </w:r>
      <w:r>
        <w:rPr>
          <w:spacing w:val="-2"/>
        </w:rPr>
        <w:t>ченными (Саксония)</w:t>
      </w:r>
    </w:p>
    <w:p w:rsidR="00000000" w:rsidRDefault="00000000">
      <w:pPr>
        <w:pStyle w:val="SingleTxt"/>
        <w:ind w:left="1985" w:hanging="244"/>
        <w:rPr>
          <w:spacing w:val="-2"/>
        </w:rPr>
      </w:pPr>
      <w:r>
        <w:rPr>
          <w:spacing w:val="-2"/>
        </w:rPr>
        <w:t>-</w:t>
      </w:r>
      <w:r>
        <w:rPr>
          <w:spacing w:val="-2"/>
        </w:rPr>
        <w:tab/>
        <w:t>Ставка внештатного преподавателя им. Доротеи Эркслебен для повышения доли женщин, изучающих естественные науки и технические предметы (Сакс</w:t>
      </w:r>
      <w:r>
        <w:rPr>
          <w:spacing w:val="-2"/>
        </w:rPr>
        <w:t>о</w:t>
      </w:r>
      <w:r>
        <w:rPr>
          <w:spacing w:val="-2"/>
        </w:rPr>
        <w:t>ния-Айнхальт)</w:t>
      </w:r>
    </w:p>
    <w:p w:rsidR="00000000" w:rsidRDefault="00000000">
      <w:pPr>
        <w:pStyle w:val="SingleTxt"/>
        <w:ind w:left="1985" w:hanging="244"/>
        <w:rPr>
          <w:spacing w:val="-2"/>
        </w:rPr>
      </w:pPr>
      <w:r>
        <w:rPr>
          <w:spacing w:val="-2"/>
        </w:rPr>
        <w:t>-</w:t>
      </w:r>
      <w:r>
        <w:rPr>
          <w:spacing w:val="-2"/>
        </w:rPr>
        <w:tab/>
        <w:t>Оказание содействия координационному учреждению по исследованиям женской и гендерной пр</w:t>
      </w:r>
      <w:r>
        <w:rPr>
          <w:spacing w:val="-2"/>
        </w:rPr>
        <w:t>о</w:t>
      </w:r>
      <w:r>
        <w:rPr>
          <w:spacing w:val="-2"/>
        </w:rPr>
        <w:t>блематики (Саксония-Айнхальт)</w:t>
      </w:r>
    </w:p>
    <w:p w:rsidR="00000000" w:rsidRDefault="00000000">
      <w:pPr>
        <w:pStyle w:val="SingleTxt"/>
        <w:ind w:left="1985" w:hanging="244"/>
        <w:rPr>
          <w:spacing w:val="-2"/>
        </w:rPr>
      </w:pPr>
      <w:r>
        <w:rPr>
          <w:spacing w:val="-2"/>
        </w:rPr>
        <w:t>-</w:t>
      </w:r>
      <w:r>
        <w:rPr>
          <w:spacing w:val="-2"/>
        </w:rPr>
        <w:tab/>
        <w:t>Уполномоченные по вопросам равенства в высших учебных заведениях (Саксония-Айнхальт)</w:t>
      </w:r>
    </w:p>
    <w:p w:rsidR="00000000" w:rsidRDefault="00000000">
      <w:pPr>
        <w:pStyle w:val="SingleTxt"/>
        <w:ind w:left="1985" w:hanging="244"/>
        <w:rPr>
          <w:spacing w:val="-2"/>
        </w:rPr>
      </w:pPr>
      <w:r>
        <w:rPr>
          <w:spacing w:val="-2"/>
        </w:rPr>
        <w:t>-</w:t>
      </w:r>
      <w:r>
        <w:rPr>
          <w:spacing w:val="-2"/>
        </w:rPr>
        <w:tab/>
        <w:t>Пилотный проект под названием "Финансирование технических колледжей в земле Саксония-Айнхальт в зависимости от показанных результатов в с</w:t>
      </w:r>
      <w:r>
        <w:rPr>
          <w:spacing w:val="-2"/>
        </w:rPr>
        <w:t>о</w:t>
      </w:r>
      <w:r>
        <w:rPr>
          <w:spacing w:val="-2"/>
        </w:rPr>
        <w:t>ответствии с концепцией актуализации гендерной проблематики " (Сакс</w:t>
      </w:r>
      <w:r>
        <w:rPr>
          <w:spacing w:val="-2"/>
        </w:rPr>
        <w:t>о</w:t>
      </w:r>
      <w:r>
        <w:rPr>
          <w:spacing w:val="-2"/>
        </w:rPr>
        <w:t>ния-Айнхальт)</w:t>
      </w:r>
    </w:p>
    <w:p w:rsidR="00000000" w:rsidRDefault="00000000">
      <w:pPr>
        <w:pStyle w:val="SingleTxt"/>
        <w:ind w:left="1985" w:hanging="244"/>
        <w:rPr>
          <w:spacing w:val="-2"/>
        </w:rPr>
      </w:pPr>
      <w:r>
        <w:rPr>
          <w:spacing w:val="-2"/>
        </w:rPr>
        <w:t>-</w:t>
      </w:r>
      <w:r>
        <w:rPr>
          <w:spacing w:val="-2"/>
        </w:rPr>
        <w:tab/>
        <w:t>Создание преподавательской ставки, частично предусматривающей пров</w:t>
      </w:r>
      <w:r>
        <w:rPr>
          <w:spacing w:val="-2"/>
        </w:rPr>
        <w:t>е</w:t>
      </w:r>
      <w:r>
        <w:rPr>
          <w:spacing w:val="-2"/>
        </w:rPr>
        <w:t>дение исследований же</w:t>
      </w:r>
      <w:r>
        <w:rPr>
          <w:spacing w:val="-2"/>
        </w:rPr>
        <w:t>н</w:t>
      </w:r>
      <w:r>
        <w:rPr>
          <w:spacing w:val="-2"/>
        </w:rPr>
        <w:t>ской проблематики (Саксония-Айнхальт)</w:t>
      </w:r>
    </w:p>
    <w:p w:rsidR="00000000" w:rsidRDefault="00000000">
      <w:pPr>
        <w:pStyle w:val="SingleTxt"/>
        <w:ind w:left="1985" w:hanging="244"/>
        <w:rPr>
          <w:spacing w:val="-2"/>
        </w:rPr>
      </w:pPr>
      <w:r>
        <w:rPr>
          <w:spacing w:val="-2"/>
        </w:rPr>
        <w:t>-</w:t>
      </w:r>
      <w:r>
        <w:rPr>
          <w:spacing w:val="-2"/>
        </w:rPr>
        <w:tab/>
        <w:t>Исследовательские гранты для поощрения молодых ученых-женщин (с 2000 года – также для кандидатов на соискание должностей лекторов в высших учебных заведениях, докторской степени и должностей младших преподавателей) (Саксония-Айнхальт)</w:t>
      </w:r>
    </w:p>
    <w:p w:rsidR="00000000" w:rsidRDefault="00000000">
      <w:pPr>
        <w:pStyle w:val="SingleTxt"/>
        <w:ind w:left="1985" w:hanging="244"/>
        <w:rPr>
          <w:spacing w:val="-2"/>
        </w:rPr>
      </w:pPr>
      <w:r>
        <w:rPr>
          <w:spacing w:val="-2"/>
        </w:rPr>
        <w:t>-</w:t>
      </w:r>
      <w:r>
        <w:rPr>
          <w:spacing w:val="-2"/>
        </w:rPr>
        <w:tab/>
        <w:t>Программа грантов для увеличения числа женщин среди преподавателей технических колледжей (с 1997 года) (Саксония-Айнхальт)</w:t>
      </w:r>
    </w:p>
    <w:p w:rsidR="00000000" w:rsidRDefault="00000000">
      <w:pPr>
        <w:pStyle w:val="SingleTxt"/>
        <w:ind w:left="1985" w:hanging="244"/>
        <w:rPr>
          <w:spacing w:val="-2"/>
        </w:rPr>
      </w:pPr>
      <w:r>
        <w:rPr>
          <w:spacing w:val="-2"/>
        </w:rPr>
        <w:t>-</w:t>
      </w:r>
      <w:r>
        <w:rPr>
          <w:spacing w:val="-2"/>
        </w:rPr>
        <w:tab/>
        <w:t>Создание сетей наставников-женщин (Саксония-Айнхальт)</w:t>
      </w:r>
    </w:p>
    <w:p w:rsidR="00000000" w:rsidRDefault="00000000">
      <w:pPr>
        <w:pStyle w:val="SingleTxt"/>
        <w:ind w:left="1985" w:hanging="244"/>
        <w:rPr>
          <w:spacing w:val="-2"/>
        </w:rPr>
      </w:pPr>
      <w:r>
        <w:rPr>
          <w:spacing w:val="-2"/>
        </w:rPr>
        <w:t>-</w:t>
      </w:r>
      <w:r>
        <w:rPr>
          <w:spacing w:val="-2"/>
        </w:rPr>
        <w:tab/>
        <w:t>Пересмотр постановления о порядке осуществления Закона о продвижении выпускников по службе (вне зависимости от дохода их супругов) (Сакс</w:t>
      </w:r>
      <w:r>
        <w:rPr>
          <w:spacing w:val="-2"/>
        </w:rPr>
        <w:t>о</w:t>
      </w:r>
      <w:r>
        <w:rPr>
          <w:spacing w:val="-2"/>
        </w:rPr>
        <w:t>ния-Айнхальт)</w:t>
      </w:r>
    </w:p>
    <w:p w:rsidR="00000000" w:rsidRDefault="00000000">
      <w:pPr>
        <w:pStyle w:val="SingleTxt"/>
        <w:ind w:left="1985" w:hanging="244"/>
        <w:rPr>
          <w:spacing w:val="-2"/>
        </w:rPr>
      </w:pPr>
      <w:r>
        <w:rPr>
          <w:spacing w:val="-2"/>
        </w:rPr>
        <w:t>-</w:t>
      </w:r>
      <w:r>
        <w:rPr>
          <w:spacing w:val="-2"/>
        </w:rPr>
        <w:tab/>
        <w:t>Информационные дни по инженерным специальностям, естественным на</w:t>
      </w:r>
      <w:r>
        <w:rPr>
          <w:spacing w:val="-2"/>
        </w:rPr>
        <w:t>у</w:t>
      </w:r>
      <w:r>
        <w:rPr>
          <w:spacing w:val="-2"/>
        </w:rPr>
        <w:t>кам и техническим предметам, включая объявления о наборе в летнюю школу девушек и молодых женщин (Саксония-Айнхальт)</w:t>
      </w:r>
    </w:p>
    <w:p w:rsidR="00000000" w:rsidRDefault="00000000">
      <w:pPr>
        <w:pStyle w:val="SingleTxt"/>
        <w:ind w:left="1985" w:hanging="244"/>
        <w:rPr>
          <w:spacing w:val="-2"/>
        </w:rPr>
      </w:pPr>
      <w:r>
        <w:rPr>
          <w:spacing w:val="-2"/>
        </w:rPr>
        <w:t>-</w:t>
      </w:r>
      <w:r>
        <w:rPr>
          <w:spacing w:val="-2"/>
        </w:rPr>
        <w:tab/>
        <w:t>Стипендии для девушек и молодых женщин, изучающих естественные на</w:t>
      </w:r>
      <w:r>
        <w:rPr>
          <w:spacing w:val="-2"/>
        </w:rPr>
        <w:t>у</w:t>
      </w:r>
      <w:r>
        <w:rPr>
          <w:spacing w:val="-2"/>
        </w:rPr>
        <w:t>ки и овладевающих и</w:t>
      </w:r>
      <w:r>
        <w:rPr>
          <w:spacing w:val="-2"/>
        </w:rPr>
        <w:t>н</w:t>
      </w:r>
      <w:r>
        <w:rPr>
          <w:spacing w:val="-2"/>
        </w:rPr>
        <w:t>женерными специальностями (Саксония-Айнхальт)</w:t>
      </w:r>
    </w:p>
    <w:p w:rsidR="00000000" w:rsidRDefault="00000000">
      <w:pPr>
        <w:pStyle w:val="SingleTxt"/>
        <w:ind w:left="1985" w:hanging="244"/>
        <w:rPr>
          <w:spacing w:val="-2"/>
        </w:rPr>
      </w:pPr>
      <w:r>
        <w:rPr>
          <w:spacing w:val="-2"/>
        </w:rPr>
        <w:t>-</w:t>
      </w:r>
      <w:r>
        <w:rPr>
          <w:spacing w:val="-2"/>
        </w:rPr>
        <w:tab/>
        <w:t>Подготовительные курсы для учащихся-женщин по естественным наукам и инженерным специал</w:t>
      </w:r>
      <w:r>
        <w:rPr>
          <w:spacing w:val="-2"/>
        </w:rPr>
        <w:t>ь</w:t>
      </w:r>
      <w:r>
        <w:rPr>
          <w:spacing w:val="-2"/>
        </w:rPr>
        <w:t>ностям (Саксония-Айнхальт)</w:t>
      </w:r>
    </w:p>
    <w:p w:rsidR="00000000" w:rsidRDefault="00000000">
      <w:pPr>
        <w:pStyle w:val="SingleTxt"/>
        <w:ind w:left="1985" w:hanging="244"/>
        <w:rPr>
          <w:spacing w:val="-2"/>
        </w:rPr>
      </w:pPr>
      <w:r>
        <w:rPr>
          <w:spacing w:val="-2"/>
        </w:rPr>
        <w:t>-</w:t>
      </w:r>
      <w:r>
        <w:rPr>
          <w:spacing w:val="-2"/>
        </w:rPr>
        <w:tab/>
        <w:t>Пересмотр Закона Тюрингии о высшем образовании в мае 1999 года: пр</w:t>
      </w:r>
      <w:r>
        <w:rPr>
          <w:spacing w:val="-2"/>
        </w:rPr>
        <w:t>о</w:t>
      </w:r>
      <w:r>
        <w:rPr>
          <w:spacing w:val="-2"/>
        </w:rPr>
        <w:t>движение женщин по службе в высших учебных заведениях (Тюрингия)</w:t>
      </w:r>
    </w:p>
    <w:p w:rsidR="00000000" w:rsidRDefault="00000000">
      <w:pPr>
        <w:pStyle w:val="SingleTxt"/>
        <w:ind w:left="1985" w:hanging="244"/>
        <w:rPr>
          <w:spacing w:val="-2"/>
        </w:rPr>
      </w:pPr>
      <w:r>
        <w:rPr>
          <w:spacing w:val="-2"/>
        </w:rPr>
        <w:t>-</w:t>
      </w:r>
      <w:r>
        <w:rPr>
          <w:spacing w:val="-2"/>
        </w:rPr>
        <w:tab/>
        <w:t>Уполномоченные по вопросам равенства и консультативные советы по в</w:t>
      </w:r>
      <w:r>
        <w:rPr>
          <w:spacing w:val="-2"/>
        </w:rPr>
        <w:t>о</w:t>
      </w:r>
      <w:r>
        <w:rPr>
          <w:spacing w:val="-2"/>
        </w:rPr>
        <w:t>просам равенства в высших учебных заведениях Тюрингии (раздел 81 Закона Т</w:t>
      </w:r>
      <w:r>
        <w:rPr>
          <w:spacing w:val="-2"/>
        </w:rPr>
        <w:t>ю</w:t>
      </w:r>
      <w:r>
        <w:rPr>
          <w:spacing w:val="-2"/>
        </w:rPr>
        <w:t>рингии о высшем образовании) (Тюрингия)</w:t>
      </w:r>
    </w:p>
    <w:p w:rsidR="00000000" w:rsidRDefault="00000000">
      <w:pPr>
        <w:pStyle w:val="SingleTxt"/>
        <w:ind w:left="1985" w:hanging="244"/>
        <w:rPr>
          <w:spacing w:val="-2"/>
        </w:rPr>
      </w:pPr>
      <w:r>
        <w:rPr>
          <w:spacing w:val="-2"/>
        </w:rPr>
        <w:t>-</w:t>
      </w:r>
      <w:r>
        <w:rPr>
          <w:spacing w:val="-2"/>
        </w:rPr>
        <w:tab/>
        <w:t>Планы продвижения женщин по службе и руководящие принципы в отн</w:t>
      </w:r>
      <w:r>
        <w:rPr>
          <w:spacing w:val="-2"/>
        </w:rPr>
        <w:t>о</w:t>
      </w:r>
      <w:r>
        <w:rPr>
          <w:spacing w:val="-2"/>
        </w:rPr>
        <w:t>шении увеличения доли женщин среди научных работников (Тюрингия)</w:t>
      </w:r>
    </w:p>
    <w:p w:rsidR="00000000" w:rsidRDefault="00000000">
      <w:pPr>
        <w:pStyle w:val="SingleTxt"/>
        <w:ind w:left="1985" w:hanging="244"/>
        <w:rPr>
          <w:spacing w:val="-2"/>
        </w:rPr>
      </w:pPr>
      <w:r>
        <w:rPr>
          <w:spacing w:val="-2"/>
        </w:rPr>
        <w:t>-</w:t>
      </w:r>
      <w:r>
        <w:rPr>
          <w:spacing w:val="-2"/>
        </w:rPr>
        <w:tab/>
        <w:t>Включение принципа актуализации гендерной проблематики в планы и м</w:t>
      </w:r>
      <w:r>
        <w:rPr>
          <w:spacing w:val="-2"/>
        </w:rPr>
        <w:t>е</w:t>
      </w:r>
      <w:r>
        <w:rPr>
          <w:spacing w:val="-2"/>
        </w:rPr>
        <w:t>роприятия высших учебных заведений в целях содействия обеспечению к</w:t>
      </w:r>
      <w:r>
        <w:rPr>
          <w:spacing w:val="-2"/>
        </w:rPr>
        <w:t>а</w:t>
      </w:r>
      <w:r>
        <w:rPr>
          <w:spacing w:val="-2"/>
        </w:rPr>
        <w:t>чества, расширению участия и усилению конкуренции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Детские сады для детей учащихся (студенческие союзы Эрфурт-Илменау и Йена-Веймар) (Тюри</w:t>
      </w:r>
      <w:r>
        <w:rPr>
          <w:spacing w:val="-2"/>
        </w:rPr>
        <w:t>н</w:t>
      </w:r>
      <w:r>
        <w:rPr>
          <w:spacing w:val="-2"/>
        </w:rPr>
        <w:t>гия)</w:t>
      </w:r>
    </w:p>
    <w:p w:rsidR="00000000" w:rsidRDefault="00000000">
      <w:pPr>
        <w:pStyle w:val="SingleTxt"/>
        <w:ind w:left="1985" w:hanging="244"/>
        <w:rPr>
          <w:spacing w:val="-2"/>
        </w:rPr>
      </w:pPr>
      <w:r>
        <w:rPr>
          <w:spacing w:val="-2"/>
        </w:rPr>
        <w:t>-</w:t>
      </w:r>
      <w:r>
        <w:rPr>
          <w:spacing w:val="-2"/>
        </w:rPr>
        <w:tab/>
        <w:t>Поддержка консультационных проектов для учащихся женского и мужского пола (координационное учреждение Тюрингии по естественным наукам и те</w:t>
      </w:r>
      <w:r>
        <w:rPr>
          <w:spacing w:val="-2"/>
        </w:rPr>
        <w:t>х</w:t>
      </w:r>
      <w:r>
        <w:rPr>
          <w:spacing w:val="-2"/>
        </w:rPr>
        <w:t>нологии) (Тюрингия)</w:t>
      </w:r>
    </w:p>
    <w:p w:rsidR="00000000" w:rsidRDefault="00000000">
      <w:pPr>
        <w:pStyle w:val="SingleTxt"/>
        <w:ind w:left="1985" w:hanging="244"/>
        <w:rPr>
          <w:spacing w:val="-2"/>
        </w:rPr>
      </w:pPr>
      <w:r>
        <w:rPr>
          <w:spacing w:val="-2"/>
        </w:rPr>
        <w:t>-</w:t>
      </w:r>
      <w:r>
        <w:rPr>
          <w:spacing w:val="-2"/>
        </w:rPr>
        <w:tab/>
        <w:t>Оказание кандидатам-женщинам поддержки при соискании должностей лекторов в высших уче</w:t>
      </w:r>
      <w:r>
        <w:rPr>
          <w:spacing w:val="-2"/>
        </w:rPr>
        <w:t>б</w:t>
      </w:r>
      <w:r>
        <w:rPr>
          <w:spacing w:val="-2"/>
        </w:rPr>
        <w:t>ных заведениях (Тюрингия)</w:t>
      </w:r>
    </w:p>
    <w:p w:rsidR="00000000" w:rsidRDefault="00000000">
      <w:pPr>
        <w:pStyle w:val="SingleTxt"/>
        <w:ind w:left="1985" w:hanging="244"/>
        <w:rPr>
          <w:spacing w:val="-2"/>
        </w:rPr>
      </w:pPr>
      <w:r>
        <w:rPr>
          <w:spacing w:val="-2"/>
        </w:rPr>
        <w:t>-</w:t>
      </w:r>
      <w:r>
        <w:rPr>
          <w:spacing w:val="-2"/>
        </w:rPr>
        <w:tab/>
        <w:t>Гранты на реинтеграцию для женщин-ученых (Тюрингия)</w:t>
      </w:r>
    </w:p>
    <w:p w:rsidR="00000000" w:rsidRDefault="00000000">
      <w:pPr>
        <w:pStyle w:val="SingleTxt"/>
        <w:ind w:left="1985" w:hanging="244"/>
        <w:rPr>
          <w:spacing w:val="-2"/>
        </w:rPr>
      </w:pPr>
      <w:r>
        <w:rPr>
          <w:spacing w:val="-2"/>
        </w:rPr>
        <w:t>-</w:t>
      </w:r>
      <w:r>
        <w:rPr>
          <w:spacing w:val="-2"/>
        </w:rPr>
        <w:tab/>
        <w:t>Гранты на продвижение по службе (Тюрингия)</w:t>
      </w:r>
    </w:p>
    <w:p w:rsidR="00000000" w:rsidRDefault="00000000">
      <w:pPr>
        <w:pStyle w:val="SingleTxt"/>
        <w:ind w:left="1985" w:hanging="244"/>
        <w:rPr>
          <w:spacing w:val="-2"/>
        </w:rPr>
      </w:pPr>
      <w:r>
        <w:rPr>
          <w:spacing w:val="-2"/>
        </w:rPr>
        <w:t>-</w:t>
      </w:r>
      <w:r>
        <w:rPr>
          <w:spacing w:val="-2"/>
        </w:rPr>
        <w:tab/>
        <w:t>Создание фонда для выдвижения женщин на преподавательские должности (Тюрингия)</w:t>
      </w:r>
    </w:p>
    <w:p w:rsidR="00000000" w:rsidRDefault="00000000">
      <w:pPr>
        <w:pStyle w:val="SingleTxt"/>
        <w:ind w:left="1985" w:hanging="244"/>
        <w:rPr>
          <w:spacing w:val="-2"/>
        </w:rPr>
      </w:pPr>
      <w:r>
        <w:rPr>
          <w:spacing w:val="-2"/>
        </w:rPr>
        <w:t>-</w:t>
      </w:r>
      <w:r>
        <w:rPr>
          <w:spacing w:val="-2"/>
        </w:rPr>
        <w:tab/>
        <w:t>Поощрение приема женщин на преподавательские должности в технич</w:t>
      </w:r>
      <w:r>
        <w:rPr>
          <w:spacing w:val="-2"/>
        </w:rPr>
        <w:t>е</w:t>
      </w:r>
      <w:r>
        <w:rPr>
          <w:spacing w:val="-2"/>
        </w:rPr>
        <w:t>ских колледжах и осуществления исследовательских проектов для женщин в техн</w:t>
      </w:r>
      <w:r>
        <w:rPr>
          <w:spacing w:val="-2"/>
        </w:rPr>
        <w:t>и</w:t>
      </w:r>
      <w:r>
        <w:rPr>
          <w:spacing w:val="-2"/>
        </w:rPr>
        <w:t>ческих колледжах (Тюрингия)</w:t>
      </w:r>
    </w:p>
    <w:p w:rsidR="00000000" w:rsidRDefault="00000000">
      <w:pPr>
        <w:pStyle w:val="SingleTxt"/>
        <w:ind w:left="1985" w:hanging="244"/>
        <w:rPr>
          <w:spacing w:val="-2"/>
        </w:rPr>
      </w:pPr>
      <w:r>
        <w:rPr>
          <w:spacing w:val="-2"/>
        </w:rPr>
        <w:t>-</w:t>
      </w:r>
      <w:r>
        <w:rPr>
          <w:spacing w:val="-2"/>
        </w:rPr>
        <w:tab/>
        <w:t>Исследовательские гранты для женщин на преподавательских должностях (Тюрингия)</w:t>
      </w:r>
    </w:p>
    <w:p w:rsidR="00000000" w:rsidRDefault="00000000">
      <w:pPr>
        <w:pStyle w:val="SingleTxt"/>
        <w:ind w:left="1985" w:hanging="244"/>
        <w:rPr>
          <w:spacing w:val="-2"/>
        </w:rPr>
      </w:pPr>
      <w:r>
        <w:rPr>
          <w:spacing w:val="-2"/>
        </w:rPr>
        <w:t>-</w:t>
      </w:r>
      <w:r>
        <w:rPr>
          <w:spacing w:val="-2"/>
        </w:rPr>
        <w:tab/>
        <w:t>Федеральный/земельный типовой экспериментальный проект "Практич</w:t>
      </w:r>
      <w:r>
        <w:rPr>
          <w:spacing w:val="-2"/>
        </w:rPr>
        <w:t>е</w:t>
      </w:r>
      <w:r>
        <w:rPr>
          <w:spacing w:val="-2"/>
        </w:rPr>
        <w:t>ское знакомство учащихся-женщин с инженерными исследованиями" (П</w:t>
      </w:r>
      <w:r>
        <w:rPr>
          <w:spacing w:val="-2"/>
        </w:rPr>
        <w:t>а</w:t>
      </w:r>
      <w:r>
        <w:rPr>
          <w:spacing w:val="-2"/>
        </w:rPr>
        <w:t>дерборнский университет и технический колледж Илменау)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Создание ставки преподавателя по предмету "Социология с упором на структуру и специфику взаимоотношений полов/исследований женской проблем</w:t>
      </w:r>
      <w:r>
        <w:rPr>
          <w:spacing w:val="-2"/>
        </w:rPr>
        <w:t>а</w:t>
      </w:r>
      <w:r>
        <w:rPr>
          <w:spacing w:val="-2"/>
        </w:rPr>
        <w:t>тики" (Эрфуртский университет) (Тюрингия)</w:t>
      </w:r>
    </w:p>
    <w:p w:rsidR="00000000" w:rsidRDefault="00000000">
      <w:pPr>
        <w:pStyle w:val="SingleTxt"/>
        <w:ind w:left="1985" w:hanging="244"/>
        <w:rPr>
          <w:spacing w:val="-2"/>
        </w:rPr>
      </w:pPr>
      <w:r>
        <w:rPr>
          <w:spacing w:val="-2"/>
        </w:rPr>
        <w:t>-</w:t>
      </w:r>
      <w:r>
        <w:rPr>
          <w:spacing w:val="-2"/>
        </w:rPr>
        <w:tab/>
        <w:t>Изучение женских проектов в Йенском университете (Тюрингия)</w:t>
      </w:r>
    </w:p>
    <w:p w:rsidR="00000000" w:rsidRDefault="00000000">
      <w:pPr>
        <w:pStyle w:val="SingleTxt"/>
        <w:ind w:left="1985" w:hanging="244"/>
        <w:rPr>
          <w:spacing w:val="-2"/>
        </w:rPr>
      </w:pPr>
      <w:r>
        <w:rPr>
          <w:spacing w:val="-2"/>
        </w:rPr>
        <w:t>-</w:t>
      </w:r>
      <w:r>
        <w:rPr>
          <w:spacing w:val="-2"/>
        </w:rPr>
        <w:tab/>
        <w:t>Национальные и общеевропейские сети по исследованиям, посвященным женской проблематике (Тюрингия)</w:t>
      </w:r>
    </w:p>
    <w:p w:rsidR="00000000" w:rsidRDefault="00000000">
      <w:pPr>
        <w:pStyle w:val="SingleTxt"/>
        <w:ind w:left="1985" w:hanging="244"/>
        <w:rPr>
          <w:spacing w:val="-2"/>
        </w:rPr>
      </w:pPr>
      <w:r>
        <w:rPr>
          <w:spacing w:val="-2"/>
        </w:rPr>
        <w:t>-</w:t>
      </w:r>
      <w:r>
        <w:rPr>
          <w:spacing w:val="-2"/>
        </w:rPr>
        <w:tab/>
        <w:t>Вклад в исследования, касающиеся женщин/девушек (Йенский технический колледж) (Тюрингия)</w:t>
      </w:r>
    </w:p>
    <w:p w:rsidR="00000000" w:rsidRDefault="00000000">
      <w:pPr>
        <w:pStyle w:val="H4"/>
      </w:pPr>
      <w:bookmarkStart w:id="863" w:name="_Toc44113884"/>
      <w:bookmarkStart w:id="864" w:name="_Toc44114393"/>
      <w:bookmarkStart w:id="865" w:name="_Toc44116075"/>
      <w:r>
        <w:t>h)</w:t>
      </w:r>
      <w:r>
        <w:tab/>
        <w:t>Социальная помощь женщинам</w:t>
      </w:r>
      <w:bookmarkEnd w:id="863"/>
      <w:bookmarkEnd w:id="864"/>
      <w:bookmarkEnd w:id="865"/>
    </w:p>
    <w:p w:rsidR="00000000" w:rsidRDefault="00000000">
      <w:pPr>
        <w:pStyle w:val="SingleTxt"/>
        <w:ind w:left="1985" w:hanging="244"/>
        <w:rPr>
          <w:spacing w:val="-2"/>
        </w:rPr>
      </w:pPr>
      <w:r>
        <w:rPr>
          <w:spacing w:val="-2"/>
        </w:rPr>
        <w:t>-</w:t>
      </w:r>
      <w:r>
        <w:rPr>
          <w:spacing w:val="-2"/>
        </w:rPr>
        <w:tab/>
        <w:t>Содействие работе консультационного учреждения для проституток (Бав</w:t>
      </w:r>
      <w:r>
        <w:rPr>
          <w:spacing w:val="-2"/>
        </w:rPr>
        <w:t>а</w:t>
      </w:r>
      <w:r>
        <w:rPr>
          <w:spacing w:val="-2"/>
        </w:rPr>
        <w:t>рия)</w:t>
      </w:r>
    </w:p>
    <w:p w:rsidR="00000000" w:rsidRDefault="00000000">
      <w:pPr>
        <w:pStyle w:val="SingleTxt"/>
        <w:ind w:left="1985" w:hanging="244"/>
        <w:rPr>
          <w:spacing w:val="-2"/>
        </w:rPr>
      </w:pPr>
      <w:r>
        <w:rPr>
          <w:spacing w:val="-2"/>
        </w:rPr>
        <w:t>-</w:t>
      </w:r>
      <w:r>
        <w:rPr>
          <w:spacing w:val="-2"/>
        </w:rPr>
        <w:tab/>
        <w:t>Пилотный проект "УХУ" – оказание помощи в изменении образа жизни т</w:t>
      </w:r>
      <w:r>
        <w:rPr>
          <w:spacing w:val="-2"/>
        </w:rPr>
        <w:t>е</w:t>
      </w:r>
      <w:r>
        <w:rPr>
          <w:spacing w:val="-2"/>
        </w:rPr>
        <w:t>ми, кто изменился сам; помощь в формировании нового взгляда на жизнь у женщин, желающих прекратить занятие проституцией (Б</w:t>
      </w:r>
      <w:r>
        <w:rPr>
          <w:spacing w:val="-2"/>
        </w:rPr>
        <w:t>а</w:t>
      </w:r>
      <w:r>
        <w:rPr>
          <w:spacing w:val="-2"/>
        </w:rPr>
        <w:t>вария)</w:t>
      </w:r>
    </w:p>
    <w:p w:rsidR="00000000" w:rsidRDefault="00000000">
      <w:pPr>
        <w:pStyle w:val="SingleTxt"/>
        <w:ind w:left="1985" w:hanging="244"/>
        <w:rPr>
          <w:spacing w:val="-2"/>
        </w:rPr>
      </w:pPr>
      <w:r>
        <w:rPr>
          <w:spacing w:val="-2"/>
        </w:rPr>
        <w:t>-</w:t>
      </w:r>
      <w:r>
        <w:rPr>
          <w:spacing w:val="-2"/>
        </w:rPr>
        <w:tab/>
        <w:t>Создание междисциплинарной рабочей группы для улучшения положения матерей и детей, наход</w:t>
      </w:r>
      <w:r>
        <w:rPr>
          <w:spacing w:val="-2"/>
        </w:rPr>
        <w:t>я</w:t>
      </w:r>
      <w:r>
        <w:rPr>
          <w:spacing w:val="-2"/>
        </w:rPr>
        <w:t>щихся в тюрьме (Берлин)</w:t>
      </w:r>
    </w:p>
    <w:p w:rsidR="00000000" w:rsidRDefault="00000000">
      <w:pPr>
        <w:pStyle w:val="SingleTxt"/>
        <w:ind w:left="1985" w:hanging="244"/>
        <w:rPr>
          <w:spacing w:val="-2"/>
        </w:rPr>
      </w:pPr>
      <w:r>
        <w:rPr>
          <w:spacing w:val="-2"/>
        </w:rPr>
        <w:t>-</w:t>
      </w:r>
      <w:r>
        <w:rPr>
          <w:spacing w:val="-2"/>
        </w:rPr>
        <w:tab/>
        <w:t>Проект – Социальное обеспечение женщин, работающих дневными нянями (Гессен)</w:t>
      </w:r>
    </w:p>
    <w:p w:rsidR="00000000" w:rsidRDefault="00000000">
      <w:pPr>
        <w:pStyle w:val="SingleTxt"/>
        <w:ind w:left="1985" w:hanging="244"/>
        <w:rPr>
          <w:spacing w:val="-2"/>
        </w:rPr>
      </w:pPr>
      <w:r>
        <w:rPr>
          <w:spacing w:val="-2"/>
        </w:rPr>
        <w:t>-</w:t>
      </w:r>
      <w:r>
        <w:rPr>
          <w:spacing w:val="-2"/>
        </w:rPr>
        <w:tab/>
        <w:t>Проект – Возможности получения социальной помощи женщинами (Ге</w:t>
      </w:r>
      <w:r>
        <w:rPr>
          <w:spacing w:val="-2"/>
        </w:rPr>
        <w:t>с</w:t>
      </w:r>
      <w:r>
        <w:rPr>
          <w:spacing w:val="-2"/>
        </w:rPr>
        <w:t>сен)</w:t>
      </w:r>
    </w:p>
    <w:p w:rsidR="00000000" w:rsidRDefault="00000000">
      <w:pPr>
        <w:pStyle w:val="SingleTxt"/>
        <w:ind w:left="1985" w:hanging="244"/>
        <w:rPr>
          <w:spacing w:val="-2"/>
        </w:rPr>
      </w:pPr>
      <w:r>
        <w:rPr>
          <w:spacing w:val="-2"/>
        </w:rPr>
        <w:t>-</w:t>
      </w:r>
      <w:r>
        <w:rPr>
          <w:spacing w:val="-2"/>
        </w:rPr>
        <w:tab/>
        <w:t>Сеть для бездомных женщин в Гессене (Гессен)</w:t>
      </w:r>
    </w:p>
    <w:p w:rsidR="00000000" w:rsidRDefault="00000000">
      <w:pPr>
        <w:pStyle w:val="SingleTxt"/>
        <w:ind w:left="1985" w:hanging="244"/>
        <w:rPr>
          <w:spacing w:val="-2"/>
        </w:rPr>
      </w:pPr>
      <w:r>
        <w:rPr>
          <w:spacing w:val="-2"/>
        </w:rPr>
        <w:t>-</w:t>
      </w:r>
      <w:r>
        <w:rPr>
          <w:spacing w:val="-2"/>
        </w:rPr>
        <w:tab/>
        <w:t>Поощрение регулярной занятости в качестве домашней прислуги на основе трех пилотных проектов "Сервисные бюро" (Северный Рейн-Вестфалия)</w:t>
      </w:r>
    </w:p>
    <w:p w:rsidR="00000000" w:rsidRDefault="00000000">
      <w:pPr>
        <w:pStyle w:val="SingleTxt"/>
        <w:ind w:left="1985" w:hanging="244"/>
        <w:rPr>
          <w:spacing w:val="-2"/>
        </w:rPr>
      </w:pPr>
      <w:r>
        <w:rPr>
          <w:spacing w:val="-2"/>
        </w:rPr>
        <w:t>-</w:t>
      </w:r>
      <w:r>
        <w:rPr>
          <w:spacing w:val="-2"/>
        </w:rPr>
        <w:tab/>
        <w:t>Окончательный доклад о результатах исследования под названием "Шаг за шагом – прекращение з</w:t>
      </w:r>
      <w:r>
        <w:rPr>
          <w:spacing w:val="-2"/>
        </w:rPr>
        <w:t>а</w:t>
      </w:r>
      <w:r>
        <w:rPr>
          <w:spacing w:val="-2"/>
        </w:rPr>
        <w:t>нятия проституцией" (Северный Рейн-Вестфалия)</w:t>
      </w:r>
    </w:p>
    <w:p w:rsidR="00000000" w:rsidRDefault="00000000">
      <w:pPr>
        <w:pStyle w:val="SingleTxt"/>
        <w:ind w:left="1985" w:hanging="244"/>
        <w:rPr>
          <w:spacing w:val="-2"/>
        </w:rPr>
      </w:pPr>
      <w:r>
        <w:rPr>
          <w:spacing w:val="-2"/>
        </w:rPr>
        <w:t>-</w:t>
      </w:r>
      <w:r>
        <w:rPr>
          <w:spacing w:val="-2"/>
        </w:rPr>
        <w:tab/>
        <w:t>Подготовка брошюры под названием "Инструкции для одиноких родителей" (Саксония)</w:t>
      </w:r>
    </w:p>
    <w:p w:rsidR="00000000" w:rsidRDefault="00000000">
      <w:pPr>
        <w:pStyle w:val="SingleTxt"/>
        <w:ind w:left="1985" w:hanging="244"/>
        <w:rPr>
          <w:spacing w:val="-2"/>
        </w:rPr>
      </w:pPr>
      <w:r>
        <w:rPr>
          <w:spacing w:val="-2"/>
        </w:rPr>
        <w:t>-</w:t>
      </w:r>
      <w:r>
        <w:rPr>
          <w:spacing w:val="-2"/>
        </w:rPr>
        <w:tab/>
        <w:t>Пилотный проект под названием "Проект учебной работы с одинокими р</w:t>
      </w:r>
      <w:r>
        <w:rPr>
          <w:spacing w:val="-2"/>
        </w:rPr>
        <w:t>о</w:t>
      </w:r>
      <w:r>
        <w:rPr>
          <w:spacing w:val="-2"/>
        </w:rPr>
        <w:t>дителями, получающими социальную помощь" (Саксония)</w:t>
      </w:r>
    </w:p>
    <w:p w:rsidR="00000000" w:rsidRDefault="00000000">
      <w:pPr>
        <w:pStyle w:val="SingleTxt"/>
        <w:ind w:left="1985" w:hanging="244"/>
        <w:rPr>
          <w:spacing w:val="-2"/>
        </w:rPr>
      </w:pPr>
      <w:r>
        <w:rPr>
          <w:spacing w:val="-2"/>
        </w:rPr>
        <w:t>-</w:t>
      </w:r>
      <w:r>
        <w:rPr>
          <w:spacing w:val="-2"/>
        </w:rPr>
        <w:tab/>
        <w:t>Оказание психиатрической помощи в решении бытовых, небытовых и смежных вопросов, в частности проблем, конкретно касающихся женщин (Тюри</w:t>
      </w:r>
      <w:r>
        <w:rPr>
          <w:spacing w:val="-2"/>
        </w:rPr>
        <w:t>н</w:t>
      </w:r>
      <w:r>
        <w:rPr>
          <w:spacing w:val="-2"/>
        </w:rPr>
        <w:t>гия)</w:t>
      </w:r>
    </w:p>
    <w:p w:rsidR="00000000" w:rsidRDefault="00000000">
      <w:pPr>
        <w:pStyle w:val="SingleTxt"/>
        <w:ind w:left="1985" w:hanging="244"/>
        <w:rPr>
          <w:spacing w:val="-2"/>
        </w:rPr>
      </w:pPr>
      <w:r>
        <w:rPr>
          <w:spacing w:val="-2"/>
        </w:rPr>
        <w:t>-</w:t>
      </w:r>
      <w:r>
        <w:rPr>
          <w:spacing w:val="-2"/>
        </w:rPr>
        <w:tab/>
        <w:t>Содействие работе 34 официальных консультаций по вопросам беременн</w:t>
      </w:r>
      <w:r>
        <w:rPr>
          <w:spacing w:val="-2"/>
        </w:rPr>
        <w:t>о</w:t>
      </w:r>
      <w:r>
        <w:rPr>
          <w:spacing w:val="-2"/>
        </w:rPr>
        <w:t>сти, действующих в ра</w:t>
      </w:r>
      <w:r>
        <w:rPr>
          <w:spacing w:val="-2"/>
        </w:rPr>
        <w:t>з</w:t>
      </w:r>
      <w:r>
        <w:rPr>
          <w:spacing w:val="-2"/>
        </w:rPr>
        <w:t>личных организациях (Тюрингия)</w:t>
      </w:r>
    </w:p>
    <w:p w:rsidR="00000000" w:rsidRDefault="00000000">
      <w:pPr>
        <w:pStyle w:val="H4"/>
      </w:pPr>
      <w:bookmarkStart w:id="866" w:name="_Toc44113885"/>
      <w:bookmarkStart w:id="867" w:name="_Toc44114394"/>
      <w:bookmarkStart w:id="868" w:name="_Toc44116076"/>
      <w:r>
        <w:t>i)</w:t>
      </w:r>
      <w:r>
        <w:tab/>
        <w:t>Жилье, городское хозяйство, транспорт и региональное планиров</w:t>
      </w:r>
      <w:r>
        <w:t>а</w:t>
      </w:r>
      <w:r>
        <w:t>ние</w:t>
      </w:r>
      <w:bookmarkEnd w:id="866"/>
      <w:bookmarkEnd w:id="867"/>
      <w:bookmarkEnd w:id="868"/>
    </w:p>
    <w:p w:rsidR="00000000" w:rsidRDefault="00000000">
      <w:pPr>
        <w:pStyle w:val="SingleTxt"/>
        <w:ind w:left="1985" w:hanging="244"/>
        <w:rPr>
          <w:spacing w:val="-2"/>
        </w:rPr>
      </w:pPr>
      <w:r>
        <w:rPr>
          <w:spacing w:val="-2"/>
        </w:rPr>
        <w:t>-</w:t>
      </w:r>
      <w:r>
        <w:rPr>
          <w:spacing w:val="-2"/>
        </w:rPr>
        <w:tab/>
        <w:t>Городское планирование и развитие городов/округов с учетом интересов женщин – предварительное условие для участия в программах поддержки, орган</w:t>
      </w:r>
      <w:r>
        <w:rPr>
          <w:spacing w:val="-2"/>
        </w:rPr>
        <w:t>и</w:t>
      </w:r>
      <w:r>
        <w:rPr>
          <w:spacing w:val="-2"/>
        </w:rPr>
        <w:t>зованных ЕС, таких, как "Город I и II" (Гессен, Северный Рейн-Вестфалия, Рей</w:t>
      </w:r>
      <w:r>
        <w:rPr>
          <w:spacing w:val="-2"/>
        </w:rPr>
        <w:t>н</w:t>
      </w:r>
      <w:r>
        <w:rPr>
          <w:spacing w:val="-2"/>
        </w:rPr>
        <w:t>ланд-Пфальц, Саксония-Айнхальт, Тюрингия)</w:t>
      </w:r>
    </w:p>
    <w:p w:rsidR="00000000" w:rsidRDefault="00000000">
      <w:pPr>
        <w:pStyle w:val="SingleTxt"/>
        <w:ind w:left="1985" w:hanging="244"/>
        <w:rPr>
          <w:spacing w:val="-2"/>
        </w:rPr>
      </w:pPr>
      <w:r>
        <w:rPr>
          <w:spacing w:val="-2"/>
        </w:rPr>
        <w:t>-</w:t>
      </w:r>
      <w:r>
        <w:rPr>
          <w:spacing w:val="-2"/>
        </w:rPr>
        <w:tab/>
        <w:t>Оказание содействия проведению исследования по вопросам отвечающего интересам женщин р</w:t>
      </w:r>
      <w:r>
        <w:rPr>
          <w:spacing w:val="-2"/>
        </w:rPr>
        <w:t>е</w:t>
      </w:r>
      <w:r>
        <w:rPr>
          <w:spacing w:val="-2"/>
        </w:rPr>
        <w:t>гионального планирования (Баден-Вюртемберг)</w:t>
      </w:r>
    </w:p>
    <w:p w:rsidR="00000000" w:rsidRDefault="00000000">
      <w:pPr>
        <w:pStyle w:val="SingleTxt"/>
        <w:ind w:left="1985" w:hanging="244"/>
        <w:rPr>
          <w:spacing w:val="-2"/>
        </w:rPr>
      </w:pPr>
      <w:r>
        <w:rPr>
          <w:spacing w:val="-2"/>
        </w:rPr>
        <w:t>-</w:t>
      </w:r>
      <w:r>
        <w:rPr>
          <w:spacing w:val="-2"/>
        </w:rPr>
        <w:tab/>
        <w:t>Оказание содействия проведению исследования по вопросам близости предприятий розничной то</w:t>
      </w:r>
      <w:r>
        <w:rPr>
          <w:spacing w:val="-2"/>
        </w:rPr>
        <w:t>р</w:t>
      </w:r>
      <w:r>
        <w:rPr>
          <w:spacing w:val="-2"/>
        </w:rPr>
        <w:t>говли к дому покупателей (Баден-Вюртемберг)</w:t>
      </w:r>
    </w:p>
    <w:p w:rsidR="00000000" w:rsidRDefault="00000000">
      <w:pPr>
        <w:pStyle w:val="SingleTxt"/>
        <w:ind w:left="1985" w:hanging="244"/>
        <w:rPr>
          <w:spacing w:val="-2"/>
        </w:rPr>
      </w:pPr>
      <w:r>
        <w:rPr>
          <w:spacing w:val="-2"/>
        </w:rPr>
        <w:t>-</w:t>
      </w:r>
      <w:r>
        <w:rPr>
          <w:spacing w:val="-2"/>
        </w:rPr>
        <w:tab/>
        <w:t>Исследование по теме "Планирование транспорта с учетом потребностей женщин в Баден-Вюртемберге (программа поддержки исследований же</w:t>
      </w:r>
      <w:r>
        <w:rPr>
          <w:spacing w:val="-2"/>
        </w:rPr>
        <w:t>н</w:t>
      </w:r>
      <w:r>
        <w:rPr>
          <w:spacing w:val="-2"/>
        </w:rPr>
        <w:t>ской пр</w:t>
      </w:r>
      <w:r>
        <w:rPr>
          <w:spacing w:val="-2"/>
        </w:rPr>
        <w:t>о</w:t>
      </w:r>
      <w:r>
        <w:rPr>
          <w:spacing w:val="-2"/>
        </w:rPr>
        <w:t>блематики) (Баден-Вюртемберг)</w:t>
      </w:r>
    </w:p>
    <w:p w:rsidR="00000000" w:rsidRDefault="00000000">
      <w:pPr>
        <w:pStyle w:val="SingleTxt"/>
        <w:ind w:left="1985" w:hanging="244"/>
        <w:rPr>
          <w:spacing w:val="-2"/>
        </w:rPr>
      </w:pPr>
      <w:r>
        <w:rPr>
          <w:spacing w:val="-2"/>
        </w:rPr>
        <w:t>-</w:t>
      </w:r>
      <w:r>
        <w:rPr>
          <w:spacing w:val="-2"/>
        </w:rPr>
        <w:tab/>
        <w:t>Брошюра под названием "К вопросам жилищного строительства – вклад женщин-архитекторов" (Баден-Вюртемберг)</w:t>
      </w:r>
    </w:p>
    <w:p w:rsidR="00000000" w:rsidRDefault="00000000">
      <w:pPr>
        <w:pStyle w:val="SingleTxt"/>
        <w:ind w:left="1985" w:hanging="244"/>
        <w:rPr>
          <w:spacing w:val="-2"/>
        </w:rPr>
      </w:pPr>
      <w:r>
        <w:rPr>
          <w:spacing w:val="-2"/>
        </w:rPr>
        <w:t>-</w:t>
      </w:r>
      <w:r>
        <w:rPr>
          <w:spacing w:val="-2"/>
        </w:rPr>
        <w:tab/>
        <w:t>Исследование по вопросам, касающимся повседневной жизни, опыта с ра</w:t>
      </w:r>
      <w:r>
        <w:rPr>
          <w:spacing w:val="-2"/>
        </w:rPr>
        <w:t>с</w:t>
      </w:r>
      <w:r>
        <w:rPr>
          <w:spacing w:val="-2"/>
        </w:rPr>
        <w:t>селением и предложения жилья, как они видятся бездомным женщинам (программа поддержки исследований женской проблематики) (Баден-Вюртемберг)</w:t>
      </w:r>
    </w:p>
    <w:p w:rsidR="00000000" w:rsidRDefault="00000000">
      <w:pPr>
        <w:pStyle w:val="SingleTxt"/>
        <w:ind w:left="1985" w:hanging="244"/>
        <w:rPr>
          <w:spacing w:val="-2"/>
        </w:rPr>
      </w:pPr>
      <w:r>
        <w:rPr>
          <w:spacing w:val="-2"/>
        </w:rPr>
        <w:t>-</w:t>
      </w:r>
      <w:r>
        <w:rPr>
          <w:spacing w:val="-2"/>
        </w:rPr>
        <w:tab/>
        <w:t>Брошюра под названием "Женщины как движущая сила в своих округах – отражение стратегических интересов женщин на окружных конференциях в Бремене (Бремен)</w:t>
      </w:r>
    </w:p>
    <w:p w:rsidR="00000000" w:rsidRDefault="00000000">
      <w:pPr>
        <w:pStyle w:val="SingleTxt"/>
        <w:ind w:left="1985" w:hanging="244"/>
        <w:rPr>
          <w:spacing w:val="-2"/>
        </w:rPr>
      </w:pPr>
      <w:r>
        <w:rPr>
          <w:spacing w:val="-2"/>
        </w:rPr>
        <w:t>-</w:t>
      </w:r>
      <w:r>
        <w:rPr>
          <w:spacing w:val="-2"/>
        </w:rPr>
        <w:tab/>
        <w:t>Серия мероприятий по теме "Времена городов" (Бремен)</w:t>
      </w:r>
    </w:p>
    <w:p w:rsidR="00000000" w:rsidRDefault="00000000">
      <w:pPr>
        <w:pStyle w:val="SingleTxt"/>
        <w:ind w:left="1985" w:hanging="244"/>
        <w:rPr>
          <w:spacing w:val="-2"/>
        </w:rPr>
      </w:pPr>
      <w:r>
        <w:rPr>
          <w:spacing w:val="-2"/>
        </w:rPr>
        <w:t>-</w:t>
      </w:r>
      <w:r>
        <w:rPr>
          <w:spacing w:val="-2"/>
        </w:rPr>
        <w:tab/>
        <w:t>Отражение вопросов, вызывающих тревогу у женщин, в Законе о планир</w:t>
      </w:r>
      <w:r>
        <w:rPr>
          <w:spacing w:val="-2"/>
        </w:rPr>
        <w:t>о</w:t>
      </w:r>
      <w:r>
        <w:rPr>
          <w:spacing w:val="-2"/>
        </w:rPr>
        <w:t>вании земли Гессен и обеспечение участия земельной рабочей группы же</w:t>
      </w:r>
      <w:r>
        <w:rPr>
          <w:spacing w:val="-2"/>
        </w:rPr>
        <w:t>н</w:t>
      </w:r>
      <w:r>
        <w:rPr>
          <w:spacing w:val="-2"/>
        </w:rPr>
        <w:t>ских уполномоченных местных органов власти и округов в региональных собраниях (Гессен)</w:t>
      </w:r>
    </w:p>
    <w:p w:rsidR="00000000" w:rsidRDefault="00000000">
      <w:pPr>
        <w:pStyle w:val="SingleTxt"/>
        <w:ind w:left="1985" w:hanging="244"/>
        <w:rPr>
          <w:spacing w:val="-2"/>
        </w:rPr>
      </w:pPr>
      <w:r>
        <w:rPr>
          <w:spacing w:val="-2"/>
        </w:rPr>
        <w:t>-</w:t>
      </w:r>
      <w:r>
        <w:rPr>
          <w:spacing w:val="-2"/>
        </w:rPr>
        <w:tab/>
        <w:t>Конкурс на уровне земли – город, отвечающий интересам семьи (Гессен)</w:t>
      </w:r>
    </w:p>
    <w:p w:rsidR="00000000" w:rsidRDefault="00000000">
      <w:pPr>
        <w:pStyle w:val="SingleTxt"/>
        <w:ind w:left="1985" w:hanging="244"/>
        <w:rPr>
          <w:spacing w:val="-2"/>
        </w:rPr>
      </w:pPr>
      <w:r>
        <w:rPr>
          <w:spacing w:val="-2"/>
        </w:rPr>
        <w:t>-</w:t>
      </w:r>
      <w:r>
        <w:rPr>
          <w:spacing w:val="-2"/>
        </w:rPr>
        <w:tab/>
        <w:t>Отражение вопросов, вызывающих тревогу у женщин, в земельном плане развития земли Гессен на 2002 год (Гессен)</w:t>
      </w:r>
    </w:p>
    <w:p w:rsidR="00000000" w:rsidRDefault="00000000">
      <w:pPr>
        <w:pStyle w:val="SingleTxt"/>
        <w:ind w:left="1985" w:hanging="244"/>
        <w:rPr>
          <w:spacing w:val="-2"/>
        </w:rPr>
      </w:pPr>
      <w:r>
        <w:rPr>
          <w:spacing w:val="-2"/>
        </w:rPr>
        <w:t>-</w:t>
      </w:r>
      <w:r>
        <w:rPr>
          <w:spacing w:val="-2"/>
        </w:rPr>
        <w:tab/>
        <w:t>Учет вопросов, вызывающих тревогу у женщин, в региональных планах (Гессен)</w:t>
      </w:r>
    </w:p>
    <w:p w:rsidR="00000000" w:rsidRDefault="00000000">
      <w:pPr>
        <w:pStyle w:val="SingleTxt"/>
        <w:ind w:left="1985" w:hanging="244"/>
        <w:rPr>
          <w:spacing w:val="-2"/>
        </w:rPr>
      </w:pPr>
      <w:r>
        <w:rPr>
          <w:spacing w:val="-2"/>
        </w:rPr>
        <w:t>-</w:t>
      </w:r>
      <w:r>
        <w:rPr>
          <w:spacing w:val="-2"/>
        </w:rPr>
        <w:tab/>
        <w:t>Учет вопросов, вызывающих тревогу у женщин, в Законе о местном пасс</w:t>
      </w:r>
      <w:r>
        <w:rPr>
          <w:spacing w:val="-2"/>
        </w:rPr>
        <w:t>а</w:t>
      </w:r>
      <w:r>
        <w:rPr>
          <w:spacing w:val="-2"/>
        </w:rPr>
        <w:t>жирском транспорте (ÖPNV-Gesetz) (Гессен)</w:t>
      </w:r>
    </w:p>
    <w:p w:rsidR="00000000" w:rsidRDefault="00000000">
      <w:pPr>
        <w:pStyle w:val="SingleTxt"/>
        <w:ind w:left="1985" w:hanging="244"/>
        <w:rPr>
          <w:spacing w:val="-2"/>
        </w:rPr>
      </w:pPr>
      <w:r>
        <w:rPr>
          <w:spacing w:val="-2"/>
        </w:rPr>
        <w:t>-</w:t>
      </w:r>
      <w:r>
        <w:rPr>
          <w:spacing w:val="-2"/>
        </w:rPr>
        <w:tab/>
        <w:t>Брошюра под названием "Планирование землепользования в городах с то</w:t>
      </w:r>
      <w:r>
        <w:rPr>
          <w:spacing w:val="-2"/>
        </w:rPr>
        <w:t>ч</w:t>
      </w:r>
      <w:r>
        <w:rPr>
          <w:spacing w:val="-2"/>
        </w:rPr>
        <w:t>ки зрения женщин" и брошюра о проектах строительства в Гессене жилья, отв</w:t>
      </w:r>
      <w:r>
        <w:rPr>
          <w:spacing w:val="-2"/>
        </w:rPr>
        <w:t>е</w:t>
      </w:r>
      <w:r>
        <w:rPr>
          <w:spacing w:val="-2"/>
        </w:rPr>
        <w:t>чающего интересам женщин (Гессен)</w:t>
      </w:r>
    </w:p>
    <w:p w:rsidR="00000000" w:rsidRDefault="00000000">
      <w:pPr>
        <w:pStyle w:val="SingleTxt"/>
        <w:ind w:left="1985" w:hanging="244"/>
        <w:rPr>
          <w:spacing w:val="-2"/>
        </w:rPr>
      </w:pPr>
      <w:r>
        <w:rPr>
          <w:spacing w:val="-2"/>
        </w:rPr>
        <w:t>-</w:t>
      </w:r>
      <w:r>
        <w:rPr>
          <w:spacing w:val="-2"/>
        </w:rPr>
        <w:tab/>
        <w:t>Проект строительства жилья под названием "Жилье, отвечающее потребн</w:t>
      </w:r>
      <w:r>
        <w:rPr>
          <w:spacing w:val="-2"/>
        </w:rPr>
        <w:t>о</w:t>
      </w:r>
      <w:r>
        <w:rPr>
          <w:spacing w:val="-2"/>
        </w:rPr>
        <w:t>стям женщин, в конве</w:t>
      </w:r>
      <w:r>
        <w:rPr>
          <w:spacing w:val="-2"/>
        </w:rPr>
        <w:t>р</w:t>
      </w:r>
      <w:r>
        <w:rPr>
          <w:spacing w:val="-2"/>
        </w:rPr>
        <w:t>сионных фондах" (Гессен)</w:t>
      </w:r>
    </w:p>
    <w:p w:rsidR="00000000" w:rsidRDefault="00000000">
      <w:pPr>
        <w:pStyle w:val="SingleTxt"/>
        <w:ind w:left="1985" w:hanging="244"/>
        <w:rPr>
          <w:spacing w:val="-2"/>
        </w:rPr>
      </w:pPr>
      <w:r>
        <w:rPr>
          <w:spacing w:val="-2"/>
        </w:rPr>
        <w:t>-</w:t>
      </w:r>
      <w:r>
        <w:rPr>
          <w:spacing w:val="-2"/>
        </w:rPr>
        <w:tab/>
        <w:t>Потребности женщин в передвижении в качестве одного из критериев, к</w:t>
      </w:r>
      <w:r>
        <w:rPr>
          <w:spacing w:val="-2"/>
        </w:rPr>
        <w:t>о</w:t>
      </w:r>
      <w:r>
        <w:rPr>
          <w:spacing w:val="-2"/>
        </w:rPr>
        <w:t>торый необходимо учитывать при планировании работы местного пасс</w:t>
      </w:r>
      <w:r>
        <w:rPr>
          <w:spacing w:val="-2"/>
        </w:rPr>
        <w:t>а</w:t>
      </w:r>
      <w:r>
        <w:rPr>
          <w:spacing w:val="-2"/>
        </w:rPr>
        <w:t>жирского транспорта (Мекленбург-Западная Померания)</w:t>
      </w:r>
    </w:p>
    <w:p w:rsidR="00000000" w:rsidRDefault="00000000">
      <w:pPr>
        <w:pStyle w:val="SingleTxt"/>
        <w:ind w:left="1985" w:hanging="244"/>
        <w:rPr>
          <w:spacing w:val="-2"/>
        </w:rPr>
      </w:pPr>
      <w:r>
        <w:rPr>
          <w:spacing w:val="-2"/>
        </w:rPr>
        <w:t>-</w:t>
      </w:r>
      <w:r>
        <w:rPr>
          <w:spacing w:val="-2"/>
        </w:rPr>
        <w:tab/>
        <w:t>Транспортная концепция, отвечающая интересам женщин и обеспечива</w:t>
      </w:r>
      <w:r>
        <w:rPr>
          <w:spacing w:val="-2"/>
        </w:rPr>
        <w:t>ю</w:t>
      </w:r>
      <w:r>
        <w:rPr>
          <w:spacing w:val="-2"/>
        </w:rPr>
        <w:t>щая учет вопросов, вызывающих тревогу у женщин, в земельных законах о м</w:t>
      </w:r>
      <w:r>
        <w:rPr>
          <w:spacing w:val="-2"/>
        </w:rPr>
        <w:t>е</w:t>
      </w:r>
      <w:r>
        <w:rPr>
          <w:spacing w:val="-2"/>
        </w:rPr>
        <w:t>стном пассажирском транспорте (Северный Рейн-Вестфалия)</w:t>
      </w:r>
    </w:p>
    <w:p w:rsidR="00000000" w:rsidRDefault="00000000">
      <w:pPr>
        <w:pStyle w:val="SingleTxt"/>
        <w:ind w:left="1985" w:hanging="244"/>
        <w:rPr>
          <w:spacing w:val="-2"/>
        </w:rPr>
      </w:pPr>
      <w:r>
        <w:rPr>
          <w:spacing w:val="-2"/>
        </w:rPr>
        <w:t>-</w:t>
      </w:r>
      <w:r>
        <w:rPr>
          <w:spacing w:val="-2"/>
        </w:rPr>
        <w:tab/>
        <w:t>Проекты развития городов/округов, отвечающего интересам женщин (н</w:t>
      </w:r>
      <w:r>
        <w:rPr>
          <w:spacing w:val="-2"/>
        </w:rPr>
        <w:t>а</w:t>
      </w:r>
      <w:r>
        <w:rPr>
          <w:spacing w:val="-2"/>
        </w:rPr>
        <w:t>пример в Хагене и Бергк</w:t>
      </w:r>
      <w:r>
        <w:rPr>
          <w:spacing w:val="-2"/>
        </w:rPr>
        <w:t>а</w:t>
      </w:r>
      <w:r>
        <w:rPr>
          <w:spacing w:val="-2"/>
        </w:rPr>
        <w:t>мене) (Северный Рейн-Вестфалия)</w:t>
      </w:r>
    </w:p>
    <w:p w:rsidR="00000000" w:rsidRDefault="00000000">
      <w:pPr>
        <w:pStyle w:val="SingleTxt"/>
        <w:ind w:left="1985" w:hanging="244"/>
        <w:rPr>
          <w:spacing w:val="-2"/>
        </w:rPr>
      </w:pPr>
      <w:r>
        <w:rPr>
          <w:spacing w:val="-2"/>
        </w:rPr>
        <w:t>-</w:t>
      </w:r>
      <w:r>
        <w:rPr>
          <w:spacing w:val="-2"/>
        </w:rPr>
        <w:tab/>
        <w:t>Юридическое обязательство отводить женщинам специальные места для парковки на крупных автостоянках – Указ о парковке автомобилей (Garagenverordnung) (Северный Рейн-Вестфалия)</w:t>
      </w:r>
    </w:p>
    <w:p w:rsidR="00000000" w:rsidRDefault="00000000">
      <w:pPr>
        <w:pStyle w:val="SingleTxt"/>
        <w:ind w:left="1985" w:hanging="244"/>
        <w:rPr>
          <w:spacing w:val="-2"/>
        </w:rPr>
      </w:pPr>
      <w:r>
        <w:rPr>
          <w:spacing w:val="-2"/>
        </w:rPr>
        <w:t>-</w:t>
      </w:r>
      <w:r>
        <w:rPr>
          <w:spacing w:val="-2"/>
        </w:rPr>
        <w:tab/>
        <w:t>Первоочередное выделение широко рекламируемого муниципального ж</w:t>
      </w:r>
      <w:r>
        <w:rPr>
          <w:spacing w:val="-2"/>
        </w:rPr>
        <w:t>и</w:t>
      </w:r>
      <w:r>
        <w:rPr>
          <w:spacing w:val="-2"/>
        </w:rPr>
        <w:t>лья и др. одиноким родителям и женщинам, проживающим в женских пр</w:t>
      </w:r>
      <w:r>
        <w:rPr>
          <w:spacing w:val="-2"/>
        </w:rPr>
        <w:t>и</w:t>
      </w:r>
      <w:r>
        <w:rPr>
          <w:spacing w:val="-2"/>
        </w:rPr>
        <w:t>ютах – с 1990 года (Северный Рейн-Вестфалия)</w:t>
      </w:r>
    </w:p>
    <w:p w:rsidR="00000000" w:rsidRDefault="00000000">
      <w:pPr>
        <w:pStyle w:val="SingleTxt"/>
        <w:ind w:left="1985" w:hanging="244"/>
        <w:rPr>
          <w:spacing w:val="-2"/>
        </w:rPr>
      </w:pPr>
      <w:r>
        <w:rPr>
          <w:spacing w:val="-2"/>
        </w:rPr>
        <w:t>-</w:t>
      </w:r>
      <w:r>
        <w:rPr>
          <w:spacing w:val="-2"/>
        </w:rPr>
        <w:tab/>
        <w:t>Публикация информационного документа по вопросам жилищной полит</w:t>
      </w:r>
      <w:r>
        <w:rPr>
          <w:spacing w:val="-2"/>
        </w:rPr>
        <w:t>и</w:t>
      </w:r>
      <w:r>
        <w:rPr>
          <w:spacing w:val="-2"/>
        </w:rPr>
        <w:t>ки, отвечающей интересам женщин и семей ("Совместное планирование – путь к добрососедству – Перспективы рациональной политики в интересах женщин и с</w:t>
      </w:r>
      <w:r>
        <w:rPr>
          <w:spacing w:val="-2"/>
        </w:rPr>
        <w:t>е</w:t>
      </w:r>
      <w:r>
        <w:rPr>
          <w:spacing w:val="-2"/>
        </w:rPr>
        <w:t>мей в Северном Рейне-Вестфалии") (Северный Рейн-Вестфалия)</w:t>
      </w:r>
    </w:p>
    <w:p w:rsidR="00000000" w:rsidRDefault="00000000">
      <w:pPr>
        <w:pStyle w:val="SingleTxt"/>
        <w:ind w:left="1985" w:hanging="244"/>
        <w:rPr>
          <w:spacing w:val="-2"/>
        </w:rPr>
      </w:pPr>
      <w:r>
        <w:rPr>
          <w:spacing w:val="-2"/>
        </w:rPr>
        <w:t>-</w:t>
      </w:r>
      <w:r>
        <w:rPr>
          <w:spacing w:val="-2"/>
        </w:rPr>
        <w:tab/>
        <w:t>Вопросы, вызывающие тревогу у женщин, в Повестке дня на XXI век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Справочник под названием "Безопасные места – принцип планирования, направленный на повышение безопасности граждан в общественных ме</w:t>
      </w:r>
      <w:r>
        <w:rPr>
          <w:spacing w:val="-2"/>
        </w:rPr>
        <w:t>с</w:t>
      </w:r>
      <w:r>
        <w:rPr>
          <w:spacing w:val="-2"/>
        </w:rPr>
        <w:t>тах"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Деятельность в интересах женщин в сельских районах, включая создание новых возможностей занятости для жен фермеров, повышение мобильн</w:t>
      </w:r>
      <w:r>
        <w:rPr>
          <w:spacing w:val="-2"/>
        </w:rPr>
        <w:t>о</w:t>
      </w:r>
      <w:r>
        <w:rPr>
          <w:spacing w:val="-2"/>
        </w:rPr>
        <w:t>сти, а также имеющие отношение к женщинам аспекты регионального ра</w:t>
      </w:r>
      <w:r>
        <w:rPr>
          <w:spacing w:val="-2"/>
        </w:rPr>
        <w:t>з</w:t>
      </w:r>
      <w:r>
        <w:rPr>
          <w:spacing w:val="-2"/>
        </w:rPr>
        <w:t>вития (Северный Рейн-Вестфалия)</w:t>
      </w:r>
    </w:p>
    <w:p w:rsidR="00000000" w:rsidRDefault="00000000">
      <w:pPr>
        <w:pStyle w:val="SingleTxt"/>
        <w:ind w:left="1985" w:hanging="244"/>
        <w:rPr>
          <w:spacing w:val="-2"/>
        </w:rPr>
      </w:pPr>
      <w:r>
        <w:rPr>
          <w:spacing w:val="-2"/>
        </w:rPr>
        <w:t>-</w:t>
      </w:r>
      <w:r>
        <w:rPr>
          <w:spacing w:val="-2"/>
        </w:rPr>
        <w:tab/>
        <w:t>Проект строительства жилья для людей различных поколений, конкретно ориентированный на женщин, под названием "Наследие Мартина Лютера Кинга", 1998 год (Рейнланд-Пфальц)</w:t>
      </w:r>
    </w:p>
    <w:p w:rsidR="00000000" w:rsidRDefault="00000000">
      <w:pPr>
        <w:pStyle w:val="SingleTxt"/>
        <w:ind w:left="1985" w:hanging="244"/>
        <w:rPr>
          <w:spacing w:val="-2"/>
        </w:rPr>
      </w:pPr>
      <w:r>
        <w:rPr>
          <w:spacing w:val="-2"/>
        </w:rPr>
        <w:t>-</w:t>
      </w:r>
      <w:r>
        <w:rPr>
          <w:spacing w:val="-2"/>
        </w:rPr>
        <w:tab/>
        <w:t>Отражение аспектов политики равных возможностей в земельной иници</w:t>
      </w:r>
      <w:r>
        <w:rPr>
          <w:spacing w:val="-2"/>
        </w:rPr>
        <w:t>а</w:t>
      </w:r>
      <w:r>
        <w:rPr>
          <w:spacing w:val="-2"/>
        </w:rPr>
        <w:t>тиве под названием "Город XXI века", предназначенной для социально н</w:t>
      </w:r>
      <w:r>
        <w:rPr>
          <w:spacing w:val="-2"/>
        </w:rPr>
        <w:t>е</w:t>
      </w:r>
      <w:r>
        <w:rPr>
          <w:spacing w:val="-2"/>
        </w:rPr>
        <w:t>благ</w:t>
      </w:r>
      <w:r>
        <w:rPr>
          <w:spacing w:val="-2"/>
        </w:rPr>
        <w:t>о</w:t>
      </w:r>
      <w:r>
        <w:rPr>
          <w:spacing w:val="-2"/>
        </w:rPr>
        <w:t>получных округов (Саксония-Айнхальт)</w:t>
      </w:r>
    </w:p>
    <w:p w:rsidR="00000000" w:rsidRDefault="00000000">
      <w:pPr>
        <w:pStyle w:val="SingleTxt"/>
        <w:ind w:left="1985" w:hanging="244"/>
        <w:rPr>
          <w:spacing w:val="-2"/>
        </w:rPr>
      </w:pPr>
      <w:r>
        <w:rPr>
          <w:spacing w:val="-2"/>
        </w:rPr>
        <w:t>-</w:t>
      </w:r>
      <w:r>
        <w:rPr>
          <w:spacing w:val="-2"/>
        </w:rPr>
        <w:tab/>
        <w:t>Сборник рекомендаций под названием "Женщины и город" по планиров</w:t>
      </w:r>
      <w:r>
        <w:rPr>
          <w:spacing w:val="-2"/>
        </w:rPr>
        <w:t>а</w:t>
      </w:r>
      <w:r>
        <w:rPr>
          <w:spacing w:val="-2"/>
        </w:rPr>
        <w:t>нию жилищных условий с точки зрения обоих полов (Саксония-Айнхальт)</w:t>
      </w:r>
    </w:p>
    <w:p w:rsidR="00000000" w:rsidRDefault="00000000">
      <w:pPr>
        <w:pStyle w:val="SingleTxt"/>
        <w:ind w:left="1985" w:hanging="244"/>
        <w:rPr>
          <w:spacing w:val="-2"/>
        </w:rPr>
      </w:pPr>
      <w:r>
        <w:rPr>
          <w:spacing w:val="-2"/>
        </w:rPr>
        <w:t>-</w:t>
      </w:r>
      <w:r>
        <w:rPr>
          <w:spacing w:val="-2"/>
        </w:rPr>
        <w:tab/>
        <w:t>Имеющие отношение к женщинам аспекты программы регионального пл</w:t>
      </w:r>
      <w:r>
        <w:rPr>
          <w:spacing w:val="-2"/>
        </w:rPr>
        <w:t>а</w:t>
      </w:r>
      <w:r>
        <w:rPr>
          <w:spacing w:val="-2"/>
        </w:rPr>
        <w:t>нирования Центральной Тюрингии (ПРОП) (Тюрингия)</w:t>
      </w:r>
    </w:p>
    <w:p w:rsidR="00000000" w:rsidRDefault="00000000">
      <w:pPr>
        <w:pStyle w:val="SingleTxt"/>
        <w:ind w:left="1985" w:hanging="244"/>
        <w:rPr>
          <w:spacing w:val="-2"/>
        </w:rPr>
      </w:pPr>
      <w:r>
        <w:rPr>
          <w:spacing w:val="-2"/>
        </w:rPr>
        <w:t>-</w:t>
      </w:r>
      <w:r>
        <w:rPr>
          <w:spacing w:val="-2"/>
        </w:rPr>
        <w:tab/>
        <w:t>Проблемы равенства в рамках почти 40 концепций регионального развития (РЕК) (Тюрингия)</w:t>
      </w:r>
    </w:p>
    <w:p w:rsidR="00000000" w:rsidRDefault="00000000">
      <w:pPr>
        <w:pStyle w:val="SingleTxt"/>
        <w:ind w:left="1985" w:hanging="244"/>
        <w:rPr>
          <w:spacing w:val="-2"/>
        </w:rPr>
      </w:pPr>
      <w:r>
        <w:rPr>
          <w:spacing w:val="-2"/>
        </w:rPr>
        <w:t>-</w:t>
      </w:r>
      <w:r>
        <w:rPr>
          <w:spacing w:val="-2"/>
        </w:rPr>
        <w:tab/>
        <w:t>Публикация справочников для женщин муниципальными органами по обеспечению равенства (например, женских календарей/женских телефо</w:t>
      </w:r>
      <w:r>
        <w:rPr>
          <w:spacing w:val="-2"/>
        </w:rPr>
        <w:t>н</w:t>
      </w:r>
      <w:r>
        <w:rPr>
          <w:spacing w:val="-2"/>
        </w:rPr>
        <w:t>ных спр</w:t>
      </w:r>
      <w:r>
        <w:rPr>
          <w:spacing w:val="-2"/>
        </w:rPr>
        <w:t>а</w:t>
      </w:r>
      <w:r>
        <w:rPr>
          <w:spacing w:val="-2"/>
        </w:rPr>
        <w:t>вочников) (Тюрингия)</w:t>
      </w:r>
    </w:p>
    <w:p w:rsidR="00000000" w:rsidRDefault="00000000">
      <w:pPr>
        <w:pStyle w:val="SingleTxt"/>
        <w:ind w:left="1985" w:hanging="244"/>
        <w:rPr>
          <w:spacing w:val="-2"/>
        </w:rPr>
      </w:pPr>
      <w:r>
        <w:rPr>
          <w:spacing w:val="-2"/>
        </w:rPr>
        <w:t>-</w:t>
      </w:r>
      <w:r>
        <w:rPr>
          <w:spacing w:val="-2"/>
        </w:rPr>
        <w:tab/>
        <w:t>Проект строительства жилья для женщин, принадлежащих к различным п</w:t>
      </w:r>
      <w:r>
        <w:rPr>
          <w:spacing w:val="-2"/>
        </w:rPr>
        <w:t>о</w:t>
      </w:r>
      <w:r>
        <w:rPr>
          <w:spacing w:val="-2"/>
        </w:rPr>
        <w:t>колениям, который находится на стадии предварительного планирования – Leinefelde (Тюрингия)</w:t>
      </w:r>
    </w:p>
    <w:p w:rsidR="00000000" w:rsidRDefault="00000000">
      <w:pPr>
        <w:pStyle w:val="SingleTxt"/>
        <w:ind w:left="1985" w:hanging="244"/>
        <w:rPr>
          <w:spacing w:val="-2"/>
        </w:rPr>
      </w:pPr>
      <w:r>
        <w:rPr>
          <w:spacing w:val="-2"/>
        </w:rPr>
        <w:t>-</w:t>
      </w:r>
      <w:r>
        <w:rPr>
          <w:spacing w:val="-2"/>
        </w:rPr>
        <w:tab/>
        <w:t>Руководящие принципы Тюрингии в отношении стимулирования стро</w:t>
      </w:r>
      <w:r>
        <w:rPr>
          <w:spacing w:val="-2"/>
        </w:rPr>
        <w:t>и</w:t>
      </w:r>
      <w:r>
        <w:rPr>
          <w:spacing w:val="-2"/>
        </w:rPr>
        <w:t>тельства жилья – приоритетное строительство жилья для беременных же</w:t>
      </w:r>
      <w:r>
        <w:rPr>
          <w:spacing w:val="-2"/>
        </w:rPr>
        <w:t>н</w:t>
      </w:r>
      <w:r>
        <w:rPr>
          <w:spacing w:val="-2"/>
        </w:rPr>
        <w:t>щин и одиноких родителей (Тюрингия)</w:t>
      </w:r>
    </w:p>
    <w:p w:rsidR="00000000" w:rsidRDefault="00000000">
      <w:pPr>
        <w:pStyle w:val="H4"/>
      </w:pPr>
      <w:bookmarkStart w:id="869" w:name="_Toc44113886"/>
      <w:bookmarkStart w:id="870" w:name="_Toc44114395"/>
      <w:bookmarkStart w:id="871" w:name="_Toc44116077"/>
      <w:r>
        <w:t>j)</w:t>
      </w:r>
      <w:r>
        <w:tab/>
        <w:t>Местная политика в отношении женщин</w:t>
      </w:r>
      <w:bookmarkEnd w:id="869"/>
      <w:bookmarkEnd w:id="870"/>
      <w:bookmarkEnd w:id="871"/>
    </w:p>
    <w:p w:rsidR="00000000" w:rsidRDefault="00000000">
      <w:pPr>
        <w:pStyle w:val="SingleTxt"/>
        <w:ind w:left="1985" w:hanging="244"/>
        <w:rPr>
          <w:spacing w:val="-2"/>
        </w:rPr>
      </w:pPr>
      <w:r>
        <w:rPr>
          <w:spacing w:val="-2"/>
        </w:rPr>
        <w:t>-</w:t>
      </w:r>
      <w:r>
        <w:rPr>
          <w:spacing w:val="-2"/>
        </w:rPr>
        <w:tab/>
        <w:t>Положения закона, касающиеся назначения и участия местных уполном</w:t>
      </w:r>
      <w:r>
        <w:rPr>
          <w:spacing w:val="-2"/>
        </w:rPr>
        <w:t>о</w:t>
      </w:r>
      <w:r>
        <w:rPr>
          <w:spacing w:val="-2"/>
        </w:rPr>
        <w:t>ченных по вопросам женщин и равенства (юридическое обязательство н</w:t>
      </w:r>
      <w:r>
        <w:rPr>
          <w:spacing w:val="-2"/>
        </w:rPr>
        <w:t>а</w:t>
      </w:r>
      <w:r>
        <w:rPr>
          <w:spacing w:val="-2"/>
        </w:rPr>
        <w:t>значать штатных уполномоченных по вопросам равенства в городах, мес</w:t>
      </w:r>
      <w:r>
        <w:rPr>
          <w:spacing w:val="-2"/>
        </w:rPr>
        <w:t>т</w:t>
      </w:r>
      <w:r>
        <w:rPr>
          <w:spacing w:val="-2"/>
        </w:rPr>
        <w:t>ных органах власти и округах с населением свыше 10 тыс. жителей) (Севе</w:t>
      </w:r>
      <w:r>
        <w:rPr>
          <w:spacing w:val="-2"/>
        </w:rPr>
        <w:t>р</w:t>
      </w:r>
      <w:r>
        <w:rPr>
          <w:spacing w:val="-2"/>
        </w:rPr>
        <w:t>ный Рейн-Вестфалия, Шлезвиг-Гольштейн)</w:t>
      </w:r>
    </w:p>
    <w:p w:rsidR="00000000" w:rsidRDefault="00000000">
      <w:pPr>
        <w:pStyle w:val="SingleTxt"/>
        <w:ind w:left="1985" w:hanging="244"/>
        <w:rPr>
          <w:spacing w:val="-2"/>
        </w:rPr>
      </w:pPr>
      <w:r>
        <w:rPr>
          <w:spacing w:val="-2"/>
        </w:rPr>
        <w:t>-</w:t>
      </w:r>
      <w:r>
        <w:rPr>
          <w:spacing w:val="-2"/>
        </w:rPr>
        <w:tab/>
        <w:t>Содействие регистрации Земельной рабочей группы женских отделов и с</w:t>
      </w:r>
      <w:r>
        <w:rPr>
          <w:spacing w:val="-2"/>
        </w:rPr>
        <w:t>о</w:t>
      </w:r>
      <w:r>
        <w:rPr>
          <w:spacing w:val="-2"/>
        </w:rPr>
        <w:t>ветов по обеспечению равных возможностей (Северный Рейн-Вестфалия,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Сотрудничество с местными уполномоченными по вопросам равенства (Б</w:t>
      </w:r>
      <w:r>
        <w:rPr>
          <w:spacing w:val="-2"/>
        </w:rPr>
        <w:t>а</w:t>
      </w:r>
      <w:r>
        <w:rPr>
          <w:spacing w:val="-2"/>
        </w:rPr>
        <w:t>ден-Вюртемберг, Рей</w:t>
      </w:r>
      <w:r>
        <w:rPr>
          <w:spacing w:val="-2"/>
        </w:rPr>
        <w:t>н</w:t>
      </w:r>
      <w:r>
        <w:rPr>
          <w:spacing w:val="-2"/>
        </w:rPr>
        <w:t>ланд-Пфальц, Саар, Саксония)</w:t>
      </w:r>
    </w:p>
    <w:p w:rsidR="00000000" w:rsidRDefault="00000000">
      <w:pPr>
        <w:pStyle w:val="SingleTxt"/>
        <w:ind w:left="1985" w:hanging="244"/>
        <w:rPr>
          <w:spacing w:val="-2"/>
        </w:rPr>
      </w:pPr>
      <w:r>
        <w:rPr>
          <w:spacing w:val="-2"/>
        </w:rPr>
        <w:t>-</w:t>
      </w:r>
      <w:r>
        <w:rPr>
          <w:spacing w:val="-2"/>
        </w:rPr>
        <w:tab/>
        <w:t>Исследования рамочных условий, направленности проводимой работы и подготовки кадров для работы по обеспечению равенства на местном уро</w:t>
      </w:r>
      <w:r>
        <w:rPr>
          <w:spacing w:val="-2"/>
        </w:rPr>
        <w:t>в</w:t>
      </w:r>
      <w:r>
        <w:rPr>
          <w:spacing w:val="-2"/>
        </w:rPr>
        <w:t>не и потенциальные успехи (Северный Рейн-Вестфалия, Са</w:t>
      </w:r>
      <w:r>
        <w:rPr>
          <w:spacing w:val="-2"/>
        </w:rPr>
        <w:t>к</w:t>
      </w:r>
      <w:r>
        <w:rPr>
          <w:spacing w:val="-2"/>
        </w:rPr>
        <w:t>сония-Айнхальт)</w:t>
      </w:r>
    </w:p>
    <w:p w:rsidR="00000000" w:rsidRDefault="00000000">
      <w:pPr>
        <w:pStyle w:val="SingleTxt"/>
        <w:ind w:left="1985" w:hanging="244"/>
        <w:rPr>
          <w:spacing w:val="-2"/>
        </w:rPr>
      </w:pPr>
      <w:r>
        <w:rPr>
          <w:spacing w:val="-2"/>
        </w:rPr>
        <w:t>-</w:t>
      </w:r>
      <w:r>
        <w:rPr>
          <w:spacing w:val="-2"/>
        </w:rPr>
        <w:tab/>
        <w:t>Промежуточный доклад о положении местных уполномоченных по обесп</w:t>
      </w:r>
      <w:r>
        <w:rPr>
          <w:spacing w:val="-2"/>
        </w:rPr>
        <w:t>е</w:t>
      </w:r>
      <w:r>
        <w:rPr>
          <w:spacing w:val="-2"/>
        </w:rPr>
        <w:t>чению равенства в земле Бранденбург (опубликованный министерством труда, социальных дел, здравоохранения и по делам женщин в октябре 2000 года) (Бранде</w:t>
      </w:r>
      <w:r>
        <w:rPr>
          <w:spacing w:val="-2"/>
        </w:rPr>
        <w:t>н</w:t>
      </w:r>
      <w:r>
        <w:rPr>
          <w:spacing w:val="-2"/>
        </w:rPr>
        <w:t>бург)</w:t>
      </w:r>
    </w:p>
    <w:p w:rsidR="00000000" w:rsidRDefault="00000000">
      <w:pPr>
        <w:pStyle w:val="SingleTxt"/>
        <w:ind w:left="1985" w:hanging="244"/>
        <w:rPr>
          <w:spacing w:val="-2"/>
        </w:rPr>
      </w:pPr>
      <w:r>
        <w:rPr>
          <w:spacing w:val="-2"/>
        </w:rPr>
        <w:t>-</w:t>
      </w:r>
      <w:r>
        <w:rPr>
          <w:spacing w:val="-2"/>
        </w:rPr>
        <w:tab/>
        <w:t>Порядок назначения и функции уполномоченных по вопросам равенства в статутах местных орг</w:t>
      </w:r>
      <w:r>
        <w:rPr>
          <w:spacing w:val="-2"/>
        </w:rPr>
        <w:t>а</w:t>
      </w:r>
      <w:r>
        <w:rPr>
          <w:spacing w:val="-2"/>
        </w:rPr>
        <w:t>нов управления (Мекленбург-Западная Померания)</w:t>
      </w:r>
    </w:p>
    <w:p w:rsidR="00000000" w:rsidRDefault="00000000">
      <w:pPr>
        <w:pStyle w:val="SingleTxt"/>
        <w:ind w:left="1985" w:hanging="244"/>
        <w:rPr>
          <w:spacing w:val="-2"/>
        </w:rPr>
      </w:pPr>
      <w:r>
        <w:rPr>
          <w:spacing w:val="-2"/>
        </w:rPr>
        <w:t>-</w:t>
      </w:r>
      <w:r>
        <w:rPr>
          <w:spacing w:val="-2"/>
        </w:rPr>
        <w:tab/>
        <w:t>Сетевое управление местных уполномоченных по вопросам равенства и по делам женщин в Нижней Саксонии</w:t>
      </w:r>
    </w:p>
    <w:p w:rsidR="00000000" w:rsidRDefault="00000000">
      <w:pPr>
        <w:pStyle w:val="SingleTxt"/>
        <w:ind w:left="1985" w:hanging="244"/>
        <w:rPr>
          <w:spacing w:val="-2"/>
        </w:rPr>
      </w:pPr>
      <w:r>
        <w:rPr>
          <w:spacing w:val="-2"/>
        </w:rPr>
        <w:t>-</w:t>
      </w:r>
      <w:r>
        <w:rPr>
          <w:spacing w:val="-2"/>
        </w:rPr>
        <w:tab/>
        <w:t>Сетевое управление уполномоченных по вопросам равенства в Рейнланд-Пфальце</w:t>
      </w:r>
    </w:p>
    <w:p w:rsidR="00000000" w:rsidRDefault="00000000">
      <w:pPr>
        <w:pStyle w:val="SingleTxt"/>
        <w:ind w:left="1985" w:hanging="244"/>
        <w:rPr>
          <w:spacing w:val="-2"/>
        </w:rPr>
      </w:pPr>
      <w:r>
        <w:rPr>
          <w:spacing w:val="-2"/>
        </w:rPr>
        <w:t>-</w:t>
      </w:r>
      <w:r>
        <w:rPr>
          <w:spacing w:val="-2"/>
        </w:rPr>
        <w:tab/>
        <w:t>Юридическое положение, содержащееся в постановлении о муниципалит</w:t>
      </w:r>
      <w:r>
        <w:rPr>
          <w:spacing w:val="-2"/>
        </w:rPr>
        <w:t>е</w:t>
      </w:r>
      <w:r>
        <w:rPr>
          <w:spacing w:val="-2"/>
        </w:rPr>
        <w:t>тах и сельских округах, об образовании местных советов по обеспечению равных возможностей и издание административных положений о функциях местных упра</w:t>
      </w:r>
      <w:r>
        <w:rPr>
          <w:spacing w:val="-2"/>
        </w:rPr>
        <w:t>в</w:t>
      </w:r>
      <w:r>
        <w:rPr>
          <w:spacing w:val="-2"/>
        </w:rPr>
        <w:t>лений по обеспечению равенства (Рейнланд-Пфальц)</w:t>
      </w:r>
    </w:p>
    <w:p w:rsidR="00000000" w:rsidRDefault="00000000">
      <w:pPr>
        <w:pStyle w:val="SingleTxt"/>
        <w:ind w:left="1985" w:hanging="244"/>
        <w:rPr>
          <w:spacing w:val="-2"/>
        </w:rPr>
      </w:pPr>
      <w:r>
        <w:rPr>
          <w:spacing w:val="-2"/>
        </w:rPr>
        <w:t>-</w:t>
      </w:r>
      <w:r>
        <w:rPr>
          <w:spacing w:val="-2"/>
        </w:rPr>
        <w:tab/>
        <w:t>Положение Земельного закона об обеспечении равенства об образовании местных советов по обеспечению равных возможностей при местных орг</w:t>
      </w:r>
      <w:r>
        <w:rPr>
          <w:spacing w:val="-2"/>
        </w:rPr>
        <w:t>а</w:t>
      </w:r>
      <w:r>
        <w:rPr>
          <w:spacing w:val="-2"/>
        </w:rPr>
        <w:t>нах вл</w:t>
      </w:r>
      <w:r>
        <w:rPr>
          <w:spacing w:val="-2"/>
        </w:rPr>
        <w:t>а</w:t>
      </w:r>
      <w:r>
        <w:rPr>
          <w:spacing w:val="-2"/>
        </w:rPr>
        <w:t>сти (Саар)</w:t>
      </w:r>
    </w:p>
    <w:p w:rsidR="00000000" w:rsidRDefault="00000000">
      <w:pPr>
        <w:pStyle w:val="SingleTxt"/>
        <w:ind w:left="1985" w:hanging="244"/>
        <w:rPr>
          <w:spacing w:val="-2"/>
        </w:rPr>
      </w:pPr>
      <w:r>
        <w:rPr>
          <w:spacing w:val="-2"/>
        </w:rPr>
        <w:t>-</w:t>
      </w:r>
      <w:r>
        <w:rPr>
          <w:spacing w:val="-2"/>
        </w:rPr>
        <w:tab/>
        <w:t>Сотрудничество с уполномоченными по вопросам равенства (включая н</w:t>
      </w:r>
      <w:r>
        <w:rPr>
          <w:spacing w:val="-2"/>
        </w:rPr>
        <w:t>а</w:t>
      </w:r>
      <w:r>
        <w:rPr>
          <w:spacing w:val="-2"/>
        </w:rPr>
        <w:t>блюдение со стороны экспертов), председателем региональной администр</w:t>
      </w:r>
      <w:r>
        <w:rPr>
          <w:spacing w:val="-2"/>
        </w:rPr>
        <w:t>а</w:t>
      </w:r>
      <w:r>
        <w:rPr>
          <w:spacing w:val="-2"/>
        </w:rPr>
        <w:t>ции и Земельной рабочей группой местных уполномоченных по вопросам равенства (Са</w:t>
      </w:r>
      <w:r>
        <w:rPr>
          <w:spacing w:val="-2"/>
        </w:rPr>
        <w:t>к</w:t>
      </w:r>
      <w:r>
        <w:rPr>
          <w:spacing w:val="-2"/>
        </w:rPr>
        <w:t>сония)</w:t>
      </w:r>
    </w:p>
    <w:p w:rsidR="00000000" w:rsidRDefault="00000000">
      <w:pPr>
        <w:pStyle w:val="SingleTxt"/>
        <w:ind w:left="1985" w:hanging="244"/>
        <w:rPr>
          <w:spacing w:val="-2"/>
        </w:rPr>
      </w:pPr>
      <w:r>
        <w:rPr>
          <w:spacing w:val="-2"/>
        </w:rPr>
        <w:t>-</w:t>
      </w:r>
      <w:r>
        <w:rPr>
          <w:spacing w:val="-2"/>
        </w:rPr>
        <w:tab/>
        <w:t>Поддержка проведения земельных конференций Земельной рабочей группы местных уполномоче</w:t>
      </w:r>
      <w:r>
        <w:rPr>
          <w:spacing w:val="-2"/>
        </w:rPr>
        <w:t>н</w:t>
      </w:r>
      <w:r>
        <w:rPr>
          <w:spacing w:val="-2"/>
        </w:rPr>
        <w:t>ных по вопросам равенства (Саксония)</w:t>
      </w:r>
    </w:p>
    <w:p w:rsidR="00000000" w:rsidRDefault="00000000">
      <w:pPr>
        <w:pStyle w:val="SingleTxt"/>
        <w:ind w:left="1985" w:hanging="244"/>
        <w:rPr>
          <w:spacing w:val="-2"/>
        </w:rPr>
      </w:pPr>
      <w:r>
        <w:rPr>
          <w:spacing w:val="-2"/>
        </w:rPr>
        <w:t>-</w:t>
      </w:r>
      <w:r>
        <w:rPr>
          <w:spacing w:val="-2"/>
        </w:rPr>
        <w:tab/>
        <w:t>Оказание содействия местным уполномоченным по вопросам равенства (Саксония)</w:t>
      </w:r>
    </w:p>
    <w:p w:rsidR="00000000" w:rsidRDefault="00000000">
      <w:pPr>
        <w:pStyle w:val="SingleTxt"/>
        <w:ind w:left="1985" w:hanging="244"/>
        <w:rPr>
          <w:spacing w:val="-2"/>
        </w:rPr>
      </w:pPr>
      <w:r>
        <w:rPr>
          <w:spacing w:val="-2"/>
        </w:rPr>
        <w:t>-</w:t>
      </w:r>
      <w:r>
        <w:rPr>
          <w:spacing w:val="-2"/>
        </w:rPr>
        <w:tab/>
        <w:t>Справочник по вопросам обеспечения равенства на местном уровне в Са</w:t>
      </w:r>
      <w:r>
        <w:rPr>
          <w:spacing w:val="-2"/>
        </w:rPr>
        <w:t>к</w:t>
      </w:r>
      <w:r>
        <w:rPr>
          <w:spacing w:val="-2"/>
        </w:rPr>
        <w:t>сонии под ред. государственного министерства по вопросам равенства же</w:t>
      </w:r>
      <w:r>
        <w:rPr>
          <w:spacing w:val="-2"/>
        </w:rPr>
        <w:t>н</w:t>
      </w:r>
      <w:r>
        <w:rPr>
          <w:spacing w:val="-2"/>
        </w:rPr>
        <w:t>щин и мужчин (Саксония)</w:t>
      </w:r>
    </w:p>
    <w:p w:rsidR="00000000" w:rsidRDefault="00000000">
      <w:pPr>
        <w:pStyle w:val="SingleTxt"/>
        <w:ind w:left="1985" w:hanging="244"/>
        <w:rPr>
          <w:spacing w:val="-2"/>
        </w:rPr>
      </w:pPr>
      <w:r>
        <w:rPr>
          <w:spacing w:val="-2"/>
        </w:rPr>
        <w:t>-</w:t>
      </w:r>
      <w:r>
        <w:rPr>
          <w:spacing w:val="-2"/>
        </w:rPr>
        <w:tab/>
        <w:t>Поощрение проведения Недели женщин Саксонии (Саксония)</w:t>
      </w:r>
    </w:p>
    <w:p w:rsidR="00000000" w:rsidRDefault="00000000">
      <w:pPr>
        <w:pStyle w:val="SingleTxt"/>
        <w:ind w:left="1985" w:hanging="244"/>
        <w:rPr>
          <w:spacing w:val="-2"/>
        </w:rPr>
      </w:pPr>
      <w:r>
        <w:rPr>
          <w:spacing w:val="-2"/>
        </w:rPr>
        <w:t>-</w:t>
      </w:r>
      <w:r>
        <w:rPr>
          <w:spacing w:val="-2"/>
        </w:rPr>
        <w:tab/>
        <w:t>Специальные мероприятия по обеспечению и повышению качества прое</w:t>
      </w:r>
      <w:r>
        <w:rPr>
          <w:spacing w:val="-2"/>
        </w:rPr>
        <w:t>к</w:t>
      </w:r>
      <w:r>
        <w:rPr>
          <w:spacing w:val="-2"/>
        </w:rPr>
        <w:t>тов, осуществляемых в и</w:t>
      </w:r>
      <w:r>
        <w:rPr>
          <w:spacing w:val="-2"/>
        </w:rPr>
        <w:t>н</w:t>
      </w:r>
      <w:r>
        <w:rPr>
          <w:spacing w:val="-2"/>
        </w:rPr>
        <w:t>тересах женщин Саксонии (Саксония)</w:t>
      </w:r>
    </w:p>
    <w:p w:rsidR="00000000" w:rsidRDefault="00000000">
      <w:pPr>
        <w:pStyle w:val="SingleTxt"/>
        <w:ind w:left="1985" w:hanging="244"/>
        <w:rPr>
          <w:spacing w:val="-2"/>
        </w:rPr>
      </w:pPr>
      <w:r>
        <w:rPr>
          <w:spacing w:val="-2"/>
        </w:rPr>
        <w:t>-</w:t>
      </w:r>
      <w:r>
        <w:rPr>
          <w:spacing w:val="-2"/>
        </w:rPr>
        <w:tab/>
        <w:t>Конференции по вопросам равноправия (Саксония)</w:t>
      </w:r>
    </w:p>
    <w:p w:rsidR="00000000" w:rsidRDefault="00000000">
      <w:pPr>
        <w:pStyle w:val="SingleTxt"/>
        <w:ind w:left="1985" w:hanging="244"/>
        <w:rPr>
          <w:spacing w:val="-2"/>
        </w:rPr>
      </w:pPr>
      <w:r>
        <w:rPr>
          <w:spacing w:val="-2"/>
        </w:rPr>
        <w:t>-</w:t>
      </w:r>
      <w:r>
        <w:rPr>
          <w:spacing w:val="-2"/>
        </w:rPr>
        <w:tab/>
        <w:t>Исследование и специальные конференции по теме "Оценка, обеспечение и повышение качества проектов, осуществляемых в интересах женщин Са</w:t>
      </w:r>
      <w:r>
        <w:rPr>
          <w:spacing w:val="-2"/>
        </w:rPr>
        <w:t>к</w:t>
      </w:r>
      <w:r>
        <w:rPr>
          <w:spacing w:val="-2"/>
        </w:rPr>
        <w:t>сонии" (Саксония)</w:t>
      </w:r>
    </w:p>
    <w:p w:rsidR="00000000" w:rsidRDefault="00000000">
      <w:pPr>
        <w:pStyle w:val="SingleTxt"/>
        <w:ind w:left="1985" w:hanging="244"/>
        <w:rPr>
          <w:spacing w:val="-2"/>
        </w:rPr>
      </w:pPr>
      <w:r>
        <w:rPr>
          <w:spacing w:val="-2"/>
        </w:rPr>
        <w:t>-</w:t>
      </w:r>
      <w:r>
        <w:rPr>
          <w:spacing w:val="-2"/>
        </w:rPr>
        <w:tab/>
        <w:t>Разработка концепций дополнительной подготовки кадров и реализация мер в области подготовки уполномоченных по обеспечению равенства (Бремен, Мекленбург-Западная Померания, Северный Рейн-Вестфалия, Саар)</w:t>
      </w:r>
    </w:p>
    <w:p w:rsidR="00000000" w:rsidRDefault="00000000">
      <w:pPr>
        <w:pStyle w:val="SingleTxt"/>
        <w:ind w:left="1985" w:hanging="244"/>
        <w:rPr>
          <w:spacing w:val="-2"/>
        </w:rPr>
      </w:pPr>
      <w:r>
        <w:rPr>
          <w:spacing w:val="-2"/>
        </w:rPr>
        <w:t>-</w:t>
      </w:r>
      <w:r>
        <w:rPr>
          <w:spacing w:val="-2"/>
        </w:rPr>
        <w:tab/>
        <w:t>Поддержка работы местных уполномоченных по вопросам равенства путем издания справочников, прочих публикаций, проведения совместных мер</w:t>
      </w:r>
      <w:r>
        <w:rPr>
          <w:spacing w:val="-2"/>
        </w:rPr>
        <w:t>о</w:t>
      </w:r>
      <w:r>
        <w:rPr>
          <w:spacing w:val="-2"/>
        </w:rPr>
        <w:t>при</w:t>
      </w:r>
      <w:r>
        <w:rPr>
          <w:spacing w:val="-2"/>
        </w:rPr>
        <w:t>я</w:t>
      </w:r>
      <w:r>
        <w:rPr>
          <w:spacing w:val="-2"/>
        </w:rPr>
        <w:t>тий и недель действий, налаживания деловых контактов (Мекленбург-Западная П</w:t>
      </w:r>
      <w:r>
        <w:rPr>
          <w:spacing w:val="-2"/>
        </w:rPr>
        <w:t>о</w:t>
      </w:r>
      <w:r>
        <w:rPr>
          <w:spacing w:val="-2"/>
        </w:rPr>
        <w:t>мерания, Северный Рейн-Вестфалия, Шлезвиг-Гольштейн)</w:t>
      </w:r>
    </w:p>
    <w:p w:rsidR="00000000" w:rsidRDefault="00000000">
      <w:pPr>
        <w:pStyle w:val="SingleTxt"/>
        <w:ind w:left="1985" w:hanging="244"/>
        <w:rPr>
          <w:spacing w:val="-2"/>
        </w:rPr>
      </w:pPr>
      <w:r>
        <w:rPr>
          <w:spacing w:val="-2"/>
        </w:rPr>
        <w:t>-</w:t>
      </w:r>
      <w:r>
        <w:rPr>
          <w:spacing w:val="-2"/>
        </w:rPr>
        <w:tab/>
        <w:t>Соглашение о сотрудничестве в области совершенствования управления между "ZGF Bremerhaven", "ÖTV", объединенным советом персонала и м</w:t>
      </w:r>
      <w:r>
        <w:rPr>
          <w:spacing w:val="-2"/>
        </w:rPr>
        <w:t>а</w:t>
      </w:r>
      <w:r>
        <w:rPr>
          <w:spacing w:val="-2"/>
        </w:rPr>
        <w:t>гистратом города Бремерхафен (Бремен)</w:t>
      </w:r>
    </w:p>
    <w:p w:rsidR="00000000" w:rsidRDefault="00000000">
      <w:pPr>
        <w:pStyle w:val="H4"/>
      </w:pPr>
      <w:bookmarkStart w:id="872" w:name="_Toc44113887"/>
      <w:bookmarkStart w:id="873" w:name="_Toc44114396"/>
      <w:bookmarkStart w:id="874" w:name="_Toc44116078"/>
      <w:r>
        <w:t>k)</w:t>
      </w:r>
      <w:r>
        <w:tab/>
        <w:t>Улучшение положения девушек</w:t>
      </w:r>
      <w:bookmarkEnd w:id="872"/>
      <w:bookmarkEnd w:id="873"/>
      <w:bookmarkEnd w:id="874"/>
    </w:p>
    <w:p w:rsidR="00000000" w:rsidRDefault="00000000">
      <w:pPr>
        <w:pStyle w:val="SingleTxt"/>
        <w:ind w:left="1985" w:hanging="244"/>
        <w:rPr>
          <w:spacing w:val="-2"/>
        </w:rPr>
      </w:pPr>
      <w:r>
        <w:rPr>
          <w:spacing w:val="-2"/>
        </w:rPr>
        <w:t>-</w:t>
      </w:r>
      <w:r>
        <w:rPr>
          <w:spacing w:val="-2"/>
        </w:rPr>
        <w:tab/>
        <w:t>Рекомендации о совершенствовании работы с девушками в рамках мол</w:t>
      </w:r>
      <w:r>
        <w:rPr>
          <w:spacing w:val="-2"/>
        </w:rPr>
        <w:t>о</w:t>
      </w:r>
      <w:r>
        <w:rPr>
          <w:spacing w:val="-2"/>
        </w:rPr>
        <w:t>дежных рекламно-пропагандистских мероприятий в соответствии с Законом о п</w:t>
      </w:r>
      <w:r>
        <w:rPr>
          <w:spacing w:val="-2"/>
        </w:rPr>
        <w:t>о</w:t>
      </w:r>
      <w:r>
        <w:rPr>
          <w:spacing w:val="-2"/>
        </w:rPr>
        <w:t>мощи детям и молодежи (Бремен, Тюрингия)</w:t>
      </w:r>
    </w:p>
    <w:p w:rsidR="00000000" w:rsidRDefault="00000000">
      <w:pPr>
        <w:pStyle w:val="SingleTxt"/>
        <w:ind w:left="1985" w:hanging="244"/>
        <w:rPr>
          <w:spacing w:val="-2"/>
        </w:rPr>
      </w:pPr>
      <w:r>
        <w:rPr>
          <w:spacing w:val="-2"/>
        </w:rPr>
        <w:t>-</w:t>
      </w:r>
      <w:r>
        <w:rPr>
          <w:spacing w:val="-2"/>
        </w:rPr>
        <w:tab/>
        <w:t>Оказание содействия Земельным управлениям по работе с девушками (Б</w:t>
      </w:r>
      <w:r>
        <w:rPr>
          <w:spacing w:val="-2"/>
        </w:rPr>
        <w:t>а</w:t>
      </w:r>
      <w:r>
        <w:rPr>
          <w:spacing w:val="-2"/>
        </w:rPr>
        <w:t>ден-Вюртемберг, Гессен, Саксония-Айнхальт, Тюрингия)</w:t>
      </w:r>
    </w:p>
    <w:p w:rsidR="00000000" w:rsidRDefault="00000000">
      <w:pPr>
        <w:pStyle w:val="SingleTxt"/>
        <w:ind w:left="1985" w:hanging="244"/>
        <w:rPr>
          <w:spacing w:val="-2"/>
        </w:rPr>
      </w:pPr>
      <w:r>
        <w:rPr>
          <w:spacing w:val="-2"/>
        </w:rPr>
        <w:t>-</w:t>
      </w:r>
      <w:r>
        <w:rPr>
          <w:spacing w:val="-2"/>
        </w:rPr>
        <w:tab/>
        <w:t>Оказание содействия проектам, мероприятиям, деятельности, публикация брошюр для девушек в процессе внешкольной работы с молодежью и общ</w:t>
      </w:r>
      <w:r>
        <w:rPr>
          <w:spacing w:val="-2"/>
        </w:rPr>
        <w:t>е</w:t>
      </w:r>
      <w:r>
        <w:rPr>
          <w:spacing w:val="-2"/>
        </w:rPr>
        <w:t>ственной работы молодежи (Бремен, Северный Рейн-Вестфалия, Рей</w:t>
      </w:r>
      <w:r>
        <w:rPr>
          <w:spacing w:val="-2"/>
        </w:rPr>
        <w:t>н</w:t>
      </w:r>
      <w:r>
        <w:rPr>
          <w:spacing w:val="-2"/>
        </w:rPr>
        <w:t>ланд-Пфальц, Саар)</w:t>
      </w:r>
    </w:p>
    <w:p w:rsidR="00000000" w:rsidRDefault="00000000">
      <w:pPr>
        <w:pStyle w:val="SingleTxt"/>
        <w:ind w:left="1985" w:hanging="244"/>
        <w:rPr>
          <w:spacing w:val="-2"/>
        </w:rPr>
      </w:pPr>
      <w:r>
        <w:rPr>
          <w:spacing w:val="-2"/>
        </w:rPr>
        <w:t>-</w:t>
      </w:r>
      <w:r>
        <w:rPr>
          <w:spacing w:val="-2"/>
        </w:rPr>
        <w:tab/>
        <w:t>Содействие проведению региональных Дней девушек (Бавария, Гессен, Т</w:t>
      </w:r>
      <w:r>
        <w:rPr>
          <w:spacing w:val="-2"/>
        </w:rPr>
        <w:t>ю</w:t>
      </w:r>
      <w:r>
        <w:rPr>
          <w:spacing w:val="-2"/>
        </w:rPr>
        <w:t>рингия)</w:t>
      </w:r>
    </w:p>
    <w:p w:rsidR="00000000" w:rsidRDefault="00000000">
      <w:pPr>
        <w:pStyle w:val="SingleTxt"/>
        <w:ind w:left="1985" w:hanging="244"/>
        <w:rPr>
          <w:spacing w:val="-2"/>
        </w:rPr>
      </w:pPr>
      <w:r>
        <w:rPr>
          <w:spacing w:val="-2"/>
        </w:rPr>
        <w:t>-</w:t>
      </w:r>
      <w:r>
        <w:rPr>
          <w:spacing w:val="-2"/>
        </w:rPr>
        <w:tab/>
        <w:t>Проекты освоения информационно-коммуникационных технологий деву</w:t>
      </w:r>
      <w:r>
        <w:rPr>
          <w:spacing w:val="-2"/>
        </w:rPr>
        <w:t>ш</w:t>
      </w:r>
      <w:r>
        <w:rPr>
          <w:spacing w:val="-2"/>
        </w:rPr>
        <w:t>ками (Баден-Вюртемберг)</w:t>
      </w:r>
    </w:p>
    <w:p w:rsidR="00000000" w:rsidRDefault="00000000">
      <w:pPr>
        <w:pStyle w:val="SingleTxt"/>
        <w:ind w:left="1985" w:hanging="244"/>
        <w:rPr>
          <w:spacing w:val="-2"/>
        </w:rPr>
      </w:pPr>
      <w:r>
        <w:rPr>
          <w:spacing w:val="-2"/>
        </w:rPr>
        <w:t>-</w:t>
      </w:r>
      <w:r>
        <w:rPr>
          <w:spacing w:val="-2"/>
        </w:rPr>
        <w:tab/>
        <w:t>"Можем ли мы что-нибудь сделать?!" – поощрение проектов в интересах д</w:t>
      </w:r>
      <w:r>
        <w:rPr>
          <w:spacing w:val="-2"/>
        </w:rPr>
        <w:t>е</w:t>
      </w:r>
      <w:r>
        <w:rPr>
          <w:spacing w:val="-2"/>
        </w:rPr>
        <w:t>вушек (Баден-Вюртемберг)</w:t>
      </w:r>
    </w:p>
    <w:p w:rsidR="00000000" w:rsidRDefault="00000000">
      <w:pPr>
        <w:pStyle w:val="SingleTxt"/>
        <w:ind w:left="1985" w:hanging="244"/>
        <w:rPr>
          <w:spacing w:val="-2"/>
        </w:rPr>
      </w:pPr>
      <w:r>
        <w:rPr>
          <w:spacing w:val="-2"/>
        </w:rPr>
        <w:t>-</w:t>
      </w:r>
      <w:r>
        <w:rPr>
          <w:spacing w:val="-2"/>
        </w:rPr>
        <w:tab/>
        <w:t>Специальная программа "FAMtotal" баварского молодежного кружка, к</w:t>
      </w:r>
      <w:r>
        <w:rPr>
          <w:spacing w:val="-2"/>
        </w:rPr>
        <w:t>а</w:t>
      </w:r>
      <w:r>
        <w:rPr>
          <w:spacing w:val="-2"/>
        </w:rPr>
        <w:t>сающаяся поощрения работы с девушками и молодыми женщинами в ко</w:t>
      </w:r>
      <w:r>
        <w:rPr>
          <w:spacing w:val="-2"/>
        </w:rPr>
        <w:t>н</w:t>
      </w:r>
      <w:r>
        <w:rPr>
          <w:spacing w:val="-2"/>
        </w:rPr>
        <w:t>тексте р</w:t>
      </w:r>
      <w:r>
        <w:rPr>
          <w:spacing w:val="-2"/>
        </w:rPr>
        <w:t>а</w:t>
      </w:r>
      <w:r>
        <w:rPr>
          <w:spacing w:val="-2"/>
        </w:rPr>
        <w:t>боты с молодежью в Баварии (Бавария)</w:t>
      </w:r>
    </w:p>
    <w:p w:rsidR="00000000" w:rsidRDefault="00000000">
      <w:pPr>
        <w:pStyle w:val="SingleTxt"/>
        <w:ind w:left="1985" w:hanging="244"/>
        <w:rPr>
          <w:spacing w:val="-2"/>
        </w:rPr>
      </w:pPr>
      <w:r>
        <w:rPr>
          <w:spacing w:val="-2"/>
        </w:rPr>
        <w:t>-</w:t>
      </w:r>
      <w:r>
        <w:rPr>
          <w:spacing w:val="-2"/>
        </w:rPr>
        <w:tab/>
        <w:t>Международная конференция по вопросу о работе с девушками в Европе (1999 год) и конференция по вопросам политики, касающейся девушек, проводившаяся баварским молодежным кружком в 2000 году (Б</w:t>
      </w:r>
      <w:r>
        <w:rPr>
          <w:spacing w:val="-2"/>
        </w:rPr>
        <w:t>а</w:t>
      </w:r>
      <w:r>
        <w:rPr>
          <w:spacing w:val="-2"/>
        </w:rPr>
        <w:t>вария)</w:t>
      </w:r>
    </w:p>
    <w:p w:rsidR="00000000" w:rsidRDefault="00000000">
      <w:pPr>
        <w:pStyle w:val="SingleTxt"/>
        <w:ind w:left="1985" w:hanging="244"/>
        <w:rPr>
          <w:spacing w:val="-2"/>
        </w:rPr>
      </w:pPr>
      <w:r>
        <w:rPr>
          <w:spacing w:val="-2"/>
        </w:rPr>
        <w:t>-</w:t>
      </w:r>
      <w:r>
        <w:rPr>
          <w:spacing w:val="-2"/>
        </w:rPr>
        <w:tab/>
        <w:t>Девушки на улицах – девушки выходят на улицы (демонстрация для дев</w:t>
      </w:r>
      <w:r>
        <w:rPr>
          <w:spacing w:val="-2"/>
        </w:rPr>
        <w:t>у</w:t>
      </w:r>
      <w:r>
        <w:rPr>
          <w:spacing w:val="-2"/>
        </w:rPr>
        <w:t>шек: Берлин – город для девушек) (Берлин)</w:t>
      </w:r>
    </w:p>
    <w:p w:rsidR="00000000" w:rsidRDefault="00000000">
      <w:pPr>
        <w:pStyle w:val="SingleTxt"/>
        <w:ind w:left="1985" w:hanging="244"/>
        <w:rPr>
          <w:spacing w:val="-2"/>
        </w:rPr>
      </w:pPr>
      <w:r>
        <w:rPr>
          <w:spacing w:val="-2"/>
        </w:rPr>
        <w:t>-</w:t>
      </w:r>
      <w:r>
        <w:rPr>
          <w:spacing w:val="-2"/>
        </w:rPr>
        <w:tab/>
        <w:t>Содействие проведению 8 марта ежегодного общенационального Дня дев</w:t>
      </w:r>
      <w:r>
        <w:rPr>
          <w:spacing w:val="-2"/>
        </w:rPr>
        <w:t>у</w:t>
      </w:r>
      <w:r>
        <w:rPr>
          <w:spacing w:val="-2"/>
        </w:rPr>
        <w:t>шек с упором на: участие в политической жизни, профессиональную орие</w:t>
      </w:r>
      <w:r>
        <w:rPr>
          <w:spacing w:val="-2"/>
        </w:rPr>
        <w:t>н</w:t>
      </w:r>
      <w:r>
        <w:rPr>
          <w:spacing w:val="-2"/>
        </w:rPr>
        <w:t>тацию, планирование жизни и т.д. (Бранденбург)</w:t>
      </w:r>
    </w:p>
    <w:p w:rsidR="00000000" w:rsidRDefault="00000000">
      <w:pPr>
        <w:pStyle w:val="SingleTxt"/>
        <w:ind w:left="1985" w:hanging="244"/>
        <w:rPr>
          <w:spacing w:val="-2"/>
        </w:rPr>
      </w:pPr>
      <w:r>
        <w:rPr>
          <w:spacing w:val="-2"/>
        </w:rPr>
        <w:t>-</w:t>
      </w:r>
      <w:r>
        <w:rPr>
          <w:spacing w:val="-2"/>
        </w:rPr>
        <w:tab/>
        <w:t>Девичьи парламенты в Бремерхафене (Бремен)</w:t>
      </w:r>
    </w:p>
    <w:p w:rsidR="00000000" w:rsidRDefault="00000000">
      <w:pPr>
        <w:pStyle w:val="SingleTxt"/>
        <w:ind w:left="1985" w:hanging="244"/>
        <w:rPr>
          <w:spacing w:val="-2"/>
        </w:rPr>
      </w:pPr>
      <w:r>
        <w:rPr>
          <w:spacing w:val="-2"/>
        </w:rPr>
        <w:t>-</w:t>
      </w:r>
      <w:r>
        <w:rPr>
          <w:spacing w:val="-2"/>
        </w:rPr>
        <w:tab/>
        <w:t>ВЕНДО – Самоутверждение и самозащита для молодых девушек (Бр</w:t>
      </w:r>
      <w:r>
        <w:rPr>
          <w:spacing w:val="-2"/>
        </w:rPr>
        <w:t>е</w:t>
      </w:r>
      <w:r>
        <w:rPr>
          <w:spacing w:val="-2"/>
        </w:rPr>
        <w:t>мен)</w:t>
      </w:r>
    </w:p>
    <w:p w:rsidR="00000000" w:rsidRDefault="00000000">
      <w:pPr>
        <w:pStyle w:val="SingleTxt"/>
        <w:ind w:left="1985" w:hanging="244"/>
        <w:rPr>
          <w:spacing w:val="-2"/>
        </w:rPr>
      </w:pPr>
      <w:r>
        <w:rPr>
          <w:spacing w:val="-2"/>
        </w:rPr>
        <w:t>-</w:t>
      </w:r>
      <w:r>
        <w:rPr>
          <w:spacing w:val="-2"/>
        </w:rPr>
        <w:tab/>
        <w:t>"Все возможно – Азбука для девушек Бремерхафена" (Бремен)</w:t>
      </w:r>
    </w:p>
    <w:p w:rsidR="00000000" w:rsidRDefault="00000000">
      <w:pPr>
        <w:pStyle w:val="SingleTxt"/>
        <w:ind w:left="1985" w:hanging="244"/>
        <w:rPr>
          <w:spacing w:val="-2"/>
        </w:rPr>
      </w:pPr>
      <w:r>
        <w:rPr>
          <w:spacing w:val="-2"/>
        </w:rPr>
        <w:t>-</w:t>
      </w:r>
      <w:r>
        <w:rPr>
          <w:spacing w:val="-2"/>
        </w:rPr>
        <w:tab/>
        <w:t>Пилотный проект "Обеспечение девушек свободой выбора" (Гамбург)</w:t>
      </w:r>
    </w:p>
    <w:p w:rsidR="00000000" w:rsidRDefault="00000000">
      <w:pPr>
        <w:pStyle w:val="SingleTxt"/>
        <w:ind w:left="1985" w:hanging="244"/>
        <w:rPr>
          <w:spacing w:val="-2"/>
        </w:rPr>
      </w:pPr>
      <w:r>
        <w:rPr>
          <w:spacing w:val="-2"/>
        </w:rPr>
        <w:t>-</w:t>
      </w:r>
      <w:r>
        <w:rPr>
          <w:spacing w:val="-2"/>
        </w:rPr>
        <w:tab/>
        <w:t>Содействие проведению "Девичьего спектакля в Гамбурге" – ежегодного музыкального фестиваля для девушек и молодых женщин в контексте р</w:t>
      </w:r>
      <w:r>
        <w:rPr>
          <w:spacing w:val="-2"/>
        </w:rPr>
        <w:t>а</w:t>
      </w:r>
      <w:r>
        <w:rPr>
          <w:spacing w:val="-2"/>
        </w:rPr>
        <w:t>мочной программы (Гамбург)</w:t>
      </w:r>
    </w:p>
    <w:p w:rsidR="00000000" w:rsidRDefault="00000000">
      <w:pPr>
        <w:pStyle w:val="SingleTxt"/>
        <w:ind w:left="1985" w:hanging="244"/>
        <w:rPr>
          <w:spacing w:val="-2"/>
        </w:rPr>
      </w:pPr>
      <w:r>
        <w:rPr>
          <w:spacing w:val="-2"/>
        </w:rPr>
        <w:t>-</w:t>
      </w:r>
      <w:r>
        <w:rPr>
          <w:spacing w:val="-2"/>
        </w:rPr>
        <w:tab/>
        <w:t>"Девушки становятся участниками" – мероприятие и публикация (Ге</w:t>
      </w:r>
      <w:r>
        <w:rPr>
          <w:spacing w:val="-2"/>
        </w:rPr>
        <w:t>с</w:t>
      </w:r>
      <w:r>
        <w:rPr>
          <w:spacing w:val="-2"/>
        </w:rPr>
        <w:t>сен)</w:t>
      </w:r>
    </w:p>
    <w:p w:rsidR="00000000" w:rsidRDefault="00000000">
      <w:pPr>
        <w:pStyle w:val="SingleTxt"/>
        <w:ind w:left="1985" w:hanging="244"/>
        <w:rPr>
          <w:spacing w:val="-2"/>
        </w:rPr>
      </w:pPr>
      <w:r>
        <w:rPr>
          <w:spacing w:val="-2"/>
        </w:rPr>
        <w:t>-</w:t>
      </w:r>
      <w:r>
        <w:rPr>
          <w:spacing w:val="-2"/>
        </w:rPr>
        <w:tab/>
        <w:t>Конференция по вопросам интеграции девушек-иностранок (Гессен)</w:t>
      </w:r>
    </w:p>
    <w:p w:rsidR="00000000" w:rsidRDefault="00000000">
      <w:pPr>
        <w:pStyle w:val="SingleTxt"/>
        <w:ind w:left="1985" w:hanging="244"/>
        <w:rPr>
          <w:spacing w:val="-2"/>
        </w:rPr>
      </w:pPr>
      <w:r>
        <w:rPr>
          <w:spacing w:val="-2"/>
        </w:rPr>
        <w:t>-</w:t>
      </w:r>
      <w:r>
        <w:rPr>
          <w:spacing w:val="-2"/>
        </w:rPr>
        <w:tab/>
        <w:t>Повышение квалификации групп по работе с девушками путем дальнейшей профессиональной по</w:t>
      </w:r>
      <w:r>
        <w:rPr>
          <w:spacing w:val="-2"/>
        </w:rPr>
        <w:t>д</w:t>
      </w:r>
      <w:r>
        <w:rPr>
          <w:spacing w:val="-2"/>
        </w:rPr>
        <w:t>готовки и делового общения (Гессен)</w:t>
      </w:r>
    </w:p>
    <w:p w:rsidR="00000000" w:rsidRDefault="00000000">
      <w:pPr>
        <w:pStyle w:val="SingleTxt"/>
        <w:ind w:left="1985" w:hanging="244"/>
        <w:rPr>
          <w:spacing w:val="-2"/>
        </w:rPr>
      </w:pPr>
      <w:r>
        <w:rPr>
          <w:spacing w:val="-2"/>
        </w:rPr>
        <w:t>-</w:t>
      </w:r>
      <w:r>
        <w:rPr>
          <w:spacing w:val="-2"/>
        </w:rPr>
        <w:tab/>
        <w:t>Содействие выпуску периодического издания "Политический форум для д</w:t>
      </w:r>
      <w:r>
        <w:rPr>
          <w:spacing w:val="-2"/>
        </w:rPr>
        <w:t>е</w:t>
      </w:r>
      <w:r>
        <w:rPr>
          <w:spacing w:val="-2"/>
        </w:rPr>
        <w:t>вушек" (Гессен)</w:t>
      </w:r>
    </w:p>
    <w:p w:rsidR="00000000" w:rsidRDefault="00000000">
      <w:pPr>
        <w:pStyle w:val="SingleTxt"/>
        <w:ind w:left="1985" w:hanging="244"/>
        <w:rPr>
          <w:spacing w:val="-2"/>
        </w:rPr>
      </w:pPr>
      <w:r>
        <w:rPr>
          <w:spacing w:val="-2"/>
        </w:rPr>
        <w:t>-</w:t>
      </w:r>
      <w:r>
        <w:rPr>
          <w:spacing w:val="-2"/>
        </w:rPr>
        <w:tab/>
        <w:t>Закрепление положений о работе с девушками в земельных актах об осущ</w:t>
      </w:r>
      <w:r>
        <w:rPr>
          <w:spacing w:val="-2"/>
        </w:rPr>
        <w:t>е</w:t>
      </w:r>
      <w:r>
        <w:rPr>
          <w:spacing w:val="-2"/>
        </w:rPr>
        <w:t>ствлении Закона о пом</w:t>
      </w:r>
      <w:r>
        <w:rPr>
          <w:spacing w:val="-2"/>
        </w:rPr>
        <w:t>о</w:t>
      </w:r>
      <w:r>
        <w:rPr>
          <w:spacing w:val="-2"/>
        </w:rPr>
        <w:t>щи детям и молодежи (Северный Рейн-Вестфалия)</w:t>
      </w:r>
    </w:p>
    <w:p w:rsidR="00000000" w:rsidRDefault="00000000">
      <w:pPr>
        <w:pStyle w:val="SingleTxt"/>
        <w:ind w:left="1985" w:hanging="244"/>
        <w:rPr>
          <w:spacing w:val="-2"/>
        </w:rPr>
      </w:pPr>
      <w:r>
        <w:rPr>
          <w:spacing w:val="-2"/>
        </w:rPr>
        <w:t>-</w:t>
      </w:r>
      <w:r>
        <w:rPr>
          <w:spacing w:val="-2"/>
        </w:rPr>
        <w:tab/>
        <w:t>Инициативная программа по вопросам самоутверждения и обучения дев</w:t>
      </w:r>
      <w:r>
        <w:rPr>
          <w:spacing w:val="-2"/>
        </w:rPr>
        <w:t>у</w:t>
      </w:r>
      <w:r>
        <w:rPr>
          <w:spacing w:val="-2"/>
        </w:rPr>
        <w:t>шек и юношей умению разрешать конфликты в школах (Северный Рейн-Вестфалия)</w:t>
      </w:r>
    </w:p>
    <w:p w:rsidR="00000000" w:rsidRDefault="00000000">
      <w:pPr>
        <w:pStyle w:val="SingleTxt"/>
        <w:ind w:left="1985" w:hanging="244"/>
        <w:rPr>
          <w:spacing w:val="-2"/>
        </w:rPr>
      </w:pPr>
      <w:r>
        <w:rPr>
          <w:spacing w:val="-2"/>
        </w:rPr>
        <w:t>-</w:t>
      </w:r>
      <w:r>
        <w:rPr>
          <w:spacing w:val="-2"/>
        </w:rPr>
        <w:tab/>
        <w:t>Информационный материал о пилотном проекте под названием "Девушки и карьера" в рамках занятий по профессиональной ориентации в школах (С</w:t>
      </w:r>
      <w:r>
        <w:rPr>
          <w:spacing w:val="-2"/>
        </w:rPr>
        <w:t>е</w:t>
      </w:r>
      <w:r>
        <w:rPr>
          <w:spacing w:val="-2"/>
        </w:rPr>
        <w:t>ве</w:t>
      </w:r>
      <w:r>
        <w:rPr>
          <w:spacing w:val="-2"/>
        </w:rPr>
        <w:t>р</w:t>
      </w:r>
      <w:r>
        <w:rPr>
          <w:spacing w:val="-2"/>
        </w:rPr>
        <w:t>ный Рейн-Вестфалия)</w:t>
      </w:r>
    </w:p>
    <w:p w:rsidR="00000000" w:rsidRDefault="00000000">
      <w:pPr>
        <w:pStyle w:val="SingleTxt"/>
        <w:ind w:left="1985" w:hanging="244"/>
        <w:rPr>
          <w:spacing w:val="-2"/>
        </w:rPr>
      </w:pPr>
      <w:r>
        <w:rPr>
          <w:spacing w:val="-2"/>
        </w:rPr>
        <w:t>-</w:t>
      </w:r>
      <w:r>
        <w:rPr>
          <w:spacing w:val="-2"/>
        </w:rPr>
        <w:tab/>
        <w:t>Конференция под названием "Девушки сотрудничают". Теория и практика участия девушек, доклад и материалы конференции, 1998 год (Рейнланд-Пфальц)</w:t>
      </w:r>
    </w:p>
    <w:p w:rsidR="00000000" w:rsidRDefault="00000000">
      <w:pPr>
        <w:pStyle w:val="SingleTxt"/>
        <w:ind w:left="1985" w:hanging="244"/>
        <w:rPr>
          <w:spacing w:val="-2"/>
        </w:rPr>
      </w:pPr>
      <w:r>
        <w:rPr>
          <w:spacing w:val="-2"/>
        </w:rPr>
        <w:t>-</w:t>
      </w:r>
      <w:r>
        <w:rPr>
          <w:spacing w:val="-2"/>
        </w:rPr>
        <w:tab/>
        <w:t>Оказание содействия Земельной рабочей группе "Девушки и молодые же</w:t>
      </w:r>
      <w:r>
        <w:rPr>
          <w:spacing w:val="-2"/>
        </w:rPr>
        <w:t>н</w:t>
      </w:r>
      <w:r>
        <w:rPr>
          <w:spacing w:val="-2"/>
        </w:rPr>
        <w:t>щины в Саксонии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Содействие проведению Национального фестиваля девушек "МАДИАЛЕ-2001" (Саксония)</w:t>
      </w:r>
    </w:p>
    <w:p w:rsidR="00000000" w:rsidRDefault="00000000">
      <w:pPr>
        <w:pStyle w:val="SingleTxt"/>
        <w:ind w:left="1985" w:hanging="244"/>
        <w:rPr>
          <w:spacing w:val="-2"/>
        </w:rPr>
      </w:pPr>
      <w:r>
        <w:rPr>
          <w:spacing w:val="-2"/>
        </w:rPr>
        <w:t>-</w:t>
      </w:r>
      <w:r>
        <w:rPr>
          <w:spacing w:val="-2"/>
        </w:rPr>
        <w:tab/>
        <w:t>Пилотный проект под названием "Планирование помощи молодежи на С</w:t>
      </w:r>
      <w:r>
        <w:rPr>
          <w:spacing w:val="-2"/>
        </w:rPr>
        <w:t>е</w:t>
      </w:r>
      <w:r>
        <w:rPr>
          <w:spacing w:val="-2"/>
        </w:rPr>
        <w:t>веро-Фризских островах с упором на девушек" (1996-1999 годы) (Шлезвиг-Гольштейн)</w:t>
      </w:r>
    </w:p>
    <w:p w:rsidR="00000000" w:rsidRDefault="00000000">
      <w:pPr>
        <w:pStyle w:val="SingleTxt"/>
        <w:ind w:left="1985" w:hanging="244"/>
        <w:rPr>
          <w:spacing w:val="-2"/>
        </w:rPr>
      </w:pPr>
      <w:r>
        <w:rPr>
          <w:spacing w:val="-2"/>
        </w:rPr>
        <w:t>-</w:t>
      </w:r>
      <w:r>
        <w:rPr>
          <w:spacing w:val="-2"/>
        </w:rPr>
        <w:tab/>
        <w:t>Поощрение работы с детьми и молодыми людьми, в частности девушками и молодыми женщинами: проекты и мероприятия в интересах девушек и м</w:t>
      </w:r>
      <w:r>
        <w:rPr>
          <w:spacing w:val="-2"/>
        </w:rPr>
        <w:t>о</w:t>
      </w:r>
      <w:r>
        <w:rPr>
          <w:spacing w:val="-2"/>
        </w:rPr>
        <w:t>лодых женщин, автономные центры для девушек в сельских районах, авт</w:t>
      </w:r>
      <w:r>
        <w:rPr>
          <w:spacing w:val="-2"/>
        </w:rPr>
        <w:t>о</w:t>
      </w:r>
      <w:r>
        <w:rPr>
          <w:spacing w:val="-2"/>
        </w:rPr>
        <w:t>номный д</w:t>
      </w:r>
      <w:r>
        <w:rPr>
          <w:spacing w:val="-2"/>
        </w:rPr>
        <w:t>е</w:t>
      </w:r>
      <w:r>
        <w:rPr>
          <w:spacing w:val="-2"/>
        </w:rPr>
        <w:t>вичий клуб при ассоциации "Лотта" в Киле (Шлезвиг-Гольштейн)</w:t>
      </w:r>
    </w:p>
    <w:p w:rsidR="00000000" w:rsidRDefault="00000000">
      <w:pPr>
        <w:pStyle w:val="SingleTxt"/>
        <w:ind w:left="1985" w:hanging="244"/>
        <w:rPr>
          <w:spacing w:val="-2"/>
        </w:rPr>
      </w:pPr>
      <w:r>
        <w:rPr>
          <w:spacing w:val="-2"/>
        </w:rPr>
        <w:t>-</w:t>
      </w:r>
      <w:r>
        <w:rPr>
          <w:spacing w:val="-2"/>
        </w:rPr>
        <w:tab/>
        <w:t>Дальнейшая подготовка и публикация брошюр для инструкторов, в частн</w:t>
      </w:r>
      <w:r>
        <w:rPr>
          <w:spacing w:val="-2"/>
        </w:rPr>
        <w:t>о</w:t>
      </w:r>
      <w:r>
        <w:rPr>
          <w:spacing w:val="-2"/>
        </w:rPr>
        <w:t>сти выпуск учебных материалов для начала работы с девушками и юнош</w:t>
      </w:r>
      <w:r>
        <w:rPr>
          <w:spacing w:val="-2"/>
        </w:rPr>
        <w:t>а</w:t>
      </w:r>
      <w:r>
        <w:rPr>
          <w:spacing w:val="-2"/>
        </w:rPr>
        <w:t>ми (1999 и 2000 годы), конференции экспертов по вопросам, касающимся положения девушек в кризисных ситуациях, возникающих в специализир</w:t>
      </w:r>
      <w:r>
        <w:rPr>
          <w:spacing w:val="-2"/>
        </w:rPr>
        <w:t>о</w:t>
      </w:r>
      <w:r>
        <w:rPr>
          <w:spacing w:val="-2"/>
        </w:rPr>
        <w:t>ванных заведениях, на улице и в психиатрических учреждениях (1998-2001 годы) (Шлезвиг-Гольштейн)</w:t>
      </w:r>
    </w:p>
    <w:p w:rsidR="00000000" w:rsidRDefault="00000000">
      <w:pPr>
        <w:pStyle w:val="SingleTxt"/>
        <w:ind w:left="1985" w:hanging="244"/>
        <w:rPr>
          <w:spacing w:val="-2"/>
        </w:rPr>
      </w:pPr>
      <w:r>
        <w:rPr>
          <w:spacing w:val="-2"/>
        </w:rPr>
        <w:t>-</w:t>
      </w:r>
      <w:r>
        <w:rPr>
          <w:spacing w:val="-2"/>
        </w:rPr>
        <w:tab/>
        <w:t>Содействие осуществлению пилотного проекта "ДЛЯ ТЕБЯ", ориентир</w:t>
      </w:r>
      <w:r>
        <w:rPr>
          <w:spacing w:val="-2"/>
        </w:rPr>
        <w:t>о</w:t>
      </w:r>
      <w:r>
        <w:rPr>
          <w:spacing w:val="-2"/>
        </w:rPr>
        <w:t>ванная на молодежь дальнейшая подготовка по вопросам оказания помощи деву</w:t>
      </w:r>
      <w:r>
        <w:rPr>
          <w:spacing w:val="-2"/>
        </w:rPr>
        <w:t>ш</w:t>
      </w:r>
      <w:r>
        <w:rPr>
          <w:spacing w:val="-2"/>
        </w:rPr>
        <w:t>кам и молодым людям (Шлезвиг-Гольштейн)</w:t>
      </w:r>
    </w:p>
    <w:p w:rsidR="00000000" w:rsidRDefault="00000000">
      <w:pPr>
        <w:pStyle w:val="SingleTxt"/>
        <w:ind w:left="1985" w:hanging="244"/>
        <w:rPr>
          <w:spacing w:val="-2"/>
        </w:rPr>
      </w:pPr>
      <w:r>
        <w:rPr>
          <w:spacing w:val="-2"/>
        </w:rPr>
        <w:t>-</w:t>
      </w:r>
      <w:r>
        <w:rPr>
          <w:spacing w:val="-2"/>
        </w:rPr>
        <w:tab/>
        <w:t>Агентство Земельной рабочей группы "Девушки и молодые женщины в контексте оказания помощи молодежи" (Шлезвиг-Гольштейн)</w:t>
      </w:r>
    </w:p>
    <w:p w:rsidR="00000000" w:rsidRDefault="00000000">
      <w:pPr>
        <w:pStyle w:val="SingleTxt"/>
        <w:ind w:left="1985" w:hanging="244"/>
        <w:rPr>
          <w:spacing w:val="-2"/>
        </w:rPr>
      </w:pPr>
      <w:r>
        <w:rPr>
          <w:spacing w:val="-2"/>
        </w:rPr>
        <w:t>-</w:t>
      </w:r>
      <w:r>
        <w:rPr>
          <w:spacing w:val="-2"/>
        </w:rPr>
        <w:tab/>
        <w:t>Разработка рекомендаций экспертов в отношении работы с девушками в Тюрингии (резолюция Земельного комитета помощи молодежи, февраль 2001 года) (Тюрингия)</w:t>
      </w:r>
    </w:p>
    <w:p w:rsidR="00000000" w:rsidRDefault="00000000">
      <w:pPr>
        <w:pStyle w:val="SingleTxt"/>
        <w:ind w:left="1985" w:hanging="244"/>
        <w:rPr>
          <w:spacing w:val="-2"/>
        </w:rPr>
      </w:pPr>
      <w:r>
        <w:rPr>
          <w:spacing w:val="-2"/>
        </w:rPr>
        <w:t>-</w:t>
      </w:r>
      <w:r>
        <w:rPr>
          <w:spacing w:val="-2"/>
        </w:rPr>
        <w:tab/>
        <w:t>Дальнейшая подготовка по вопросам привлечения девушек к работе в ра</w:t>
      </w:r>
      <w:r>
        <w:rPr>
          <w:spacing w:val="-2"/>
        </w:rPr>
        <w:t>м</w:t>
      </w:r>
      <w:r>
        <w:rPr>
          <w:spacing w:val="-2"/>
        </w:rPr>
        <w:t>ках учреждений по оказ</w:t>
      </w:r>
      <w:r>
        <w:rPr>
          <w:spacing w:val="-2"/>
        </w:rPr>
        <w:t>а</w:t>
      </w:r>
      <w:r>
        <w:rPr>
          <w:spacing w:val="-2"/>
        </w:rPr>
        <w:t>нию помощи детям и молодежи (Тюрингия)</w:t>
      </w:r>
    </w:p>
    <w:p w:rsidR="00000000" w:rsidRDefault="00000000">
      <w:pPr>
        <w:pStyle w:val="SingleTxt"/>
        <w:ind w:left="1985" w:hanging="244"/>
        <w:rPr>
          <w:spacing w:val="-2"/>
        </w:rPr>
      </w:pPr>
      <w:r>
        <w:rPr>
          <w:spacing w:val="-2"/>
        </w:rPr>
        <w:t>-</w:t>
      </w:r>
      <w:r>
        <w:rPr>
          <w:spacing w:val="-2"/>
        </w:rPr>
        <w:tab/>
        <w:t>Конференция экспертов под названием "Работа с девушками в Тюрингии" (май 2001 года) и подготовка материалов о конференции к концу года (Т</w:t>
      </w:r>
      <w:r>
        <w:rPr>
          <w:spacing w:val="-2"/>
        </w:rPr>
        <w:t>ю</w:t>
      </w:r>
      <w:r>
        <w:rPr>
          <w:spacing w:val="-2"/>
        </w:rPr>
        <w:t>ри</w:t>
      </w:r>
      <w:r>
        <w:rPr>
          <w:spacing w:val="-2"/>
        </w:rPr>
        <w:t>н</w:t>
      </w:r>
      <w:r>
        <w:rPr>
          <w:spacing w:val="-2"/>
        </w:rPr>
        <w:t>гия)</w:t>
      </w:r>
    </w:p>
    <w:p w:rsidR="00000000" w:rsidRDefault="00000000">
      <w:pPr>
        <w:pStyle w:val="SingleTxt"/>
        <w:ind w:left="1985" w:hanging="244"/>
        <w:rPr>
          <w:spacing w:val="-2"/>
        </w:rPr>
      </w:pPr>
      <w:r>
        <w:rPr>
          <w:spacing w:val="-2"/>
        </w:rPr>
        <w:t>-</w:t>
      </w:r>
      <w:r>
        <w:rPr>
          <w:spacing w:val="-2"/>
        </w:rPr>
        <w:tab/>
        <w:t>Специальное мероприятие под названием "Нарушения питания среди дев</w:t>
      </w:r>
      <w:r>
        <w:rPr>
          <w:spacing w:val="-2"/>
        </w:rPr>
        <w:t>у</w:t>
      </w:r>
      <w:r>
        <w:rPr>
          <w:spacing w:val="-2"/>
        </w:rPr>
        <w:t>шек" (2000/2001 годы) (Тюрингия)</w:t>
      </w:r>
    </w:p>
    <w:p w:rsidR="00000000" w:rsidRDefault="00000000">
      <w:pPr>
        <w:pStyle w:val="SingleTxt"/>
        <w:ind w:left="1985" w:hanging="244"/>
        <w:rPr>
          <w:spacing w:val="-2"/>
        </w:rPr>
      </w:pPr>
      <w:r>
        <w:rPr>
          <w:spacing w:val="-2"/>
        </w:rPr>
        <w:t>-</w:t>
      </w:r>
      <w:r>
        <w:rPr>
          <w:spacing w:val="-2"/>
        </w:rPr>
        <w:tab/>
        <w:t>Форум экспертов по теме "Дети матерей, ставших жертвами жестокого о</w:t>
      </w:r>
      <w:r>
        <w:rPr>
          <w:spacing w:val="-2"/>
        </w:rPr>
        <w:t>б</w:t>
      </w:r>
      <w:r>
        <w:rPr>
          <w:spacing w:val="-2"/>
        </w:rPr>
        <w:t>ращения" (Земельная рабочая группа по вопросам защиты детей и молод</w:t>
      </w:r>
      <w:r>
        <w:rPr>
          <w:spacing w:val="-2"/>
        </w:rPr>
        <w:t>е</w:t>
      </w:r>
      <w:r>
        <w:rPr>
          <w:spacing w:val="-2"/>
        </w:rPr>
        <w:t>жи) (Тюрингия)</w:t>
      </w:r>
    </w:p>
    <w:p w:rsidR="00000000" w:rsidRDefault="00000000">
      <w:pPr>
        <w:pStyle w:val="SingleTxt"/>
        <w:ind w:left="1985" w:hanging="244"/>
        <w:rPr>
          <w:spacing w:val="-2"/>
        </w:rPr>
      </w:pPr>
      <w:r>
        <w:rPr>
          <w:spacing w:val="-2"/>
        </w:rPr>
        <w:t>-</w:t>
      </w:r>
      <w:r>
        <w:rPr>
          <w:spacing w:val="-2"/>
        </w:rPr>
        <w:tab/>
        <w:t>Содействие осуществлению пилотного проекта под названием "Планиров</w:t>
      </w:r>
      <w:r>
        <w:rPr>
          <w:spacing w:val="-2"/>
        </w:rPr>
        <w:t>а</w:t>
      </w:r>
      <w:r>
        <w:rPr>
          <w:spacing w:val="-2"/>
        </w:rPr>
        <w:t>ние помощи молодежи с упором на всестороннее информирование дев</w:t>
      </w:r>
      <w:r>
        <w:rPr>
          <w:spacing w:val="-2"/>
        </w:rPr>
        <w:t>у</w:t>
      </w:r>
      <w:r>
        <w:rPr>
          <w:spacing w:val="-2"/>
        </w:rPr>
        <w:t>шек" (1998-2000 годы) (Тюрингия)</w:t>
      </w:r>
    </w:p>
    <w:p w:rsidR="00000000" w:rsidRDefault="00000000">
      <w:pPr>
        <w:pStyle w:val="SingleTxt"/>
        <w:ind w:left="1985" w:hanging="244"/>
        <w:rPr>
          <w:spacing w:val="-2"/>
        </w:rPr>
      </w:pPr>
      <w:r>
        <w:rPr>
          <w:spacing w:val="-2"/>
        </w:rPr>
        <w:t>-</w:t>
      </w:r>
      <w:r>
        <w:rPr>
          <w:spacing w:val="-2"/>
        </w:rPr>
        <w:tab/>
        <w:t>Оказание поддержки региональным рабочим группам (с сентября 2001 года – рабочей группе "Жилые помещения для девушек"), в том числе с точки зрения содержания и методики дальнейшей подготовки (Тюрингия)</w:t>
      </w:r>
    </w:p>
    <w:p w:rsidR="00000000" w:rsidRDefault="00000000">
      <w:pPr>
        <w:pStyle w:val="H4"/>
      </w:pPr>
      <w:bookmarkStart w:id="875" w:name="_Toc44113888"/>
      <w:bookmarkStart w:id="876" w:name="_Toc44114397"/>
      <w:bookmarkStart w:id="877" w:name="_Toc44116079"/>
      <w:r>
        <w:t>l)</w:t>
      </w:r>
      <w:r>
        <w:tab/>
        <w:t>Юридические положения</w:t>
      </w:r>
      <w:bookmarkEnd w:id="875"/>
      <w:bookmarkEnd w:id="876"/>
      <w:bookmarkEnd w:id="877"/>
    </w:p>
    <w:p w:rsidR="00000000" w:rsidRDefault="00000000">
      <w:pPr>
        <w:pStyle w:val="SingleTxt"/>
        <w:ind w:left="1985" w:hanging="244"/>
        <w:rPr>
          <w:spacing w:val="-2"/>
        </w:rPr>
      </w:pPr>
      <w:r>
        <w:rPr>
          <w:spacing w:val="-2"/>
        </w:rPr>
        <w:t>-</w:t>
      </w:r>
      <w:r>
        <w:rPr>
          <w:spacing w:val="-2"/>
        </w:rPr>
        <w:tab/>
        <w:t>Положение в Земельном законе о равенстве (Бранденбург, Саар)</w:t>
      </w:r>
    </w:p>
    <w:p w:rsidR="00000000" w:rsidRDefault="00000000">
      <w:pPr>
        <w:pStyle w:val="SingleTxt"/>
        <w:ind w:left="1985" w:hanging="244"/>
        <w:rPr>
          <w:spacing w:val="-2"/>
        </w:rPr>
      </w:pPr>
      <w:r>
        <w:rPr>
          <w:spacing w:val="-2"/>
        </w:rPr>
        <w:t>-</w:t>
      </w:r>
      <w:r>
        <w:rPr>
          <w:spacing w:val="-2"/>
        </w:rPr>
        <w:tab/>
        <w:t>Административное постановление "Нейтральные с гендерной точки зрения официальные и юрид</w:t>
      </w:r>
      <w:r>
        <w:rPr>
          <w:spacing w:val="-2"/>
        </w:rPr>
        <w:t>и</w:t>
      </w:r>
      <w:r>
        <w:rPr>
          <w:spacing w:val="-2"/>
        </w:rPr>
        <w:t>ческие формулировки" (Рейнланд-Пфальц)</w:t>
      </w:r>
    </w:p>
    <w:p w:rsidR="00000000" w:rsidRDefault="00000000">
      <w:pPr>
        <w:pStyle w:val="SingleTxt"/>
        <w:ind w:left="1985" w:hanging="244"/>
        <w:rPr>
          <w:spacing w:val="-2"/>
        </w:rPr>
      </w:pPr>
      <w:r>
        <w:rPr>
          <w:spacing w:val="-2"/>
        </w:rPr>
        <w:t>-</w:t>
      </w:r>
      <w:r>
        <w:rPr>
          <w:spacing w:val="-2"/>
        </w:rPr>
        <w:tab/>
        <w:t>Брошюра под названием "Официальный язык – о равном отношении к женщинам и мужчинам в официальном языке" (Саар)</w:t>
      </w:r>
    </w:p>
    <w:p w:rsidR="00000000" w:rsidRDefault="00000000">
      <w:pPr>
        <w:pStyle w:val="SingleTxt"/>
        <w:ind w:left="1985" w:hanging="244"/>
        <w:rPr>
          <w:spacing w:val="-2"/>
        </w:rPr>
      </w:pPr>
      <w:r>
        <w:rPr>
          <w:spacing w:val="-2"/>
        </w:rPr>
        <w:t>-</w:t>
      </w:r>
      <w:r>
        <w:rPr>
          <w:spacing w:val="-2"/>
        </w:rPr>
        <w:tab/>
        <w:t>Положение, учитывающее равноправие в юридических положениях (адм</w:t>
      </w:r>
      <w:r>
        <w:rPr>
          <w:spacing w:val="-2"/>
        </w:rPr>
        <w:t>и</w:t>
      </w:r>
      <w:r>
        <w:rPr>
          <w:spacing w:val="-2"/>
        </w:rPr>
        <w:t>нистративное постановл</w:t>
      </w:r>
      <w:r>
        <w:rPr>
          <w:spacing w:val="-2"/>
        </w:rPr>
        <w:t>е</w:t>
      </w:r>
      <w:r>
        <w:rPr>
          <w:spacing w:val="-2"/>
        </w:rPr>
        <w:t>ние, принятое 25 мая 1999 года) (Саксония)</w:t>
      </w:r>
    </w:p>
    <w:p w:rsidR="00000000" w:rsidRDefault="00000000">
      <w:pPr>
        <w:pStyle w:val="SingleTxt"/>
        <w:ind w:left="1985" w:hanging="244"/>
        <w:rPr>
          <w:spacing w:val="-2"/>
        </w:rPr>
      </w:pPr>
      <w:r>
        <w:rPr>
          <w:spacing w:val="-2"/>
        </w:rPr>
        <w:t>-</w:t>
      </w:r>
      <w:r>
        <w:rPr>
          <w:spacing w:val="-2"/>
        </w:rPr>
        <w:tab/>
        <w:t>Пособия, позволяющие разрабатывать проекты постановлений и указов по единой правовой форме, обеспечивающей лингвистическое равенство му</w:t>
      </w:r>
      <w:r>
        <w:rPr>
          <w:spacing w:val="-2"/>
        </w:rPr>
        <w:t>ж</w:t>
      </w:r>
      <w:r>
        <w:rPr>
          <w:spacing w:val="-2"/>
        </w:rPr>
        <w:t>чин и женщин (декабрь 1997 года) (Тюрингия)</w:t>
      </w:r>
    </w:p>
    <w:p w:rsidR="00000000" w:rsidRDefault="00000000">
      <w:pPr>
        <w:pStyle w:val="H4"/>
      </w:pPr>
      <w:bookmarkStart w:id="878" w:name="_Toc44113889"/>
      <w:bookmarkStart w:id="879" w:name="_Toc44114398"/>
      <w:bookmarkStart w:id="880" w:name="_Toc44116080"/>
      <w:r>
        <w:t>m)</w:t>
      </w:r>
      <w:r>
        <w:tab/>
        <w:t>Женские неправительственные организации</w:t>
      </w:r>
      <w:bookmarkEnd w:id="878"/>
      <w:bookmarkEnd w:id="879"/>
      <w:bookmarkEnd w:id="880"/>
    </w:p>
    <w:p w:rsidR="00000000" w:rsidRDefault="00000000">
      <w:pPr>
        <w:pStyle w:val="SingleTxt"/>
        <w:ind w:left="1985" w:hanging="244"/>
        <w:rPr>
          <w:spacing w:val="-2"/>
        </w:rPr>
      </w:pPr>
      <w:r>
        <w:rPr>
          <w:spacing w:val="-2"/>
        </w:rPr>
        <w:t>-</w:t>
      </w:r>
      <w:r>
        <w:rPr>
          <w:spacing w:val="-2"/>
        </w:rPr>
        <w:tab/>
        <w:t>Сотрудничество и работа с женскими организациями, женскими сетями, женскими группами и инициативами, женскими ассоциациями и земельн</w:t>
      </w:r>
      <w:r>
        <w:rPr>
          <w:spacing w:val="-2"/>
        </w:rPr>
        <w:t>ы</w:t>
      </w:r>
      <w:r>
        <w:rPr>
          <w:spacing w:val="-2"/>
        </w:rPr>
        <w:t>ми рабочими группами, включая поддержку проектов (Баден-Вюртемберг, Мекленбург-Западная Померания, Северный Рейн-Вестфалия, Рейнланд-Пфальц, Саар,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Оказание содействия женским центрам (Северный Рейн-Вестфалия)</w:t>
      </w:r>
    </w:p>
    <w:p w:rsidR="00000000" w:rsidRDefault="00000000">
      <w:pPr>
        <w:pStyle w:val="SingleTxt"/>
        <w:ind w:left="1985" w:hanging="244"/>
        <w:rPr>
          <w:spacing w:val="-2"/>
        </w:rPr>
      </w:pPr>
      <w:r>
        <w:rPr>
          <w:spacing w:val="-2"/>
        </w:rPr>
        <w:t>-</w:t>
      </w:r>
      <w:r>
        <w:rPr>
          <w:spacing w:val="-2"/>
        </w:rPr>
        <w:tab/>
        <w:t>Оказание содействия 47 женским коммуникационным центрам (Тюри</w:t>
      </w:r>
      <w:r>
        <w:rPr>
          <w:spacing w:val="-2"/>
        </w:rPr>
        <w:t>н</w:t>
      </w:r>
      <w:r>
        <w:rPr>
          <w:spacing w:val="-2"/>
        </w:rPr>
        <w:t>гия)</w:t>
      </w:r>
    </w:p>
    <w:p w:rsidR="00000000" w:rsidRDefault="00000000">
      <w:pPr>
        <w:pStyle w:val="H4"/>
      </w:pPr>
      <w:bookmarkStart w:id="881" w:name="_Toc44113890"/>
      <w:bookmarkStart w:id="882" w:name="_Toc44114399"/>
      <w:bookmarkStart w:id="883" w:name="_Toc44116081"/>
      <w:r>
        <w:t>n)</w:t>
      </w:r>
      <w:r>
        <w:tab/>
        <w:t>Здравоохранение</w:t>
      </w:r>
      <w:bookmarkEnd w:id="881"/>
      <w:bookmarkEnd w:id="882"/>
      <w:bookmarkEnd w:id="883"/>
    </w:p>
    <w:p w:rsidR="00000000" w:rsidRDefault="00000000">
      <w:pPr>
        <w:pStyle w:val="SingleTxt"/>
        <w:ind w:left="1985" w:hanging="244"/>
        <w:rPr>
          <w:spacing w:val="-2"/>
        </w:rPr>
      </w:pPr>
      <w:r>
        <w:rPr>
          <w:spacing w:val="-2"/>
        </w:rPr>
        <w:t>-</w:t>
      </w:r>
      <w:r>
        <w:rPr>
          <w:spacing w:val="-2"/>
        </w:rPr>
        <w:tab/>
        <w:t>Проект: профилактика нарушений питания (Баден-Вюртемберг)</w:t>
      </w:r>
    </w:p>
    <w:p w:rsidR="00000000" w:rsidRDefault="00000000">
      <w:pPr>
        <w:pStyle w:val="SingleTxt"/>
        <w:ind w:left="1985" w:hanging="244"/>
        <w:rPr>
          <w:spacing w:val="-2"/>
        </w:rPr>
      </w:pPr>
      <w:r>
        <w:rPr>
          <w:spacing w:val="-2"/>
        </w:rPr>
        <w:t>-</w:t>
      </w:r>
      <w:r>
        <w:rPr>
          <w:spacing w:val="-2"/>
        </w:rPr>
        <w:tab/>
        <w:t>Доклад о состоянии здоровья женщин в Баден-Вюртемберге</w:t>
      </w:r>
    </w:p>
    <w:p w:rsidR="00000000" w:rsidRDefault="00000000">
      <w:pPr>
        <w:pStyle w:val="SingleTxt"/>
        <w:ind w:left="1985" w:hanging="244"/>
        <w:rPr>
          <w:spacing w:val="-2"/>
        </w:rPr>
      </w:pPr>
      <w:r>
        <w:rPr>
          <w:spacing w:val="-2"/>
        </w:rPr>
        <w:t>-</w:t>
      </w:r>
      <w:r>
        <w:rPr>
          <w:spacing w:val="-2"/>
        </w:rPr>
        <w:tab/>
        <w:t>Инициатива в области раннего выявления онкологических заболеваний и самостоятельных осмотров груди (Гессен, Рейнланд-Пфальц, Саар)</w:t>
      </w:r>
    </w:p>
    <w:p w:rsidR="00000000" w:rsidRDefault="00000000">
      <w:pPr>
        <w:pStyle w:val="SingleTxt"/>
        <w:ind w:left="1985" w:hanging="244"/>
        <w:rPr>
          <w:spacing w:val="-2"/>
        </w:rPr>
      </w:pPr>
      <w:r>
        <w:rPr>
          <w:spacing w:val="-2"/>
        </w:rPr>
        <w:t>-</w:t>
      </w:r>
      <w:r>
        <w:rPr>
          <w:spacing w:val="-2"/>
        </w:rPr>
        <w:tab/>
        <w:t>Мониторинг и контроль процесса выдачи удостоверений врачам, специал</w:t>
      </w:r>
      <w:r>
        <w:rPr>
          <w:spacing w:val="-2"/>
        </w:rPr>
        <w:t>и</w:t>
      </w:r>
      <w:r>
        <w:rPr>
          <w:spacing w:val="-2"/>
        </w:rPr>
        <w:t>зирующимся в области маммографии, разработка программ лечения рака груди (Берлин)</w:t>
      </w:r>
    </w:p>
    <w:p w:rsidR="00000000" w:rsidRDefault="00000000">
      <w:pPr>
        <w:pStyle w:val="SingleTxt"/>
        <w:ind w:left="1985" w:hanging="244"/>
        <w:rPr>
          <w:spacing w:val="-2"/>
        </w:rPr>
      </w:pPr>
      <w:r>
        <w:rPr>
          <w:spacing w:val="-2"/>
        </w:rPr>
        <w:t>-</w:t>
      </w:r>
      <w:r>
        <w:rPr>
          <w:spacing w:val="-2"/>
        </w:rPr>
        <w:tab/>
        <w:t>Согласованные действия: включение мер по охране здоровья женщин в си</w:t>
      </w:r>
      <w:r>
        <w:rPr>
          <w:spacing w:val="-2"/>
        </w:rPr>
        <w:t>с</w:t>
      </w:r>
      <w:r>
        <w:rPr>
          <w:spacing w:val="-2"/>
        </w:rPr>
        <w:t>тему здравоохранения Берлина (поликлиники, врачи, не работающие в больницах, служба государственного здравоохранения (правовая реформа), администрации и т.д., в частности тема охраны здоровья женщин, ставших жертвами насилия) (Бе</w:t>
      </w:r>
      <w:r>
        <w:rPr>
          <w:spacing w:val="-2"/>
        </w:rPr>
        <w:t>р</w:t>
      </w:r>
      <w:r>
        <w:rPr>
          <w:spacing w:val="-2"/>
        </w:rPr>
        <w:t>лин)</w:t>
      </w:r>
    </w:p>
    <w:p w:rsidR="00000000" w:rsidRDefault="00000000">
      <w:pPr>
        <w:pStyle w:val="SingleTxt"/>
        <w:ind w:left="1985" w:hanging="244"/>
        <w:rPr>
          <w:spacing w:val="-2"/>
        </w:rPr>
      </w:pPr>
      <w:r>
        <w:rPr>
          <w:spacing w:val="-2"/>
        </w:rPr>
        <w:t>-</w:t>
      </w:r>
      <w:r>
        <w:rPr>
          <w:spacing w:val="-2"/>
        </w:rPr>
        <w:tab/>
        <w:t>Конференция экспертов: Здоровье не знает половых различий – О состоянии здоровья женщин и д</w:t>
      </w:r>
      <w:r>
        <w:rPr>
          <w:spacing w:val="-2"/>
        </w:rPr>
        <w:t>е</w:t>
      </w:r>
      <w:r>
        <w:rPr>
          <w:spacing w:val="-2"/>
        </w:rPr>
        <w:t>вушек (Берлин)</w:t>
      </w:r>
    </w:p>
    <w:p w:rsidR="00000000" w:rsidRDefault="00000000">
      <w:pPr>
        <w:pStyle w:val="SingleTxt"/>
        <w:ind w:left="1985" w:hanging="244"/>
        <w:rPr>
          <w:spacing w:val="-2"/>
        </w:rPr>
      </w:pPr>
      <w:r>
        <w:rPr>
          <w:spacing w:val="-2"/>
        </w:rPr>
        <w:t>-</w:t>
      </w:r>
      <w:r>
        <w:rPr>
          <w:spacing w:val="-2"/>
        </w:rPr>
        <w:tab/>
        <w:t>Берлинская сеть по охране здоровья женщин (Берлин)</w:t>
      </w:r>
    </w:p>
    <w:p w:rsidR="00000000" w:rsidRDefault="00000000">
      <w:pPr>
        <w:pStyle w:val="SingleTxt"/>
        <w:ind w:left="1985" w:hanging="244"/>
        <w:rPr>
          <w:spacing w:val="-2"/>
        </w:rPr>
      </w:pPr>
      <w:r>
        <w:rPr>
          <w:spacing w:val="-2"/>
        </w:rPr>
        <w:t>-</w:t>
      </w:r>
      <w:r>
        <w:rPr>
          <w:spacing w:val="-2"/>
        </w:rPr>
        <w:tab/>
        <w:t>Конференция экспертов: "Диагностика рака груди – женщины требуют к</w:t>
      </w:r>
      <w:r>
        <w:rPr>
          <w:spacing w:val="-2"/>
        </w:rPr>
        <w:t>а</w:t>
      </w:r>
      <w:r>
        <w:rPr>
          <w:spacing w:val="-2"/>
        </w:rPr>
        <w:t>чества" (Берлин)</w:t>
      </w:r>
    </w:p>
    <w:p w:rsidR="00000000" w:rsidRDefault="00000000">
      <w:pPr>
        <w:pStyle w:val="SingleTxt"/>
        <w:ind w:left="1985" w:hanging="244"/>
        <w:rPr>
          <w:spacing w:val="-2"/>
        </w:rPr>
      </w:pPr>
      <w:r>
        <w:rPr>
          <w:spacing w:val="-2"/>
        </w:rPr>
        <w:t>-</w:t>
      </w:r>
      <w:r>
        <w:rPr>
          <w:spacing w:val="-2"/>
        </w:rPr>
        <w:tab/>
        <w:t>Конференция экспертов: "Будто ничего не случилось. Как система здрав</w:t>
      </w:r>
      <w:r>
        <w:rPr>
          <w:spacing w:val="-2"/>
        </w:rPr>
        <w:t>о</w:t>
      </w:r>
      <w:r>
        <w:rPr>
          <w:spacing w:val="-2"/>
        </w:rPr>
        <w:t>охранения относится к женщинам, ставшим жертвами насилия" (Берлин)</w:t>
      </w:r>
    </w:p>
    <w:p w:rsidR="00000000" w:rsidRDefault="00000000">
      <w:pPr>
        <w:pStyle w:val="SingleTxt"/>
        <w:ind w:left="1985" w:hanging="244"/>
        <w:rPr>
          <w:spacing w:val="-2"/>
        </w:rPr>
      </w:pPr>
      <w:r>
        <w:rPr>
          <w:spacing w:val="-2"/>
        </w:rPr>
        <w:t>-</w:t>
      </w:r>
      <w:r>
        <w:rPr>
          <w:spacing w:val="-2"/>
        </w:rPr>
        <w:tab/>
        <w:t>Организация форума по проблемам здоровья женщин, ассоциация специ</w:t>
      </w:r>
      <w:r>
        <w:rPr>
          <w:spacing w:val="-2"/>
        </w:rPr>
        <w:t>а</w:t>
      </w:r>
      <w:r>
        <w:rPr>
          <w:spacing w:val="-2"/>
        </w:rPr>
        <w:t>листов-женщин по вопр</w:t>
      </w:r>
      <w:r>
        <w:rPr>
          <w:spacing w:val="-2"/>
        </w:rPr>
        <w:t>о</w:t>
      </w:r>
      <w:r>
        <w:rPr>
          <w:spacing w:val="-2"/>
        </w:rPr>
        <w:t>сам охраны здоровья женщин в Бремене (Бремен)</w:t>
      </w:r>
    </w:p>
    <w:p w:rsidR="00000000" w:rsidRDefault="00000000">
      <w:pPr>
        <w:pStyle w:val="SingleTxt"/>
        <w:ind w:left="1985" w:hanging="244"/>
        <w:rPr>
          <w:spacing w:val="-2"/>
        </w:rPr>
      </w:pPr>
      <w:r>
        <w:rPr>
          <w:spacing w:val="-2"/>
        </w:rPr>
        <w:t>-</w:t>
      </w:r>
      <w:r>
        <w:rPr>
          <w:spacing w:val="-2"/>
        </w:rPr>
        <w:tab/>
        <w:t>Коллоквиум и материалы по теме "Противоречия в связи с ранним выявл</w:t>
      </w:r>
      <w:r>
        <w:rPr>
          <w:spacing w:val="-2"/>
        </w:rPr>
        <w:t>е</w:t>
      </w:r>
      <w:r>
        <w:rPr>
          <w:spacing w:val="-2"/>
        </w:rPr>
        <w:t>нием рака груди" (Бремен)</w:t>
      </w:r>
    </w:p>
    <w:p w:rsidR="00000000" w:rsidRDefault="00000000">
      <w:pPr>
        <w:pStyle w:val="SingleTxt"/>
        <w:ind w:left="1985" w:hanging="244"/>
        <w:rPr>
          <w:spacing w:val="-2"/>
        </w:rPr>
      </w:pPr>
      <w:r>
        <w:rPr>
          <w:spacing w:val="-2"/>
        </w:rPr>
        <w:t>-</w:t>
      </w:r>
      <w:r>
        <w:rPr>
          <w:spacing w:val="-2"/>
        </w:rPr>
        <w:tab/>
        <w:t>Информационное мероприятие по проблеме маммографических обследов</w:t>
      </w:r>
      <w:r>
        <w:rPr>
          <w:spacing w:val="-2"/>
        </w:rPr>
        <w:t>а</w:t>
      </w:r>
      <w:r>
        <w:rPr>
          <w:spacing w:val="-2"/>
        </w:rPr>
        <w:t>ний/выявления рака груди (Бремен)</w:t>
      </w:r>
    </w:p>
    <w:p w:rsidR="00000000" w:rsidRDefault="00000000">
      <w:pPr>
        <w:pStyle w:val="SingleTxt"/>
        <w:ind w:left="1985" w:hanging="244"/>
        <w:rPr>
          <w:spacing w:val="-2"/>
        </w:rPr>
      </w:pPr>
      <w:r>
        <w:rPr>
          <w:spacing w:val="-2"/>
        </w:rPr>
        <w:t>-</w:t>
      </w:r>
      <w:r>
        <w:rPr>
          <w:spacing w:val="-2"/>
        </w:rPr>
        <w:tab/>
        <w:t>Материал под названием "Раннее выявление – Рак груди – Что дальше?" (Бремен)</w:t>
      </w:r>
    </w:p>
    <w:p w:rsidR="00000000" w:rsidRDefault="00000000">
      <w:pPr>
        <w:pStyle w:val="SingleTxt"/>
        <w:ind w:left="1985" w:hanging="244"/>
        <w:rPr>
          <w:spacing w:val="-2"/>
        </w:rPr>
      </w:pPr>
      <w:r>
        <w:rPr>
          <w:spacing w:val="-2"/>
        </w:rPr>
        <w:t>-</w:t>
      </w:r>
      <w:r>
        <w:rPr>
          <w:spacing w:val="-2"/>
        </w:rPr>
        <w:tab/>
        <w:t>Организация дополнительной подготовки сертифицированных врачей по теме "Менопауза с мног</w:t>
      </w:r>
      <w:r>
        <w:rPr>
          <w:spacing w:val="-2"/>
        </w:rPr>
        <w:t>о</w:t>
      </w:r>
      <w:r>
        <w:rPr>
          <w:spacing w:val="-2"/>
        </w:rPr>
        <w:t>дисциплинарной точки зрения" (Бремен)</w:t>
      </w:r>
    </w:p>
    <w:p w:rsidR="00000000" w:rsidRDefault="00000000">
      <w:pPr>
        <w:pStyle w:val="SingleTxt"/>
        <w:ind w:left="1985" w:hanging="244"/>
        <w:rPr>
          <w:spacing w:val="-2"/>
        </w:rPr>
      </w:pPr>
      <w:r>
        <w:rPr>
          <w:spacing w:val="-2"/>
        </w:rPr>
        <w:t>-</w:t>
      </w:r>
      <w:r>
        <w:rPr>
          <w:spacing w:val="-2"/>
        </w:rPr>
        <w:tab/>
        <w:t>Публикация информационной брошюры под названием "Беременные же</w:t>
      </w:r>
      <w:r>
        <w:rPr>
          <w:spacing w:val="-2"/>
        </w:rPr>
        <w:t>н</w:t>
      </w:r>
      <w:r>
        <w:rPr>
          <w:spacing w:val="-2"/>
        </w:rPr>
        <w:t>щины в Бремене и Бр</w:t>
      </w:r>
      <w:r>
        <w:rPr>
          <w:spacing w:val="-2"/>
        </w:rPr>
        <w:t>е</w:t>
      </w:r>
      <w:r>
        <w:rPr>
          <w:spacing w:val="-2"/>
        </w:rPr>
        <w:t>мерхафене" (Бремен)</w:t>
      </w:r>
    </w:p>
    <w:p w:rsidR="00000000" w:rsidRDefault="00000000">
      <w:pPr>
        <w:pStyle w:val="SingleTxt"/>
        <w:ind w:left="1985" w:hanging="244"/>
        <w:rPr>
          <w:spacing w:val="-2"/>
        </w:rPr>
      </w:pPr>
      <w:r>
        <w:rPr>
          <w:spacing w:val="-2"/>
        </w:rPr>
        <w:t>-</w:t>
      </w:r>
      <w:r>
        <w:rPr>
          <w:spacing w:val="-2"/>
        </w:rPr>
        <w:tab/>
        <w:t>Организация дополнительной подготовки сертифицированных врачей по теме "Опыт борьбы с сексуальным насилием как причиной общих жалоб женщин и девушек на плохое физическое состояние"; публикация матери</w:t>
      </w:r>
      <w:r>
        <w:rPr>
          <w:spacing w:val="-2"/>
        </w:rPr>
        <w:t>а</w:t>
      </w:r>
      <w:r>
        <w:rPr>
          <w:spacing w:val="-2"/>
        </w:rPr>
        <w:t>лов по этой же теме (Бремен)</w:t>
      </w:r>
    </w:p>
    <w:p w:rsidR="00000000" w:rsidRDefault="00000000">
      <w:pPr>
        <w:pStyle w:val="SingleTxt"/>
        <w:ind w:left="1985" w:hanging="244"/>
        <w:rPr>
          <w:spacing w:val="-2"/>
        </w:rPr>
      </w:pPr>
      <w:r>
        <w:rPr>
          <w:spacing w:val="-2"/>
        </w:rPr>
        <w:t>-</w:t>
      </w:r>
      <w:r>
        <w:rPr>
          <w:spacing w:val="-2"/>
        </w:rPr>
        <w:tab/>
        <w:t>Проект включения гендерного аспекта в систему здравоохранения (Ге</w:t>
      </w:r>
      <w:r>
        <w:rPr>
          <w:spacing w:val="-2"/>
        </w:rPr>
        <w:t>с</w:t>
      </w:r>
      <w:r>
        <w:rPr>
          <w:spacing w:val="-2"/>
        </w:rPr>
        <w:t>сен)</w:t>
      </w:r>
    </w:p>
    <w:p w:rsidR="00000000" w:rsidRDefault="00000000">
      <w:pPr>
        <w:pStyle w:val="SingleTxt"/>
        <w:ind w:left="1985" w:hanging="244"/>
        <w:rPr>
          <w:spacing w:val="-2"/>
        </w:rPr>
      </w:pPr>
      <w:r>
        <w:rPr>
          <w:spacing w:val="-2"/>
        </w:rPr>
        <w:t>-</w:t>
      </w:r>
      <w:r>
        <w:rPr>
          <w:spacing w:val="-2"/>
        </w:rPr>
        <w:tab/>
        <w:t>Деловое общение учреждений, проектов и групп по теме "Здоровье же</w:t>
      </w:r>
      <w:r>
        <w:rPr>
          <w:spacing w:val="-2"/>
        </w:rPr>
        <w:t>н</w:t>
      </w:r>
      <w:r>
        <w:rPr>
          <w:spacing w:val="-2"/>
        </w:rPr>
        <w:t>щин" (Гессен)</w:t>
      </w:r>
    </w:p>
    <w:p w:rsidR="00000000" w:rsidRDefault="00000000">
      <w:pPr>
        <w:pStyle w:val="SingleTxt"/>
        <w:ind w:left="1985" w:hanging="244"/>
        <w:rPr>
          <w:spacing w:val="-2"/>
        </w:rPr>
      </w:pPr>
      <w:r>
        <w:rPr>
          <w:spacing w:val="-2"/>
        </w:rPr>
        <w:t>-</w:t>
      </w:r>
      <w:r>
        <w:rPr>
          <w:spacing w:val="-2"/>
        </w:rPr>
        <w:tab/>
        <w:t>Проект по оказанию женщинам поддержки в деле самостоятельной охраны своего здоровья (Гессен)</w:t>
      </w:r>
    </w:p>
    <w:p w:rsidR="00000000" w:rsidRDefault="00000000">
      <w:pPr>
        <w:pStyle w:val="SingleTxt"/>
        <w:ind w:left="1985" w:hanging="244"/>
        <w:rPr>
          <w:spacing w:val="-2"/>
        </w:rPr>
      </w:pPr>
      <w:r>
        <w:rPr>
          <w:spacing w:val="-2"/>
        </w:rPr>
        <w:t>-</w:t>
      </w:r>
      <w:r>
        <w:rPr>
          <w:spacing w:val="-2"/>
        </w:rPr>
        <w:tab/>
        <w:t>Гендерная оценка случаев госпитализации в Мекленбурге-Западной Пом</w:t>
      </w:r>
      <w:r>
        <w:rPr>
          <w:spacing w:val="-2"/>
        </w:rPr>
        <w:t>е</w:t>
      </w:r>
      <w:r>
        <w:rPr>
          <w:spacing w:val="-2"/>
        </w:rPr>
        <w:t>рании (Мекленбург-Западная Померания)</w:t>
      </w:r>
    </w:p>
    <w:p w:rsidR="00000000" w:rsidRDefault="00000000">
      <w:pPr>
        <w:pStyle w:val="SingleTxt"/>
        <w:ind w:left="1985" w:hanging="244"/>
        <w:rPr>
          <w:spacing w:val="-2"/>
        </w:rPr>
      </w:pPr>
      <w:r>
        <w:rPr>
          <w:spacing w:val="-2"/>
        </w:rPr>
        <w:t>-</w:t>
      </w:r>
      <w:r>
        <w:rPr>
          <w:spacing w:val="-2"/>
        </w:rPr>
        <w:tab/>
        <w:t>Планирование создания центра по охране здоровья женщин в Мекле</w:t>
      </w:r>
      <w:r>
        <w:rPr>
          <w:spacing w:val="-2"/>
        </w:rPr>
        <w:t>н</w:t>
      </w:r>
      <w:r>
        <w:rPr>
          <w:spacing w:val="-2"/>
        </w:rPr>
        <w:t>бурге-Западной Померании</w:t>
      </w:r>
    </w:p>
    <w:p w:rsidR="00000000" w:rsidRDefault="00000000">
      <w:pPr>
        <w:pStyle w:val="SingleTxt"/>
        <w:ind w:left="1985" w:hanging="244"/>
        <w:rPr>
          <w:spacing w:val="-2"/>
        </w:rPr>
      </w:pPr>
      <w:r>
        <w:rPr>
          <w:spacing w:val="-2"/>
        </w:rPr>
        <w:t>-</w:t>
      </w:r>
      <w:r>
        <w:rPr>
          <w:spacing w:val="-2"/>
        </w:rPr>
        <w:tab/>
        <w:t>Рабочая группа по вопросам охраны здоровья женщин правительства земли (Мекленбург-Западная Померания)</w:t>
      </w:r>
    </w:p>
    <w:p w:rsidR="00000000" w:rsidRDefault="00000000">
      <w:pPr>
        <w:pStyle w:val="SingleTxt"/>
        <w:ind w:left="1985" w:hanging="244"/>
        <w:rPr>
          <w:spacing w:val="-2"/>
        </w:rPr>
      </w:pPr>
      <w:r>
        <w:rPr>
          <w:spacing w:val="-2"/>
        </w:rPr>
        <w:t>-</w:t>
      </w:r>
      <w:r>
        <w:rPr>
          <w:spacing w:val="-2"/>
        </w:rPr>
        <w:tab/>
        <w:t>Центры по охране здоровья женщин (Нижняя Саксония)</w:t>
      </w:r>
    </w:p>
    <w:p w:rsidR="00000000" w:rsidRDefault="00000000">
      <w:pPr>
        <w:pStyle w:val="SingleTxt"/>
        <w:ind w:left="1985" w:hanging="244"/>
        <w:rPr>
          <w:spacing w:val="-2"/>
        </w:rPr>
      </w:pPr>
      <w:r>
        <w:rPr>
          <w:spacing w:val="-2"/>
        </w:rPr>
        <w:t>-</w:t>
      </w:r>
      <w:r>
        <w:rPr>
          <w:spacing w:val="-2"/>
        </w:rPr>
        <w:tab/>
        <w:t>Поощрение создания сети "Женщины/девушки и здравоохранение" (Нижняя Саксония)</w:t>
      </w:r>
    </w:p>
    <w:p w:rsidR="00000000" w:rsidRDefault="00000000">
      <w:pPr>
        <w:pStyle w:val="SingleTxt"/>
        <w:ind w:left="1985" w:hanging="244"/>
        <w:rPr>
          <w:spacing w:val="-2"/>
        </w:rPr>
      </w:pPr>
      <w:r>
        <w:rPr>
          <w:spacing w:val="-2"/>
        </w:rPr>
        <w:t>-</w:t>
      </w:r>
      <w:r>
        <w:rPr>
          <w:spacing w:val="-2"/>
        </w:rPr>
        <w:tab/>
        <w:t>Публикация земельного доклада по вопросам здравоохранения под назван</w:t>
      </w:r>
      <w:r>
        <w:rPr>
          <w:spacing w:val="-2"/>
        </w:rPr>
        <w:t>и</w:t>
      </w:r>
      <w:r>
        <w:rPr>
          <w:spacing w:val="-2"/>
        </w:rPr>
        <w:t>ем "Здоровье женщин и мужчин" (2000 год) (Северный Рейн-Вестфалия)</w:t>
      </w:r>
    </w:p>
    <w:p w:rsidR="00000000" w:rsidRDefault="00000000">
      <w:pPr>
        <w:pStyle w:val="SingleTxt"/>
        <w:ind w:left="1985" w:hanging="244"/>
        <w:rPr>
          <w:spacing w:val="-2"/>
        </w:rPr>
      </w:pPr>
      <w:r>
        <w:rPr>
          <w:spacing w:val="-2"/>
        </w:rPr>
        <w:t>-</w:t>
      </w:r>
      <w:r>
        <w:rPr>
          <w:spacing w:val="-2"/>
        </w:rPr>
        <w:tab/>
        <w:t>Рассмотрение вопроса "Гендерные аспекты здравоохранения и заболеваем</w:t>
      </w:r>
      <w:r>
        <w:rPr>
          <w:spacing w:val="-2"/>
        </w:rPr>
        <w:t>о</w:t>
      </w:r>
      <w:r>
        <w:rPr>
          <w:spacing w:val="-2"/>
        </w:rPr>
        <w:t>сти" в рамках земельной конференции по вопросам здравоохранения в 2001 году (Северный Рейн-Вестфалия)</w:t>
      </w:r>
    </w:p>
    <w:p w:rsidR="00000000" w:rsidRDefault="00000000">
      <w:pPr>
        <w:pStyle w:val="SingleTxt"/>
        <w:ind w:left="1985" w:hanging="244"/>
        <w:rPr>
          <w:spacing w:val="-2"/>
        </w:rPr>
      </w:pPr>
      <w:r>
        <w:rPr>
          <w:spacing w:val="-2"/>
        </w:rPr>
        <w:t>-</w:t>
      </w:r>
      <w:r>
        <w:rPr>
          <w:spacing w:val="-2"/>
        </w:rPr>
        <w:tab/>
        <w:t>Участие местных уполномоченных по вопросам равенства в конференциях по проблемам здрав</w:t>
      </w:r>
      <w:r>
        <w:rPr>
          <w:spacing w:val="-2"/>
        </w:rPr>
        <w:t>о</w:t>
      </w:r>
      <w:r>
        <w:rPr>
          <w:spacing w:val="-2"/>
        </w:rPr>
        <w:t>охранения на местном уровне (Северный Рейн-Вестфалия)</w:t>
      </w:r>
    </w:p>
    <w:p w:rsidR="00000000" w:rsidRDefault="00000000">
      <w:pPr>
        <w:pStyle w:val="SingleTxt"/>
        <w:ind w:left="1985" w:hanging="244"/>
        <w:rPr>
          <w:spacing w:val="-2"/>
        </w:rPr>
      </w:pPr>
      <w:r>
        <w:rPr>
          <w:spacing w:val="-2"/>
        </w:rPr>
        <w:t>-</w:t>
      </w:r>
      <w:r>
        <w:rPr>
          <w:spacing w:val="-2"/>
        </w:rPr>
        <w:tab/>
        <w:t>Организация министерством по делам женщин Северного Рейна-Вестфалии в координации с местными уполномоченными по вопросам равенства общ</w:t>
      </w:r>
      <w:r>
        <w:rPr>
          <w:spacing w:val="-2"/>
        </w:rPr>
        <w:t>е</w:t>
      </w:r>
      <w:r>
        <w:rPr>
          <w:spacing w:val="-2"/>
        </w:rPr>
        <w:t>земельных Недели действий по теме "Женщины и здравоохранение" (2001 год) (Северный Рейн-Вестфалия)</w:t>
      </w:r>
    </w:p>
    <w:p w:rsidR="00000000" w:rsidRDefault="00000000">
      <w:pPr>
        <w:pStyle w:val="SingleTxt"/>
        <w:ind w:left="1985" w:hanging="244"/>
        <w:rPr>
          <w:spacing w:val="-2"/>
        </w:rPr>
      </w:pPr>
      <w:r>
        <w:rPr>
          <w:spacing w:val="-2"/>
        </w:rPr>
        <w:t>-</w:t>
      </w:r>
      <w:r>
        <w:rPr>
          <w:spacing w:val="-2"/>
        </w:rPr>
        <w:tab/>
        <w:t>"Согласованные действия по предупреждению рака груди" (Инициатива з</w:t>
      </w:r>
      <w:r>
        <w:rPr>
          <w:spacing w:val="-2"/>
        </w:rPr>
        <w:t>е</w:t>
      </w:r>
      <w:r>
        <w:rPr>
          <w:spacing w:val="-2"/>
        </w:rPr>
        <w:t>мельных министерств по делам женщин и здравоохранения и учреждений сист</w:t>
      </w:r>
      <w:r>
        <w:rPr>
          <w:spacing w:val="-2"/>
        </w:rPr>
        <w:t>е</w:t>
      </w:r>
      <w:r>
        <w:rPr>
          <w:spacing w:val="-2"/>
        </w:rPr>
        <w:t>мы здравоохранения) (Северный Рейн-Вестфалия)</w:t>
      </w:r>
    </w:p>
    <w:p w:rsidR="00000000" w:rsidRDefault="00000000">
      <w:pPr>
        <w:pStyle w:val="SingleTxt"/>
        <w:ind w:left="1985" w:hanging="244"/>
        <w:rPr>
          <w:spacing w:val="-2"/>
        </w:rPr>
      </w:pPr>
      <w:r>
        <w:rPr>
          <w:spacing w:val="-2"/>
        </w:rPr>
        <w:t>-</w:t>
      </w:r>
      <w:r>
        <w:rPr>
          <w:spacing w:val="-2"/>
        </w:rPr>
        <w:tab/>
        <w:t>Оказание содействия координационной группе "Женщины и здравоохран</w:t>
      </w:r>
      <w:r>
        <w:rPr>
          <w:spacing w:val="-2"/>
        </w:rPr>
        <w:t>е</w:t>
      </w:r>
      <w:r>
        <w:rPr>
          <w:spacing w:val="-2"/>
        </w:rPr>
        <w:t>ние" (пилотный проект) и двум центрам по охране здоровья женщин (Гаг</w:t>
      </w:r>
      <w:r>
        <w:rPr>
          <w:spacing w:val="-2"/>
        </w:rPr>
        <w:t>а</w:t>
      </w:r>
      <w:r>
        <w:rPr>
          <w:spacing w:val="-2"/>
        </w:rPr>
        <w:t>зусса/Кельн и Международный центр по охране здоровья женщин/Бад-Зальцуфлен) (Северный Рейн-Вестфалия)</w:t>
      </w:r>
    </w:p>
    <w:p w:rsidR="00000000" w:rsidRDefault="00000000">
      <w:pPr>
        <w:pStyle w:val="SingleTxt"/>
        <w:ind w:left="1985" w:hanging="244"/>
        <w:rPr>
          <w:spacing w:val="-2"/>
        </w:rPr>
      </w:pPr>
      <w:r>
        <w:rPr>
          <w:spacing w:val="-2"/>
        </w:rPr>
        <w:t>-</w:t>
      </w:r>
      <w:r>
        <w:rPr>
          <w:spacing w:val="-2"/>
        </w:rPr>
        <w:tab/>
        <w:t>"Согласованные действия по предупреждению рака груди" (Инициатива з</w:t>
      </w:r>
      <w:r>
        <w:rPr>
          <w:spacing w:val="-2"/>
        </w:rPr>
        <w:t>е</w:t>
      </w:r>
      <w:r>
        <w:rPr>
          <w:spacing w:val="-2"/>
        </w:rPr>
        <w:t>мельных министерств по делам женщин и здравоохранения и учреждений сист</w:t>
      </w:r>
      <w:r>
        <w:rPr>
          <w:spacing w:val="-2"/>
        </w:rPr>
        <w:t>е</w:t>
      </w:r>
      <w:r>
        <w:rPr>
          <w:spacing w:val="-2"/>
        </w:rPr>
        <w:t>мы здравоохранения) (Северный Рейн-Вестфалия)</w:t>
      </w:r>
    </w:p>
    <w:p w:rsidR="00000000" w:rsidRDefault="00000000">
      <w:pPr>
        <w:pStyle w:val="SingleTxt"/>
        <w:ind w:left="1985" w:hanging="244"/>
        <w:rPr>
          <w:spacing w:val="-2"/>
        </w:rPr>
      </w:pPr>
      <w:r>
        <w:rPr>
          <w:spacing w:val="-2"/>
        </w:rPr>
        <w:t>-</w:t>
      </w:r>
      <w:r>
        <w:rPr>
          <w:spacing w:val="-2"/>
        </w:rPr>
        <w:tab/>
        <w:t>Содействие работе специального земельного учреждения "Женщины и на</w:t>
      </w:r>
      <w:r>
        <w:rPr>
          <w:spacing w:val="-2"/>
        </w:rPr>
        <w:t>р</w:t>
      </w:r>
      <w:r>
        <w:rPr>
          <w:spacing w:val="-2"/>
        </w:rPr>
        <w:t>комания – Белладонна" и принятию конкретно касающихся женщин мер по осуществлению земельной программы по борьбе с наркоманией (например, в области консультирования по проблемам наркомании и наркотиков)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Оказание содействия пяти консультациям по проблемам наркомании в ре</w:t>
      </w:r>
      <w:r>
        <w:rPr>
          <w:spacing w:val="-2"/>
        </w:rPr>
        <w:t>а</w:t>
      </w:r>
      <w:r>
        <w:rPr>
          <w:spacing w:val="-2"/>
        </w:rPr>
        <w:t>лизации подходов, неп</w:t>
      </w:r>
      <w:r>
        <w:rPr>
          <w:spacing w:val="-2"/>
        </w:rPr>
        <w:t>о</w:t>
      </w:r>
      <w:r>
        <w:rPr>
          <w:spacing w:val="-2"/>
        </w:rPr>
        <w:t>средственно касающихся женщин (Рейнланд-Пфальц)</w:t>
      </w:r>
    </w:p>
    <w:p w:rsidR="00000000" w:rsidRDefault="00000000">
      <w:pPr>
        <w:pStyle w:val="SingleTxt"/>
        <w:ind w:left="1985" w:hanging="244"/>
        <w:rPr>
          <w:spacing w:val="-2"/>
        </w:rPr>
      </w:pPr>
      <w:r>
        <w:rPr>
          <w:spacing w:val="-2"/>
        </w:rPr>
        <w:t>-</w:t>
      </w:r>
      <w:r>
        <w:rPr>
          <w:spacing w:val="-2"/>
        </w:rPr>
        <w:tab/>
        <w:t>Оказание содействия Центру "МЕДЕЯ", занимающемуся вопросами охраны здоровья женщин и д</w:t>
      </w:r>
      <w:r>
        <w:rPr>
          <w:spacing w:val="-2"/>
        </w:rPr>
        <w:t>е</w:t>
      </w:r>
      <w:r>
        <w:rPr>
          <w:spacing w:val="-2"/>
        </w:rPr>
        <w:t>вушек (Саксония)</w:t>
      </w:r>
    </w:p>
    <w:p w:rsidR="00000000" w:rsidRDefault="00000000">
      <w:pPr>
        <w:pStyle w:val="SingleTxt"/>
        <w:ind w:left="1985" w:hanging="244"/>
        <w:rPr>
          <w:spacing w:val="-2"/>
        </w:rPr>
      </w:pPr>
      <w:r>
        <w:rPr>
          <w:spacing w:val="-2"/>
        </w:rPr>
        <w:t>-</w:t>
      </w:r>
      <w:r>
        <w:rPr>
          <w:spacing w:val="-2"/>
        </w:rPr>
        <w:tab/>
        <w:t>Сеть "Женщины и здравоохранение" как открытая ассоциация женщин, р</w:t>
      </w:r>
      <w:r>
        <w:rPr>
          <w:spacing w:val="-2"/>
        </w:rPr>
        <w:t>а</w:t>
      </w:r>
      <w:r>
        <w:rPr>
          <w:spacing w:val="-2"/>
        </w:rPr>
        <w:t>ботающих в основном и</w:t>
      </w:r>
      <w:r>
        <w:rPr>
          <w:spacing w:val="-2"/>
        </w:rPr>
        <w:t>н</w:t>
      </w:r>
      <w:r>
        <w:rPr>
          <w:spacing w:val="-2"/>
        </w:rPr>
        <w:t>структорами в сфере здравоохранения (Саксония-Айнхальт)</w:t>
      </w:r>
    </w:p>
    <w:p w:rsidR="00000000" w:rsidRDefault="00000000">
      <w:pPr>
        <w:pStyle w:val="SingleTxt"/>
        <w:ind w:left="1985" w:hanging="244"/>
        <w:rPr>
          <w:spacing w:val="-2"/>
        </w:rPr>
      </w:pPr>
      <w:r>
        <w:rPr>
          <w:spacing w:val="-2"/>
        </w:rPr>
        <w:t>-</w:t>
      </w:r>
      <w:r>
        <w:rPr>
          <w:spacing w:val="-2"/>
        </w:rPr>
        <w:tab/>
        <w:t>Исследовательский проект в университете им. Отто фон Герике под назв</w:t>
      </w:r>
      <w:r>
        <w:rPr>
          <w:spacing w:val="-2"/>
        </w:rPr>
        <w:t>а</w:t>
      </w:r>
      <w:r>
        <w:rPr>
          <w:spacing w:val="-2"/>
        </w:rPr>
        <w:t>нием "Ситуации, риски и здоровье женщин среднего возраста" (Саксония-Айнхальт)</w:t>
      </w:r>
    </w:p>
    <w:p w:rsidR="00000000" w:rsidRDefault="00000000">
      <w:pPr>
        <w:pStyle w:val="SingleTxt"/>
        <w:ind w:left="1985" w:hanging="244"/>
        <w:rPr>
          <w:spacing w:val="-2"/>
        </w:rPr>
      </w:pPr>
      <w:r>
        <w:rPr>
          <w:spacing w:val="-2"/>
        </w:rPr>
        <w:t>-</w:t>
      </w:r>
      <w:r>
        <w:rPr>
          <w:spacing w:val="-2"/>
        </w:rPr>
        <w:tab/>
        <w:t>Создание сети по вопросам охраны здоровья женщин в Шлезвиг-Гольштейне</w:t>
      </w:r>
    </w:p>
    <w:p w:rsidR="00000000" w:rsidRDefault="00000000">
      <w:pPr>
        <w:pStyle w:val="SingleTxt"/>
        <w:ind w:left="1985" w:hanging="244"/>
        <w:rPr>
          <w:spacing w:val="-2"/>
        </w:rPr>
      </w:pPr>
      <w:r>
        <w:rPr>
          <w:spacing w:val="-2"/>
        </w:rPr>
        <w:t>-</w:t>
      </w:r>
      <w:r>
        <w:rPr>
          <w:spacing w:val="-2"/>
        </w:rPr>
        <w:tab/>
        <w:t>Совместная публикация брошюры под названием "Психиатрия и нарком</w:t>
      </w:r>
      <w:r>
        <w:rPr>
          <w:spacing w:val="-2"/>
        </w:rPr>
        <w:t>а</w:t>
      </w:r>
      <w:r>
        <w:rPr>
          <w:spacing w:val="-2"/>
        </w:rPr>
        <w:t>ния – Руководство, касающееся возможностей, имеющихся у женщин" (Шлезвиг-Гольштейн)</w:t>
      </w:r>
    </w:p>
    <w:p w:rsidR="00000000" w:rsidRDefault="00000000">
      <w:pPr>
        <w:pStyle w:val="SingleTxt"/>
        <w:ind w:left="1985" w:hanging="244"/>
        <w:rPr>
          <w:spacing w:val="-2"/>
        </w:rPr>
      </w:pPr>
      <w:r>
        <w:rPr>
          <w:spacing w:val="-2"/>
        </w:rPr>
        <w:t>-</w:t>
      </w:r>
      <w:r>
        <w:rPr>
          <w:spacing w:val="-2"/>
        </w:rPr>
        <w:tab/>
        <w:t>Возможности лечения наркомании у женщин (Тюрингия)</w:t>
      </w:r>
    </w:p>
    <w:p w:rsidR="00000000" w:rsidRDefault="00000000">
      <w:pPr>
        <w:pStyle w:val="H4"/>
      </w:pPr>
      <w:bookmarkStart w:id="884" w:name="_Toc44113891"/>
      <w:bookmarkStart w:id="885" w:name="_Toc44114400"/>
      <w:bookmarkStart w:id="886" w:name="_Toc44116082"/>
      <w:r>
        <w:t>o)</w:t>
      </w:r>
      <w:r>
        <w:tab/>
        <w:t>Лесбиянки и гомосексуалисты</w:t>
      </w:r>
      <w:bookmarkEnd w:id="884"/>
      <w:bookmarkEnd w:id="885"/>
      <w:bookmarkEnd w:id="886"/>
    </w:p>
    <w:p w:rsidR="00000000" w:rsidRDefault="00000000">
      <w:pPr>
        <w:pStyle w:val="SingleTxt"/>
        <w:ind w:left="1985" w:hanging="244"/>
        <w:rPr>
          <w:spacing w:val="-2"/>
        </w:rPr>
      </w:pPr>
      <w:r>
        <w:rPr>
          <w:spacing w:val="-2"/>
        </w:rPr>
        <w:t>-</w:t>
      </w:r>
      <w:r>
        <w:rPr>
          <w:spacing w:val="-2"/>
        </w:rPr>
        <w:tab/>
        <w:t>Закон о полномочиях и процедурах согласно Закону о зарегистрированных партнерствах (Берлин, Бранденбург, Гамбург, Северный Рейн-Вестфалия, Саар, Тюрингия)</w:t>
      </w:r>
    </w:p>
    <w:p w:rsidR="00000000" w:rsidRDefault="00000000">
      <w:pPr>
        <w:pStyle w:val="SingleTxt"/>
        <w:ind w:left="1985" w:hanging="244"/>
        <w:rPr>
          <w:spacing w:val="-2"/>
        </w:rPr>
      </w:pPr>
      <w:r>
        <w:rPr>
          <w:spacing w:val="-2"/>
        </w:rPr>
        <w:t>-</w:t>
      </w:r>
      <w:r>
        <w:rPr>
          <w:spacing w:val="-2"/>
        </w:rPr>
        <w:tab/>
        <w:t>Поддержка организационных структур гомосексуалистов и лесбиянок путем оказания содействия группам, ассоциациям, земельным ассоциациям и пр</w:t>
      </w:r>
      <w:r>
        <w:rPr>
          <w:spacing w:val="-2"/>
        </w:rPr>
        <w:t>о</w:t>
      </w:r>
      <w:r>
        <w:rPr>
          <w:spacing w:val="-2"/>
        </w:rPr>
        <w:t>ектам в области консультирования, информации, делового общения и уст</w:t>
      </w:r>
      <w:r>
        <w:rPr>
          <w:spacing w:val="-2"/>
        </w:rPr>
        <w:t>а</w:t>
      </w:r>
      <w:r>
        <w:rPr>
          <w:spacing w:val="-2"/>
        </w:rPr>
        <w:t>новления связей с общественностью (Северный Рейн-Вестфалия, Са</w:t>
      </w:r>
      <w:r>
        <w:rPr>
          <w:spacing w:val="-2"/>
        </w:rPr>
        <w:t>к</w:t>
      </w:r>
      <w:r>
        <w:rPr>
          <w:spacing w:val="-2"/>
        </w:rPr>
        <w:t>сония-Айнхальт)</w:t>
      </w:r>
    </w:p>
    <w:p w:rsidR="00000000" w:rsidRDefault="00000000">
      <w:pPr>
        <w:pStyle w:val="SingleTxt"/>
        <w:ind w:left="1985" w:hanging="244"/>
        <w:rPr>
          <w:spacing w:val="-2"/>
        </w:rPr>
      </w:pPr>
      <w:r>
        <w:rPr>
          <w:spacing w:val="-2"/>
        </w:rPr>
        <w:t>-</w:t>
      </w:r>
      <w:r>
        <w:rPr>
          <w:spacing w:val="-2"/>
        </w:rPr>
        <w:tab/>
        <w:t>Конференция экспертов по теме "Нетрадиционные семьи, в которых род</w:t>
      </w:r>
      <w:r>
        <w:rPr>
          <w:spacing w:val="-2"/>
        </w:rPr>
        <w:t>и</w:t>
      </w:r>
      <w:r>
        <w:rPr>
          <w:spacing w:val="-2"/>
        </w:rPr>
        <w:t>тели являются лесбиянками, гомосексуалистами, бисексуалами или тран</w:t>
      </w:r>
      <w:r>
        <w:rPr>
          <w:spacing w:val="-2"/>
        </w:rPr>
        <w:t>с</w:t>
      </w:r>
      <w:r>
        <w:rPr>
          <w:spacing w:val="-2"/>
        </w:rPr>
        <w:t>сексу</w:t>
      </w:r>
      <w:r>
        <w:rPr>
          <w:spacing w:val="-2"/>
        </w:rPr>
        <w:t>а</w:t>
      </w:r>
      <w:r>
        <w:rPr>
          <w:spacing w:val="-2"/>
        </w:rPr>
        <w:t>лами" (Берлин)</w:t>
      </w:r>
    </w:p>
    <w:p w:rsidR="00000000" w:rsidRDefault="00000000">
      <w:pPr>
        <w:pStyle w:val="SingleTxt"/>
        <w:ind w:left="1985" w:hanging="244"/>
        <w:rPr>
          <w:spacing w:val="-2"/>
        </w:rPr>
      </w:pPr>
      <w:r>
        <w:rPr>
          <w:spacing w:val="-2"/>
        </w:rPr>
        <w:t>-</w:t>
      </w:r>
      <w:r>
        <w:rPr>
          <w:spacing w:val="-2"/>
        </w:rPr>
        <w:tab/>
        <w:t>Серия брошюр по проблеме эмансипации лесбиянок/гомосексуалистов (Берлин)</w:t>
      </w:r>
    </w:p>
    <w:p w:rsidR="00000000" w:rsidRDefault="00000000">
      <w:pPr>
        <w:pStyle w:val="SingleTxt"/>
        <w:ind w:left="1985" w:hanging="244"/>
        <w:rPr>
          <w:spacing w:val="-2"/>
        </w:rPr>
      </w:pPr>
      <w:r>
        <w:rPr>
          <w:spacing w:val="-2"/>
        </w:rPr>
        <w:t>-</w:t>
      </w:r>
      <w:r>
        <w:rPr>
          <w:spacing w:val="-2"/>
        </w:rPr>
        <w:tab/>
        <w:t>Оказание содействия земельному координационному учреждению по пр</w:t>
      </w:r>
      <w:r>
        <w:rPr>
          <w:spacing w:val="-2"/>
        </w:rPr>
        <w:t>о</w:t>
      </w:r>
      <w:r>
        <w:rPr>
          <w:spacing w:val="-2"/>
        </w:rPr>
        <w:t>блемам лесбиянок и гом</w:t>
      </w:r>
      <w:r>
        <w:rPr>
          <w:spacing w:val="-2"/>
        </w:rPr>
        <w:t>о</w:t>
      </w:r>
      <w:r>
        <w:rPr>
          <w:spacing w:val="-2"/>
        </w:rPr>
        <w:t>сексуалистов в земле Бранденбург (Бранденбург)</w:t>
      </w:r>
    </w:p>
    <w:p w:rsidR="00000000" w:rsidRDefault="00000000">
      <w:pPr>
        <w:pStyle w:val="SingleTxt"/>
        <w:ind w:left="1985" w:hanging="244"/>
        <w:rPr>
          <w:spacing w:val="-2"/>
        </w:rPr>
      </w:pPr>
      <w:r>
        <w:rPr>
          <w:spacing w:val="-2"/>
        </w:rPr>
        <w:t>-</w:t>
      </w:r>
      <w:r>
        <w:rPr>
          <w:spacing w:val="-2"/>
        </w:rPr>
        <w:tab/>
        <w:t>Содействие проведению ежегодной недельной поездки по городам земли Бранденбург по случаю Дня Кристофера Стрита под патронажем министра труда, социальных дел, здравоохранения и по делам же</w:t>
      </w:r>
      <w:r>
        <w:rPr>
          <w:spacing w:val="-2"/>
        </w:rPr>
        <w:t>н</w:t>
      </w:r>
      <w:r>
        <w:rPr>
          <w:spacing w:val="-2"/>
        </w:rPr>
        <w:t>щин (Бранденбург)</w:t>
      </w:r>
    </w:p>
    <w:p w:rsidR="00000000" w:rsidRDefault="00000000">
      <w:pPr>
        <w:pStyle w:val="SingleTxt"/>
        <w:ind w:left="1985" w:hanging="244"/>
        <w:rPr>
          <w:spacing w:val="-2"/>
        </w:rPr>
      </w:pPr>
      <w:r>
        <w:rPr>
          <w:spacing w:val="-2"/>
        </w:rPr>
        <w:t>-</w:t>
      </w:r>
      <w:r>
        <w:rPr>
          <w:spacing w:val="-2"/>
        </w:rPr>
        <w:tab/>
        <w:t>Создание при канцелярии сенатора по вопросам труда, женщин, молодежи, здравоохранения и социальным вопросам секции под названием "Проблемы молодежи", которая будет заниматься вопросами, касающимися однополого партнерс</w:t>
      </w:r>
      <w:r>
        <w:rPr>
          <w:spacing w:val="-2"/>
        </w:rPr>
        <w:t>т</w:t>
      </w:r>
      <w:r>
        <w:rPr>
          <w:spacing w:val="-2"/>
        </w:rPr>
        <w:t>ва (Бремен)</w:t>
      </w:r>
    </w:p>
    <w:p w:rsidR="00000000" w:rsidRDefault="00000000">
      <w:pPr>
        <w:pStyle w:val="SingleTxt"/>
        <w:ind w:left="1985" w:hanging="244"/>
        <w:rPr>
          <w:spacing w:val="-2"/>
        </w:rPr>
      </w:pPr>
      <w:r>
        <w:rPr>
          <w:spacing w:val="-2"/>
        </w:rPr>
        <w:t>-</w:t>
      </w:r>
      <w:r>
        <w:rPr>
          <w:spacing w:val="-2"/>
        </w:rPr>
        <w:tab/>
        <w:t>Меры в области образования и содействия эмансипации, брошюры, листо</w:t>
      </w:r>
      <w:r>
        <w:rPr>
          <w:spacing w:val="-2"/>
        </w:rPr>
        <w:t>в</w:t>
      </w:r>
      <w:r>
        <w:rPr>
          <w:spacing w:val="-2"/>
        </w:rPr>
        <w:t>ки, пропагандистская кампания (Северный Рейн-Вестфалия)</w:t>
      </w:r>
    </w:p>
    <w:p w:rsidR="00000000" w:rsidRDefault="00000000">
      <w:pPr>
        <w:pStyle w:val="SingleTxt"/>
        <w:ind w:left="1985" w:hanging="244"/>
        <w:rPr>
          <w:spacing w:val="-2"/>
        </w:rPr>
      </w:pPr>
      <w:r>
        <w:rPr>
          <w:spacing w:val="-2"/>
        </w:rPr>
        <w:t>-</w:t>
      </w:r>
      <w:r>
        <w:rPr>
          <w:spacing w:val="-2"/>
        </w:rPr>
        <w:tab/>
        <w:t>Мероприятия в рамках работы с девушками-лесбиянками и юношами-гомосексуалистами (Севе</w:t>
      </w:r>
      <w:r>
        <w:rPr>
          <w:spacing w:val="-2"/>
        </w:rPr>
        <w:t>р</w:t>
      </w:r>
      <w:r>
        <w:rPr>
          <w:spacing w:val="-2"/>
        </w:rPr>
        <w:t>ный Рейн-Вестфалия)</w:t>
      </w:r>
    </w:p>
    <w:p w:rsidR="00000000" w:rsidRDefault="00000000">
      <w:pPr>
        <w:pStyle w:val="SingleTxt"/>
        <w:ind w:left="1985" w:hanging="244"/>
        <w:rPr>
          <w:spacing w:val="-2"/>
        </w:rPr>
      </w:pPr>
      <w:r>
        <w:rPr>
          <w:spacing w:val="-2"/>
        </w:rPr>
        <w:t>-</w:t>
      </w:r>
      <w:r>
        <w:rPr>
          <w:spacing w:val="-2"/>
        </w:rPr>
        <w:tab/>
        <w:t>Меры по борьбе с насилием в отношении лесбиянок и гомосексуалистов (Северный Рейн-Вестфалия)</w:t>
      </w:r>
    </w:p>
    <w:p w:rsidR="00000000" w:rsidRDefault="00000000">
      <w:pPr>
        <w:pStyle w:val="SingleTxt"/>
        <w:ind w:left="1985" w:hanging="244"/>
        <w:rPr>
          <w:spacing w:val="-2"/>
        </w:rPr>
      </w:pPr>
      <w:r>
        <w:rPr>
          <w:spacing w:val="-2"/>
        </w:rPr>
        <w:t>-</w:t>
      </w:r>
      <w:r>
        <w:rPr>
          <w:spacing w:val="-2"/>
        </w:rPr>
        <w:tab/>
        <w:t>Базовые научные и практические исследования и обследования по вопр</w:t>
      </w:r>
      <w:r>
        <w:rPr>
          <w:spacing w:val="-2"/>
        </w:rPr>
        <w:t>о</w:t>
      </w:r>
      <w:r>
        <w:rPr>
          <w:spacing w:val="-2"/>
        </w:rPr>
        <w:t>сам, касающимися одноп</w:t>
      </w:r>
      <w:r>
        <w:rPr>
          <w:spacing w:val="-2"/>
        </w:rPr>
        <w:t>о</w:t>
      </w:r>
      <w:r>
        <w:rPr>
          <w:spacing w:val="-2"/>
        </w:rPr>
        <w:t>лого партнерства (Северный Рейн-Вестфалия)</w:t>
      </w:r>
    </w:p>
    <w:p w:rsidR="00000000" w:rsidRDefault="00000000">
      <w:pPr>
        <w:pStyle w:val="SingleTxt"/>
        <w:ind w:left="1985" w:hanging="244"/>
        <w:rPr>
          <w:spacing w:val="-2"/>
        </w:rPr>
      </w:pPr>
      <w:r>
        <w:rPr>
          <w:spacing w:val="-2"/>
        </w:rPr>
        <w:t>-</w:t>
      </w:r>
      <w:r>
        <w:rPr>
          <w:spacing w:val="-2"/>
        </w:rPr>
        <w:tab/>
        <w:t>Оказание содействия ассоциациям лесбиянок и гомосексуалистов (Саар)</w:t>
      </w:r>
    </w:p>
    <w:p w:rsidR="00000000" w:rsidRDefault="00000000">
      <w:pPr>
        <w:pStyle w:val="SingleTxt"/>
        <w:ind w:left="1985" w:hanging="244"/>
        <w:rPr>
          <w:spacing w:val="-2"/>
        </w:rPr>
      </w:pPr>
      <w:r>
        <w:rPr>
          <w:spacing w:val="-2"/>
        </w:rPr>
        <w:t>-</w:t>
      </w:r>
      <w:r>
        <w:rPr>
          <w:spacing w:val="-2"/>
        </w:rPr>
        <w:tab/>
        <w:t>Закон о запрете дискриминации (Саксония-Айнхальт)</w:t>
      </w:r>
    </w:p>
    <w:p w:rsidR="00000000" w:rsidRDefault="00000000">
      <w:pPr>
        <w:pStyle w:val="SingleTxt"/>
        <w:ind w:left="1985" w:hanging="244"/>
        <w:rPr>
          <w:spacing w:val="-2"/>
        </w:rPr>
      </w:pPr>
      <w:r>
        <w:rPr>
          <w:spacing w:val="-2"/>
        </w:rPr>
        <w:t>-</w:t>
      </w:r>
      <w:r>
        <w:rPr>
          <w:spacing w:val="-2"/>
        </w:rPr>
        <w:tab/>
        <w:t>Меры по пресечению насилия и дискриминации в отношении лесбиянок и гомосексуалистов и поощрению равных возможностей для лиц, ведущих гомосексуальный и гетеросексуальный образ жизни, в Шлезвиг-Гольштейне (Шлезвиг-Гольштейн)</w:t>
      </w:r>
    </w:p>
    <w:p w:rsidR="00000000" w:rsidRDefault="00000000">
      <w:pPr>
        <w:pStyle w:val="SingleTxt"/>
        <w:ind w:left="1985" w:hanging="244"/>
        <w:rPr>
          <w:spacing w:val="-2"/>
        </w:rPr>
      </w:pPr>
      <w:r>
        <w:rPr>
          <w:spacing w:val="-2"/>
        </w:rPr>
        <w:t>-</w:t>
      </w:r>
      <w:r>
        <w:rPr>
          <w:spacing w:val="-2"/>
        </w:rPr>
        <w:tab/>
        <w:t>Акт об осуществлении Закона о зарегистрированных партнерствах в Шле</w:t>
      </w:r>
      <w:r>
        <w:rPr>
          <w:spacing w:val="-2"/>
        </w:rPr>
        <w:t>з</w:t>
      </w:r>
      <w:r>
        <w:rPr>
          <w:spacing w:val="-2"/>
        </w:rPr>
        <w:t>виг-Гольштейне (Шле</w:t>
      </w:r>
      <w:r>
        <w:rPr>
          <w:spacing w:val="-2"/>
        </w:rPr>
        <w:t>з</w:t>
      </w:r>
      <w:r>
        <w:rPr>
          <w:spacing w:val="-2"/>
        </w:rPr>
        <w:t>виг-Гольштейн)</w:t>
      </w:r>
    </w:p>
    <w:p w:rsidR="00000000" w:rsidRDefault="00000000">
      <w:pPr>
        <w:pStyle w:val="H4"/>
      </w:pPr>
      <w:bookmarkStart w:id="887" w:name="_Toc44113892"/>
      <w:bookmarkStart w:id="888" w:name="_Toc44114401"/>
      <w:bookmarkStart w:id="889" w:name="_Toc44116083"/>
      <w:r>
        <w:t>p)</w:t>
      </w:r>
      <w:r>
        <w:tab/>
        <w:t>Женщины в области искусства, культуры и спорта</w:t>
      </w:r>
      <w:bookmarkEnd w:id="887"/>
      <w:bookmarkEnd w:id="888"/>
      <w:bookmarkEnd w:id="889"/>
    </w:p>
    <w:p w:rsidR="00000000" w:rsidRDefault="00000000">
      <w:pPr>
        <w:pStyle w:val="SingleTxt"/>
        <w:ind w:left="1985" w:hanging="244"/>
        <w:rPr>
          <w:spacing w:val="-2"/>
        </w:rPr>
      </w:pPr>
      <w:r>
        <w:rPr>
          <w:spacing w:val="-2"/>
        </w:rPr>
        <w:t>-</w:t>
      </w:r>
      <w:r>
        <w:rPr>
          <w:spacing w:val="-2"/>
        </w:rPr>
        <w:tab/>
        <w:t>Программа для женщин в сфере искусства (Берлин)</w:t>
      </w:r>
    </w:p>
    <w:p w:rsidR="00000000" w:rsidRDefault="00000000">
      <w:pPr>
        <w:pStyle w:val="SingleTxt"/>
        <w:ind w:left="1985" w:hanging="244"/>
        <w:rPr>
          <w:spacing w:val="-2"/>
        </w:rPr>
      </w:pPr>
      <w:r>
        <w:rPr>
          <w:spacing w:val="-2"/>
        </w:rPr>
        <w:t>-</w:t>
      </w:r>
      <w:r>
        <w:rPr>
          <w:spacing w:val="-2"/>
        </w:rPr>
        <w:tab/>
        <w:t>Ежегодный женский пробег (Берлин)</w:t>
      </w:r>
    </w:p>
    <w:p w:rsidR="00000000" w:rsidRDefault="00000000">
      <w:pPr>
        <w:pStyle w:val="SingleTxt"/>
        <w:ind w:left="1985" w:hanging="244"/>
        <w:rPr>
          <w:spacing w:val="-2"/>
        </w:rPr>
      </w:pPr>
      <w:r>
        <w:rPr>
          <w:spacing w:val="-2"/>
        </w:rPr>
        <w:t>-</w:t>
      </w:r>
      <w:r>
        <w:rPr>
          <w:spacing w:val="-2"/>
        </w:rPr>
        <w:tab/>
        <w:t>Программа для женщин-наставников: профессиональная цель назначения преподавателя женского пола в Университете искусств (Берлин)</w:t>
      </w:r>
    </w:p>
    <w:p w:rsidR="00000000" w:rsidRDefault="00000000">
      <w:pPr>
        <w:pStyle w:val="SingleTxt"/>
        <w:ind w:left="1985" w:hanging="244"/>
        <w:rPr>
          <w:spacing w:val="-2"/>
        </w:rPr>
      </w:pPr>
      <w:r>
        <w:rPr>
          <w:spacing w:val="-2"/>
        </w:rPr>
        <w:t>-</w:t>
      </w:r>
      <w:r>
        <w:rPr>
          <w:spacing w:val="-2"/>
        </w:rPr>
        <w:tab/>
        <w:t>Содействие осуществлению различных проектов в интересах женщин в о</w:t>
      </w:r>
      <w:r>
        <w:rPr>
          <w:spacing w:val="-2"/>
        </w:rPr>
        <w:t>б</w:t>
      </w:r>
      <w:r>
        <w:rPr>
          <w:spacing w:val="-2"/>
        </w:rPr>
        <w:t>ласти искусства и культ</w:t>
      </w:r>
      <w:r>
        <w:rPr>
          <w:spacing w:val="-2"/>
        </w:rPr>
        <w:t>у</w:t>
      </w:r>
      <w:r>
        <w:rPr>
          <w:spacing w:val="-2"/>
        </w:rPr>
        <w:t>ры (Бранденбург)</w:t>
      </w:r>
    </w:p>
    <w:p w:rsidR="00000000" w:rsidRDefault="00000000">
      <w:pPr>
        <w:pStyle w:val="SingleTxt"/>
        <w:ind w:left="1985" w:hanging="244"/>
        <w:rPr>
          <w:spacing w:val="-2"/>
        </w:rPr>
      </w:pPr>
      <w:r>
        <w:rPr>
          <w:spacing w:val="-2"/>
        </w:rPr>
        <w:t>-</w:t>
      </w:r>
      <w:r>
        <w:rPr>
          <w:spacing w:val="-2"/>
        </w:rPr>
        <w:tab/>
        <w:t>Женская премия, присуждаемая девушкам и женщинам за достижения в о</w:t>
      </w:r>
      <w:r>
        <w:rPr>
          <w:spacing w:val="-2"/>
        </w:rPr>
        <w:t>б</w:t>
      </w:r>
      <w:r>
        <w:rPr>
          <w:spacing w:val="-2"/>
        </w:rPr>
        <w:t>ласти спорта (Бранде</w:t>
      </w:r>
      <w:r>
        <w:rPr>
          <w:spacing w:val="-2"/>
        </w:rPr>
        <w:t>н</w:t>
      </w:r>
      <w:r>
        <w:rPr>
          <w:spacing w:val="-2"/>
        </w:rPr>
        <w:t>бург)</w:t>
      </w:r>
    </w:p>
    <w:p w:rsidR="00000000" w:rsidRDefault="00000000">
      <w:pPr>
        <w:pStyle w:val="SingleTxt"/>
        <w:ind w:left="1985" w:hanging="244"/>
        <w:rPr>
          <w:spacing w:val="-2"/>
        </w:rPr>
      </w:pPr>
      <w:r>
        <w:rPr>
          <w:spacing w:val="-2"/>
        </w:rPr>
        <w:t>-</w:t>
      </w:r>
      <w:r>
        <w:rPr>
          <w:spacing w:val="-2"/>
        </w:rPr>
        <w:tab/>
        <w:t>Премия им. Сибиллы Мериан, присуждаемая женщинам в области изящных искусств (Гессен)</w:t>
      </w:r>
    </w:p>
    <w:p w:rsidR="00000000" w:rsidRDefault="00000000">
      <w:pPr>
        <w:pStyle w:val="SingleTxt"/>
        <w:ind w:left="1985" w:hanging="244"/>
        <w:rPr>
          <w:spacing w:val="-2"/>
        </w:rPr>
      </w:pPr>
      <w:r>
        <w:rPr>
          <w:spacing w:val="-2"/>
        </w:rPr>
        <w:t>-</w:t>
      </w:r>
      <w:r>
        <w:rPr>
          <w:spacing w:val="-2"/>
        </w:rPr>
        <w:tab/>
        <w:t>Женское наставничество в сфере искусства (Гессен)</w:t>
      </w:r>
    </w:p>
    <w:p w:rsidR="00000000" w:rsidRDefault="00000000">
      <w:pPr>
        <w:pStyle w:val="SingleTxt"/>
        <w:ind w:left="1985" w:hanging="244"/>
        <w:rPr>
          <w:spacing w:val="-2"/>
        </w:rPr>
      </w:pPr>
      <w:r>
        <w:rPr>
          <w:spacing w:val="-2"/>
        </w:rPr>
        <w:t>-</w:t>
      </w:r>
      <w:r>
        <w:rPr>
          <w:spacing w:val="-2"/>
        </w:rPr>
        <w:tab/>
        <w:t>Расширение общения в сфере искусства (Гессен)</w:t>
      </w:r>
    </w:p>
    <w:p w:rsidR="00000000" w:rsidRDefault="00000000">
      <w:pPr>
        <w:pStyle w:val="SingleTxt"/>
        <w:ind w:left="1985" w:hanging="244"/>
        <w:rPr>
          <w:spacing w:val="-2"/>
        </w:rPr>
      </w:pPr>
      <w:r>
        <w:rPr>
          <w:spacing w:val="-2"/>
        </w:rPr>
        <w:t>-</w:t>
      </w:r>
      <w:r>
        <w:rPr>
          <w:spacing w:val="-2"/>
        </w:rPr>
        <w:tab/>
        <w:t>Проведение конференций по проблемам женской культуры (Мекленбург-Западная Померания)</w:t>
      </w:r>
    </w:p>
    <w:p w:rsidR="00000000" w:rsidRDefault="00000000">
      <w:pPr>
        <w:pStyle w:val="SingleTxt"/>
        <w:ind w:left="1985" w:hanging="244"/>
        <w:rPr>
          <w:spacing w:val="-2"/>
        </w:rPr>
      </w:pPr>
      <w:r>
        <w:rPr>
          <w:spacing w:val="-2"/>
        </w:rPr>
        <w:t>-</w:t>
      </w:r>
      <w:r>
        <w:rPr>
          <w:spacing w:val="-2"/>
        </w:rPr>
        <w:tab/>
        <w:t>Поощрение женщин в сфере искусства, а также различных проектов в о</w:t>
      </w:r>
      <w:r>
        <w:rPr>
          <w:spacing w:val="-2"/>
        </w:rPr>
        <w:t>б</w:t>
      </w:r>
      <w:r>
        <w:rPr>
          <w:spacing w:val="-2"/>
        </w:rPr>
        <w:t>ласти искусства и культуры, осуществляемых женщинами и в интересах женщин, в Северном Рейне-Вестфалии:</w:t>
      </w:r>
    </w:p>
    <w:p w:rsidR="00000000" w:rsidRDefault="00000000">
      <w:pPr>
        <w:pStyle w:val="SingleTxt"/>
        <w:ind w:left="1985" w:hanging="244"/>
        <w:rPr>
          <w:spacing w:val="-2"/>
        </w:rPr>
      </w:pPr>
      <w:r>
        <w:rPr>
          <w:spacing w:val="-2"/>
        </w:rPr>
        <w:tab/>
        <w:t>-</w:t>
      </w:r>
      <w:r>
        <w:rPr>
          <w:spacing w:val="-2"/>
        </w:rPr>
        <w:tab/>
        <w:t>присуждение премии женщинам – работникам искусств в Северном Ре</w:t>
      </w:r>
      <w:r>
        <w:rPr>
          <w:spacing w:val="-2"/>
        </w:rPr>
        <w:t>й</w:t>
      </w:r>
      <w:r>
        <w:rPr>
          <w:spacing w:val="-2"/>
        </w:rPr>
        <w:t>не-Вестфалии;</w:t>
      </w:r>
    </w:p>
    <w:p w:rsidR="00000000" w:rsidRDefault="00000000">
      <w:pPr>
        <w:pStyle w:val="SingleTxt"/>
        <w:ind w:left="1985" w:hanging="244"/>
        <w:rPr>
          <w:spacing w:val="-2"/>
        </w:rPr>
      </w:pPr>
      <w:r>
        <w:rPr>
          <w:spacing w:val="-2"/>
        </w:rPr>
        <w:tab/>
        <w:t>-</w:t>
      </w:r>
      <w:r>
        <w:rPr>
          <w:spacing w:val="-2"/>
        </w:rPr>
        <w:tab/>
        <w:t>содействие организации двух фестивалей женских фильмов ("Феминаль" в Кельне и "Фам тоталь" в Дортмунде)</w:t>
      </w:r>
    </w:p>
    <w:p w:rsidR="00000000" w:rsidRDefault="00000000">
      <w:pPr>
        <w:pStyle w:val="SingleTxt"/>
        <w:ind w:left="1985" w:hanging="244"/>
        <w:rPr>
          <w:spacing w:val="-2"/>
        </w:rPr>
      </w:pPr>
      <w:r>
        <w:rPr>
          <w:spacing w:val="-2"/>
        </w:rPr>
        <w:tab/>
        <w:t>-</w:t>
      </w:r>
      <w:r>
        <w:rPr>
          <w:spacing w:val="-2"/>
        </w:rPr>
        <w:tab/>
        <w:t>поддержка рок-музыканта-женщины ("Рокси")</w:t>
      </w:r>
    </w:p>
    <w:p w:rsidR="00000000" w:rsidRDefault="00000000">
      <w:pPr>
        <w:pStyle w:val="SingleTxt"/>
        <w:ind w:left="1985" w:hanging="244"/>
        <w:rPr>
          <w:spacing w:val="-2"/>
        </w:rPr>
      </w:pPr>
      <w:r>
        <w:rPr>
          <w:spacing w:val="-2"/>
        </w:rPr>
        <w:tab/>
        <w:t>-</w:t>
      </w:r>
      <w:r>
        <w:rPr>
          <w:spacing w:val="-2"/>
        </w:rPr>
        <w:tab/>
        <w:t>производство видеофильма об изменении образа женщины в кинематогр</w:t>
      </w:r>
      <w:r>
        <w:rPr>
          <w:spacing w:val="-2"/>
        </w:rPr>
        <w:t>а</w:t>
      </w:r>
      <w:r>
        <w:rPr>
          <w:spacing w:val="-2"/>
        </w:rPr>
        <w:t>фии в XX веке "От богини экрана к киберженщине", 2000 год)</w:t>
      </w:r>
    </w:p>
    <w:p w:rsidR="00000000" w:rsidRDefault="00000000">
      <w:pPr>
        <w:pStyle w:val="SingleTxt"/>
        <w:ind w:left="1985" w:hanging="244"/>
        <w:rPr>
          <w:spacing w:val="-2"/>
        </w:rPr>
      </w:pPr>
      <w:r>
        <w:rPr>
          <w:spacing w:val="-2"/>
        </w:rPr>
        <w:tab/>
        <w:t>-</w:t>
      </w:r>
      <w:r>
        <w:rPr>
          <w:spacing w:val="-2"/>
        </w:rPr>
        <w:tab/>
        <w:t>содействие созданию управления по проблемам женской культуры</w:t>
      </w:r>
    </w:p>
    <w:p w:rsidR="00000000" w:rsidRDefault="00000000">
      <w:pPr>
        <w:pStyle w:val="SingleTxt"/>
        <w:ind w:left="1985" w:hanging="244"/>
        <w:rPr>
          <w:spacing w:val="-2"/>
        </w:rPr>
      </w:pPr>
      <w:r>
        <w:rPr>
          <w:spacing w:val="-2"/>
        </w:rPr>
        <w:t>-</w:t>
      </w:r>
      <w:r>
        <w:rPr>
          <w:spacing w:val="-2"/>
        </w:rPr>
        <w:tab/>
        <w:t>Кампания "Популярные виды спорта для женщин и девушек" (Северный Рейн-Вестфалия)</w:t>
      </w:r>
    </w:p>
    <w:p w:rsidR="00000000" w:rsidRDefault="00000000">
      <w:pPr>
        <w:pStyle w:val="SingleTxt"/>
        <w:ind w:left="1985" w:hanging="244"/>
        <w:rPr>
          <w:spacing w:val="-2"/>
        </w:rPr>
      </w:pPr>
      <w:r>
        <w:rPr>
          <w:spacing w:val="-2"/>
        </w:rPr>
        <w:t>-</w:t>
      </w:r>
      <w:r>
        <w:rPr>
          <w:spacing w:val="-2"/>
        </w:rPr>
        <w:tab/>
        <w:t>Поощрение женщин в сфере искусства посредством организации конфере</w:t>
      </w:r>
      <w:r>
        <w:rPr>
          <w:spacing w:val="-2"/>
        </w:rPr>
        <w:t>н</w:t>
      </w:r>
      <w:r>
        <w:rPr>
          <w:spacing w:val="-2"/>
        </w:rPr>
        <w:t>ций по вопросам женской культуры, музыкальных симпозиумов для мол</w:t>
      </w:r>
      <w:r>
        <w:rPr>
          <w:spacing w:val="-2"/>
        </w:rPr>
        <w:t>о</w:t>
      </w:r>
      <w:r>
        <w:rPr>
          <w:spacing w:val="-2"/>
        </w:rPr>
        <w:t>дых женщин, семинаров по вопросам, касающимся открытия своего дела, и проектов женского наставничества (Рейнланд-Пфальц)</w:t>
      </w:r>
    </w:p>
    <w:p w:rsidR="00000000" w:rsidRDefault="00000000">
      <w:pPr>
        <w:pStyle w:val="SingleTxt"/>
        <w:ind w:left="1985" w:hanging="244"/>
        <w:rPr>
          <w:spacing w:val="-2"/>
        </w:rPr>
      </w:pPr>
      <w:r>
        <w:rPr>
          <w:spacing w:val="-2"/>
        </w:rPr>
        <w:t>-</w:t>
      </w:r>
      <w:r>
        <w:rPr>
          <w:spacing w:val="-2"/>
        </w:rPr>
        <w:tab/>
        <w:t>"Вильгельмина Райчард – женщины в эфире" – фестиваль спортсменок, к</w:t>
      </w:r>
      <w:r>
        <w:rPr>
          <w:spacing w:val="-2"/>
        </w:rPr>
        <w:t>о</w:t>
      </w:r>
      <w:r>
        <w:rPr>
          <w:spacing w:val="-2"/>
        </w:rPr>
        <w:t>торый открыла государственный министр Кристина Вебер 21 марта 2002 года по случаю Международного женского дня (Саксония)</w:t>
      </w:r>
    </w:p>
    <w:p w:rsidR="00000000" w:rsidRDefault="00000000">
      <w:pPr>
        <w:pStyle w:val="SingleTxt"/>
        <w:ind w:left="1985" w:hanging="244"/>
      </w:pPr>
      <w:r>
        <w:t>-</w:t>
      </w:r>
      <w:r>
        <w:tab/>
        <w:t>Содействие выходу в свет издания под названием "Голову вверх, ноги вниз и вместе. Женщины свободно занимаются физическими упражн</w:t>
      </w:r>
      <w:r>
        <w:t>е</w:t>
      </w:r>
      <w:r>
        <w:t>ниями", подготовленного Дианой Рихтер по случаю 31-го германского гимнаст</w:t>
      </w:r>
      <w:r>
        <w:t>и</w:t>
      </w:r>
      <w:r>
        <w:t>ческого фестиваля 2002 года в Лейпциге (Саксония)</w:t>
      </w:r>
    </w:p>
    <w:p w:rsidR="00000000" w:rsidRDefault="00000000">
      <w:pPr>
        <w:pStyle w:val="SingleTxt"/>
        <w:ind w:left="1985" w:hanging="244"/>
        <w:rPr>
          <w:spacing w:val="-2"/>
        </w:rPr>
      </w:pPr>
      <w:r>
        <w:rPr>
          <w:spacing w:val="-2"/>
        </w:rPr>
        <w:t>-</w:t>
      </w:r>
      <w:r>
        <w:rPr>
          <w:spacing w:val="-2"/>
        </w:rPr>
        <w:tab/>
        <w:t>Содействие проведению выставки "Полити" (очерк истории Германии с 1945 года по настоящее время с точки зрения женщин. Упор делается на женщин и Восточной, и Западной Германии) (Саксония)</w:t>
      </w:r>
    </w:p>
    <w:p w:rsidR="00000000" w:rsidRDefault="00000000">
      <w:pPr>
        <w:pStyle w:val="SingleTxt"/>
        <w:ind w:left="1985" w:hanging="244"/>
        <w:rPr>
          <w:spacing w:val="-2"/>
        </w:rPr>
      </w:pPr>
      <w:r>
        <w:rPr>
          <w:spacing w:val="-2"/>
        </w:rPr>
        <w:t>-</w:t>
      </w:r>
      <w:r>
        <w:rPr>
          <w:spacing w:val="-2"/>
        </w:rPr>
        <w:tab/>
        <w:t>Дом для получателей грантов в Зальфельде (грант для содействия реализ</w:t>
      </w:r>
      <w:r>
        <w:rPr>
          <w:spacing w:val="-2"/>
        </w:rPr>
        <w:t>а</w:t>
      </w:r>
      <w:r>
        <w:rPr>
          <w:spacing w:val="-2"/>
        </w:rPr>
        <w:t>ции проекта в области искусства в виде оплаты проживания в доме для де</w:t>
      </w:r>
      <w:r>
        <w:rPr>
          <w:spacing w:val="-2"/>
        </w:rPr>
        <w:t>я</w:t>
      </w:r>
      <w:r>
        <w:rPr>
          <w:spacing w:val="-2"/>
        </w:rPr>
        <w:t>телей искусств в течение одного года в сочетании с грантом на оплату пут</w:t>
      </w:r>
      <w:r>
        <w:rPr>
          <w:spacing w:val="-2"/>
        </w:rPr>
        <w:t>е</w:t>
      </w:r>
      <w:r>
        <w:rPr>
          <w:spacing w:val="-2"/>
        </w:rPr>
        <w:t>вых расходов и прочих издержек) (Саксония-Айнхальт)</w:t>
      </w:r>
    </w:p>
    <w:p w:rsidR="00000000" w:rsidRDefault="00000000">
      <w:pPr>
        <w:pStyle w:val="H4"/>
      </w:pPr>
      <w:bookmarkStart w:id="890" w:name="_Toc44113893"/>
      <w:bookmarkStart w:id="891" w:name="_Toc44114402"/>
      <w:bookmarkStart w:id="892" w:name="_Toc44116084"/>
      <w:r>
        <w:t>q)</w:t>
      </w:r>
      <w:r>
        <w:tab/>
        <w:t>Женщины-инвалиды</w:t>
      </w:r>
      <w:bookmarkEnd w:id="890"/>
      <w:bookmarkEnd w:id="891"/>
      <w:bookmarkEnd w:id="892"/>
    </w:p>
    <w:p w:rsidR="00000000" w:rsidRDefault="00000000">
      <w:pPr>
        <w:pStyle w:val="SingleTxt"/>
        <w:ind w:left="1985" w:hanging="244"/>
        <w:rPr>
          <w:spacing w:val="-2"/>
        </w:rPr>
      </w:pPr>
      <w:r>
        <w:rPr>
          <w:spacing w:val="-2"/>
        </w:rPr>
        <w:t>-</w:t>
      </w:r>
      <w:r>
        <w:rPr>
          <w:spacing w:val="-2"/>
        </w:rPr>
        <w:tab/>
        <w:t>Сеть, объединяющая и представляющая интересы женщин и девушек-инвалидов в Баварии</w:t>
      </w:r>
    </w:p>
    <w:p w:rsidR="00000000" w:rsidRDefault="00000000">
      <w:pPr>
        <w:pStyle w:val="SingleTxt"/>
        <w:ind w:left="1985" w:hanging="244"/>
        <w:rPr>
          <w:spacing w:val="-2"/>
        </w:rPr>
      </w:pPr>
      <w:r>
        <w:rPr>
          <w:spacing w:val="-2"/>
        </w:rPr>
        <w:t>-</w:t>
      </w:r>
      <w:r>
        <w:rPr>
          <w:spacing w:val="-2"/>
        </w:rPr>
        <w:tab/>
        <w:t>Сеть, объединяющая и представляющая интересы девушек и женщин-инвалидов (Берлин)</w:t>
      </w:r>
    </w:p>
    <w:p w:rsidR="00000000" w:rsidRDefault="00000000">
      <w:pPr>
        <w:pStyle w:val="SingleTxt"/>
        <w:ind w:left="1985" w:hanging="244"/>
        <w:rPr>
          <w:spacing w:val="-2"/>
        </w:rPr>
      </w:pPr>
      <w:r>
        <w:rPr>
          <w:spacing w:val="-2"/>
        </w:rPr>
        <w:t>-</w:t>
      </w:r>
      <w:r>
        <w:rPr>
          <w:spacing w:val="-2"/>
        </w:rPr>
        <w:tab/>
        <w:t>Консультация для девушек и женщин-инвалидов в Берлине</w:t>
      </w:r>
    </w:p>
    <w:p w:rsidR="00000000" w:rsidRDefault="00000000">
      <w:pPr>
        <w:pStyle w:val="SingleTxt"/>
        <w:ind w:left="1985" w:hanging="244"/>
        <w:rPr>
          <w:spacing w:val="-2"/>
        </w:rPr>
      </w:pPr>
      <w:r>
        <w:rPr>
          <w:spacing w:val="-2"/>
        </w:rPr>
        <w:t>-</w:t>
      </w:r>
      <w:r>
        <w:rPr>
          <w:spacing w:val="-2"/>
        </w:rPr>
        <w:tab/>
        <w:t>Концепция, связанная с включением положений, касающихся предупрежд</w:t>
      </w:r>
      <w:r>
        <w:rPr>
          <w:spacing w:val="-2"/>
        </w:rPr>
        <w:t>е</w:t>
      </w:r>
      <w:r>
        <w:rPr>
          <w:spacing w:val="-2"/>
        </w:rPr>
        <w:t>ния насилия, в оценку качества работы учреждений по оказанию помощи инв</w:t>
      </w:r>
      <w:r>
        <w:rPr>
          <w:spacing w:val="-2"/>
        </w:rPr>
        <w:t>а</w:t>
      </w:r>
      <w:r>
        <w:rPr>
          <w:spacing w:val="-2"/>
        </w:rPr>
        <w:t>лидам (стадия осуществления) (Берлин)</w:t>
      </w:r>
    </w:p>
    <w:p w:rsidR="00000000" w:rsidRDefault="00000000">
      <w:pPr>
        <w:pStyle w:val="SingleTxt"/>
        <w:ind w:left="1985" w:hanging="244"/>
        <w:rPr>
          <w:spacing w:val="-2"/>
        </w:rPr>
      </w:pPr>
      <w:r>
        <w:rPr>
          <w:spacing w:val="-2"/>
        </w:rPr>
        <w:t>-</w:t>
      </w:r>
      <w:r>
        <w:rPr>
          <w:spacing w:val="-2"/>
        </w:rPr>
        <w:tab/>
        <w:t>Рабочая группа по профилактике и вмешательству в случае сексуального насилия в отношении девушек и женщин с (психическими) заболеваниями в семье (и за ее пределами) (Берлин)</w:t>
      </w:r>
    </w:p>
    <w:p w:rsidR="00000000" w:rsidRDefault="00000000">
      <w:pPr>
        <w:pStyle w:val="SingleTxt"/>
        <w:ind w:left="1985" w:hanging="244"/>
        <w:rPr>
          <w:spacing w:val="-2"/>
        </w:rPr>
      </w:pPr>
      <w:r>
        <w:rPr>
          <w:spacing w:val="-2"/>
        </w:rPr>
        <w:t>-</w:t>
      </w:r>
      <w:r>
        <w:rPr>
          <w:spacing w:val="-2"/>
        </w:rPr>
        <w:tab/>
        <w:t>Проекты самоутверждения и самозащиты для девушек и женщин-инвалидов (Берлин)</w:t>
      </w:r>
    </w:p>
    <w:p w:rsidR="00000000" w:rsidRDefault="00000000">
      <w:pPr>
        <w:pStyle w:val="SingleTxt"/>
        <w:ind w:left="1985" w:hanging="244"/>
        <w:rPr>
          <w:spacing w:val="-2"/>
        </w:rPr>
      </w:pPr>
      <w:r>
        <w:rPr>
          <w:spacing w:val="-2"/>
        </w:rPr>
        <w:t>-</w:t>
      </w:r>
      <w:r>
        <w:rPr>
          <w:spacing w:val="-2"/>
        </w:rPr>
        <w:tab/>
        <w:t>Создание проектного учреждения для женщин-инвалидов (Бремен)</w:t>
      </w:r>
    </w:p>
    <w:p w:rsidR="00000000" w:rsidRDefault="00000000">
      <w:pPr>
        <w:pStyle w:val="SingleTxt"/>
        <w:ind w:left="1985" w:hanging="244"/>
        <w:rPr>
          <w:spacing w:val="-2"/>
        </w:rPr>
      </w:pPr>
      <w:r>
        <w:rPr>
          <w:spacing w:val="-2"/>
        </w:rPr>
        <w:t>-</w:t>
      </w:r>
      <w:r>
        <w:rPr>
          <w:spacing w:val="-2"/>
        </w:rPr>
        <w:tab/>
        <w:t>Фотовыставка по теме "Женщины-инвалиды" (Бремен)</w:t>
      </w:r>
    </w:p>
    <w:p w:rsidR="00000000" w:rsidRDefault="00000000">
      <w:pPr>
        <w:pStyle w:val="SingleTxt"/>
        <w:ind w:left="1985" w:hanging="244"/>
        <w:rPr>
          <w:spacing w:val="-2"/>
        </w:rPr>
      </w:pPr>
      <w:r>
        <w:rPr>
          <w:spacing w:val="-2"/>
        </w:rPr>
        <w:t>-</w:t>
      </w:r>
      <w:r>
        <w:rPr>
          <w:spacing w:val="-2"/>
        </w:rPr>
        <w:tab/>
        <w:t>Сеть, объединяющая женщин-инвалидов</w:t>
      </w:r>
    </w:p>
    <w:p w:rsidR="00000000" w:rsidRDefault="00000000">
      <w:pPr>
        <w:pStyle w:val="SingleTxt"/>
        <w:ind w:left="1985" w:hanging="244"/>
        <w:rPr>
          <w:spacing w:val="-2"/>
        </w:rPr>
      </w:pPr>
      <w:r>
        <w:rPr>
          <w:spacing w:val="-2"/>
        </w:rPr>
        <w:tab/>
        <w:t>-</w:t>
      </w:r>
      <w:r>
        <w:rPr>
          <w:spacing w:val="-2"/>
        </w:rPr>
        <w:tab/>
        <w:t>Оказание содействия координационному отделению для женщин-инвалидов в Гессене (Гессен)</w:t>
      </w:r>
    </w:p>
    <w:p w:rsidR="00000000" w:rsidRDefault="00000000">
      <w:pPr>
        <w:pStyle w:val="SingleTxt"/>
        <w:ind w:left="1985" w:hanging="244"/>
        <w:rPr>
          <w:spacing w:val="-2"/>
        </w:rPr>
      </w:pPr>
      <w:r>
        <w:rPr>
          <w:spacing w:val="-2"/>
        </w:rPr>
        <w:t>-</w:t>
      </w:r>
      <w:r>
        <w:rPr>
          <w:spacing w:val="-2"/>
        </w:rPr>
        <w:tab/>
        <w:t>Брошюра под названием "Положение женщин-инвалидов в специализир</w:t>
      </w:r>
      <w:r>
        <w:rPr>
          <w:spacing w:val="-2"/>
        </w:rPr>
        <w:t>о</w:t>
      </w:r>
      <w:r>
        <w:rPr>
          <w:spacing w:val="-2"/>
        </w:rPr>
        <w:t>ванных учреждениях, занимающихся оказанием помощи инвалидам, в Ге</w:t>
      </w:r>
      <w:r>
        <w:rPr>
          <w:spacing w:val="-2"/>
        </w:rPr>
        <w:t>с</w:t>
      </w:r>
      <w:r>
        <w:rPr>
          <w:spacing w:val="-2"/>
        </w:rPr>
        <w:t>сене" (Гессен)</w:t>
      </w:r>
    </w:p>
    <w:p w:rsidR="00000000" w:rsidRDefault="00000000">
      <w:pPr>
        <w:pStyle w:val="SingleTxt"/>
        <w:ind w:left="1985" w:hanging="244"/>
        <w:rPr>
          <w:spacing w:val="-2"/>
        </w:rPr>
      </w:pPr>
      <w:r>
        <w:rPr>
          <w:spacing w:val="-2"/>
        </w:rPr>
        <w:t>-</w:t>
      </w:r>
      <w:r>
        <w:rPr>
          <w:spacing w:val="-2"/>
        </w:rPr>
        <w:tab/>
        <w:t>Пропорциональная представленность женщин в совете по содействию инт</w:t>
      </w:r>
      <w:r>
        <w:rPr>
          <w:spacing w:val="-2"/>
        </w:rPr>
        <w:t>е</w:t>
      </w:r>
      <w:r>
        <w:rPr>
          <w:spacing w:val="-2"/>
        </w:rPr>
        <w:t>грации (Мекленбург-Западная Померания)</w:t>
      </w:r>
    </w:p>
    <w:p w:rsidR="00000000" w:rsidRDefault="00000000">
      <w:pPr>
        <w:pStyle w:val="SingleTxt"/>
        <w:ind w:left="1985" w:hanging="244"/>
        <w:rPr>
          <w:spacing w:val="-2"/>
        </w:rPr>
      </w:pPr>
      <w:r>
        <w:rPr>
          <w:spacing w:val="-2"/>
        </w:rPr>
        <w:t>-</w:t>
      </w:r>
      <w:r>
        <w:rPr>
          <w:spacing w:val="-2"/>
        </w:rPr>
        <w:tab/>
        <w:t>Консультация для женщин-инвалидов в Нижней Саксонии (Нижняя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Исследование под названием "Надомный труд – возможность для женщин с инвалидностью и без?!" (Северный Рейн-Вестфалия)</w:t>
      </w:r>
    </w:p>
    <w:p w:rsidR="00000000" w:rsidRDefault="00000000">
      <w:pPr>
        <w:pStyle w:val="SingleTxt"/>
        <w:ind w:left="1985" w:hanging="244"/>
        <w:rPr>
          <w:spacing w:val="-2"/>
        </w:rPr>
      </w:pPr>
      <w:r>
        <w:rPr>
          <w:spacing w:val="-2"/>
        </w:rPr>
        <w:t>-</w:t>
      </w:r>
      <w:r>
        <w:rPr>
          <w:spacing w:val="-2"/>
        </w:rPr>
        <w:tab/>
        <w:t>Содействие осуществлению пилотных проектов в интересах женщин и д</w:t>
      </w:r>
      <w:r>
        <w:rPr>
          <w:spacing w:val="-2"/>
        </w:rPr>
        <w:t>е</w:t>
      </w:r>
      <w:r>
        <w:rPr>
          <w:spacing w:val="-2"/>
        </w:rPr>
        <w:t>вушек-инвалидов, таких, как проекты по оказанию помощи и т.п. (Северный Рейн-Вестфалия)</w:t>
      </w:r>
    </w:p>
    <w:p w:rsidR="00000000" w:rsidRDefault="00000000">
      <w:pPr>
        <w:pStyle w:val="SingleTxt"/>
        <w:ind w:left="1985" w:hanging="244"/>
        <w:rPr>
          <w:spacing w:val="-2"/>
        </w:rPr>
      </w:pPr>
      <w:r>
        <w:rPr>
          <w:spacing w:val="-2"/>
        </w:rPr>
        <w:t>-</w:t>
      </w:r>
      <w:r>
        <w:rPr>
          <w:spacing w:val="-2"/>
        </w:rPr>
        <w:tab/>
        <w:t>Меры по проведению исследований и оказанию поддержки женщинам-инвалидам, включая доклад о положении женщин-инвалидов в Северном Рейне-Вестфалии (Северный Рейн-Вестфалия)</w:t>
      </w:r>
    </w:p>
    <w:p w:rsidR="00000000" w:rsidRDefault="00000000">
      <w:pPr>
        <w:pStyle w:val="SingleTxt"/>
        <w:ind w:left="1985" w:hanging="244"/>
        <w:rPr>
          <w:spacing w:val="-2"/>
        </w:rPr>
      </w:pPr>
      <w:r>
        <w:rPr>
          <w:spacing w:val="-2"/>
        </w:rPr>
        <w:t>-</w:t>
      </w:r>
      <w:r>
        <w:rPr>
          <w:spacing w:val="-2"/>
        </w:rPr>
        <w:tab/>
        <w:t>Мероприятия для женщин и девушек-инвалидов (Северный Рейн-Вестфалия)</w:t>
      </w:r>
    </w:p>
    <w:p w:rsidR="00000000" w:rsidRDefault="00000000">
      <w:pPr>
        <w:pStyle w:val="SingleTxt"/>
        <w:ind w:left="1985" w:hanging="244"/>
        <w:rPr>
          <w:spacing w:val="-2"/>
        </w:rPr>
      </w:pPr>
      <w:r>
        <w:rPr>
          <w:spacing w:val="-2"/>
        </w:rPr>
        <w:t>-</w:t>
      </w:r>
      <w:r>
        <w:rPr>
          <w:spacing w:val="-2"/>
        </w:rPr>
        <w:tab/>
        <w:t>Информационно-пропагандистская работа (выпуск брошюры) (Северный Рейн-Вестфалия)</w:t>
      </w:r>
    </w:p>
    <w:p w:rsidR="00000000" w:rsidRDefault="00000000">
      <w:pPr>
        <w:pStyle w:val="SingleTxt"/>
        <w:ind w:left="1985" w:hanging="244"/>
        <w:rPr>
          <w:spacing w:val="-2"/>
        </w:rPr>
      </w:pPr>
      <w:r>
        <w:rPr>
          <w:spacing w:val="-2"/>
        </w:rPr>
        <w:t>-</w:t>
      </w:r>
      <w:r>
        <w:rPr>
          <w:spacing w:val="-2"/>
        </w:rPr>
        <w:tab/>
        <w:t>Координационно-консультационное агентство "КОБРА" для женщин-инвалидов в Рейнланд-Пфальце</w:t>
      </w:r>
    </w:p>
    <w:p w:rsidR="00000000" w:rsidRDefault="00000000">
      <w:pPr>
        <w:pStyle w:val="SingleTxt"/>
        <w:ind w:left="1985" w:hanging="244"/>
        <w:rPr>
          <w:spacing w:val="-2"/>
        </w:rPr>
      </w:pPr>
      <w:r>
        <w:rPr>
          <w:spacing w:val="-2"/>
        </w:rPr>
        <w:t>-</w:t>
      </w:r>
      <w:r>
        <w:rPr>
          <w:spacing w:val="-2"/>
        </w:rPr>
        <w:tab/>
        <w:t>Пилотный проект под названием "Создание саксонской сети женщин-инвалидов" (Саксония)</w:t>
      </w:r>
    </w:p>
    <w:p w:rsidR="00000000" w:rsidRDefault="00000000">
      <w:pPr>
        <w:pStyle w:val="SingleTxt"/>
        <w:ind w:left="1985" w:hanging="244"/>
        <w:rPr>
          <w:spacing w:val="-2"/>
        </w:rPr>
      </w:pPr>
      <w:r>
        <w:rPr>
          <w:spacing w:val="-2"/>
        </w:rPr>
        <w:t>-</w:t>
      </w:r>
      <w:r>
        <w:rPr>
          <w:spacing w:val="-2"/>
        </w:rPr>
        <w:tab/>
        <w:t>Документ под названием "Женщины-инвалиды в Свободном государстве Саксония" (Саксония)</w:t>
      </w:r>
    </w:p>
    <w:p w:rsidR="00000000" w:rsidRDefault="00000000">
      <w:pPr>
        <w:pStyle w:val="SingleTxt"/>
        <w:ind w:left="1985" w:hanging="244"/>
        <w:rPr>
          <w:spacing w:val="-2"/>
        </w:rPr>
      </w:pPr>
      <w:r>
        <w:rPr>
          <w:spacing w:val="-2"/>
        </w:rPr>
        <w:t>-</w:t>
      </w:r>
      <w:r>
        <w:rPr>
          <w:spacing w:val="-2"/>
        </w:rPr>
        <w:tab/>
        <w:t>Дифференциация случаев проявления насилия по гендерному признаку в контексте эмпирического исследования, посвященного положению инвал</w:t>
      </w:r>
      <w:r>
        <w:rPr>
          <w:spacing w:val="-2"/>
        </w:rPr>
        <w:t>и</w:t>
      </w:r>
      <w:r>
        <w:rPr>
          <w:spacing w:val="-2"/>
        </w:rPr>
        <w:t>дов в Саксонии-Айнхальт</w:t>
      </w:r>
    </w:p>
    <w:p w:rsidR="00000000" w:rsidRDefault="00000000">
      <w:pPr>
        <w:pStyle w:val="SingleTxt"/>
        <w:ind w:left="1985" w:hanging="244"/>
        <w:rPr>
          <w:spacing w:val="-2"/>
        </w:rPr>
      </w:pPr>
      <w:r>
        <w:rPr>
          <w:spacing w:val="-2"/>
        </w:rPr>
        <w:t>-</w:t>
      </w:r>
      <w:r>
        <w:rPr>
          <w:spacing w:val="-2"/>
        </w:rPr>
        <w:tab/>
        <w:t>Проведение семинара в рамках специального женского форума в 1999 году по вопросам, касающи</w:t>
      </w:r>
      <w:r>
        <w:rPr>
          <w:spacing w:val="-2"/>
        </w:rPr>
        <w:t>м</w:t>
      </w:r>
      <w:r>
        <w:rPr>
          <w:spacing w:val="-2"/>
        </w:rPr>
        <w:t>ся положения женщин-инвалидов в Саксонии-Айнхальт</w:t>
      </w:r>
    </w:p>
    <w:p w:rsidR="00000000" w:rsidRDefault="00000000">
      <w:pPr>
        <w:pStyle w:val="SingleTxt"/>
        <w:ind w:left="1985" w:hanging="244"/>
        <w:rPr>
          <w:spacing w:val="-2"/>
        </w:rPr>
      </w:pPr>
      <w:r>
        <w:rPr>
          <w:spacing w:val="-2"/>
        </w:rPr>
        <w:t>-</w:t>
      </w:r>
      <w:r>
        <w:rPr>
          <w:spacing w:val="-2"/>
        </w:rPr>
        <w:tab/>
        <w:t>Содействие созданию сети "Ассорти" и координационного учреждения для женщин с инвалидн</w:t>
      </w:r>
      <w:r>
        <w:rPr>
          <w:spacing w:val="-2"/>
        </w:rPr>
        <w:t>о</w:t>
      </w:r>
      <w:r>
        <w:rPr>
          <w:spacing w:val="-2"/>
        </w:rPr>
        <w:t>стью и без (Шлезвиг-Гольштейн)</w:t>
      </w:r>
    </w:p>
    <w:p w:rsidR="00000000" w:rsidRDefault="00000000">
      <w:pPr>
        <w:pStyle w:val="H4"/>
      </w:pPr>
      <w:bookmarkStart w:id="893" w:name="_Toc44113894"/>
      <w:bookmarkStart w:id="894" w:name="_Toc44114403"/>
      <w:bookmarkStart w:id="895" w:name="_Toc44116085"/>
      <w:r>
        <w:t>r)</w:t>
      </w:r>
      <w:r>
        <w:tab/>
        <w:t>Женщины и органы власти</w:t>
      </w:r>
      <w:bookmarkEnd w:id="893"/>
      <w:bookmarkEnd w:id="894"/>
      <w:bookmarkEnd w:id="895"/>
    </w:p>
    <w:p w:rsidR="00000000" w:rsidRDefault="00000000">
      <w:pPr>
        <w:pStyle w:val="SingleTxt"/>
        <w:ind w:left="1985" w:hanging="244"/>
        <w:rPr>
          <w:spacing w:val="-2"/>
        </w:rPr>
      </w:pPr>
      <w:r>
        <w:rPr>
          <w:spacing w:val="-2"/>
        </w:rPr>
        <w:t>-</w:t>
      </w:r>
      <w:r>
        <w:rPr>
          <w:spacing w:val="-2"/>
        </w:rPr>
        <w:tab/>
        <w:t>Положение о назначениях в органы власти, содержащееся в Земельном з</w:t>
      </w:r>
      <w:r>
        <w:rPr>
          <w:spacing w:val="-2"/>
        </w:rPr>
        <w:t>а</w:t>
      </w:r>
      <w:r>
        <w:rPr>
          <w:spacing w:val="-2"/>
        </w:rPr>
        <w:t>коне о равенстве Рейнланд-Пфальца (Баден-Вюртемберг, Рейнланд-Пфальц)</w:t>
      </w:r>
    </w:p>
    <w:p w:rsidR="00000000" w:rsidRDefault="00000000">
      <w:pPr>
        <w:pStyle w:val="SingleTxt"/>
        <w:ind w:left="1985" w:hanging="244"/>
        <w:rPr>
          <w:spacing w:val="-2"/>
        </w:rPr>
      </w:pPr>
      <w:r>
        <w:rPr>
          <w:spacing w:val="-2"/>
        </w:rPr>
        <w:t>-</w:t>
      </w:r>
      <w:r>
        <w:rPr>
          <w:spacing w:val="-2"/>
        </w:rPr>
        <w:tab/>
        <w:t>Третий доклад об органах власти по вопросам представленности женщин на назначаемых должностях в органах власти, находящихся в ведении земел</w:t>
      </w:r>
      <w:r>
        <w:rPr>
          <w:spacing w:val="-2"/>
        </w:rPr>
        <w:t>ь</w:t>
      </w:r>
      <w:r>
        <w:rPr>
          <w:spacing w:val="-2"/>
        </w:rPr>
        <w:t>ного правительства или земельного парламента (Баден-Вюртемберг)</w:t>
      </w:r>
    </w:p>
    <w:p w:rsidR="00000000" w:rsidRDefault="00000000">
      <w:pPr>
        <w:pStyle w:val="SingleTxt"/>
        <w:ind w:left="1985" w:hanging="244"/>
        <w:rPr>
          <w:spacing w:val="-2"/>
        </w:rPr>
      </w:pPr>
      <w:r>
        <w:rPr>
          <w:spacing w:val="-2"/>
        </w:rPr>
        <w:t>-</w:t>
      </w:r>
      <w:r>
        <w:rPr>
          <w:spacing w:val="-2"/>
        </w:rPr>
        <w:tab/>
        <w:t>Анализ доклада об органах власти, рекомендации для принятия мер (Б</w:t>
      </w:r>
      <w:r>
        <w:rPr>
          <w:spacing w:val="-2"/>
        </w:rPr>
        <w:t>а</w:t>
      </w:r>
      <w:r>
        <w:rPr>
          <w:spacing w:val="-2"/>
        </w:rPr>
        <w:t>ден-Вюртемберг)</w:t>
      </w:r>
    </w:p>
    <w:p w:rsidR="00000000" w:rsidRDefault="00000000">
      <w:pPr>
        <w:pStyle w:val="SingleTxt"/>
        <w:ind w:left="1985" w:hanging="244"/>
        <w:rPr>
          <w:spacing w:val="-2"/>
        </w:rPr>
      </w:pPr>
      <w:r>
        <w:rPr>
          <w:spacing w:val="-2"/>
        </w:rPr>
        <w:t>-</w:t>
      </w:r>
      <w:r>
        <w:rPr>
          <w:spacing w:val="-2"/>
        </w:rPr>
        <w:tab/>
        <w:t>Общенациональное специальное мероприятие, организованное сенатскими администрациями, отвечающими за политику в отношении женщин в целях дальнейшей активизации участия женщин в работе директивных органов (март 2001 года) (Берлин)</w:t>
      </w:r>
    </w:p>
    <w:p w:rsidR="00000000" w:rsidRDefault="00000000">
      <w:pPr>
        <w:pStyle w:val="SingleTxt"/>
        <w:ind w:left="1985" w:hanging="244"/>
        <w:rPr>
          <w:spacing w:val="-2"/>
        </w:rPr>
      </w:pPr>
      <w:r>
        <w:rPr>
          <w:spacing w:val="-2"/>
        </w:rPr>
        <w:t>-</w:t>
      </w:r>
      <w:r>
        <w:rPr>
          <w:spacing w:val="-2"/>
        </w:rPr>
        <w:tab/>
        <w:t>Положение о равном назначении в состав Совета по радиовещанию и А</w:t>
      </w:r>
      <w:r>
        <w:rPr>
          <w:spacing w:val="-2"/>
        </w:rPr>
        <w:t>д</w:t>
      </w:r>
      <w:r>
        <w:rPr>
          <w:spacing w:val="-2"/>
        </w:rPr>
        <w:t>министративный совет Берлинско-бранденбургской радиовещательной ко</w:t>
      </w:r>
      <w:r>
        <w:rPr>
          <w:spacing w:val="-2"/>
        </w:rPr>
        <w:t>м</w:t>
      </w:r>
      <w:r>
        <w:rPr>
          <w:spacing w:val="-2"/>
        </w:rPr>
        <w:t>пании, содержащееся в Соглашении о создании совместной радиовещател</w:t>
      </w:r>
      <w:r>
        <w:rPr>
          <w:spacing w:val="-2"/>
        </w:rPr>
        <w:t>ь</w:t>
      </w:r>
      <w:r>
        <w:rPr>
          <w:spacing w:val="-2"/>
        </w:rPr>
        <w:t>ной компании между землями Берлин и Бранденбург (Бранденбург)</w:t>
      </w:r>
    </w:p>
    <w:p w:rsidR="00000000" w:rsidRDefault="00000000">
      <w:pPr>
        <w:pStyle w:val="SingleTxt"/>
        <w:ind w:left="1985" w:hanging="244"/>
        <w:rPr>
          <w:spacing w:val="-2"/>
        </w:rPr>
      </w:pPr>
      <w:r>
        <w:rPr>
          <w:spacing w:val="-2"/>
        </w:rPr>
        <w:t>-</w:t>
      </w:r>
      <w:r>
        <w:rPr>
          <w:spacing w:val="-2"/>
        </w:rPr>
        <w:tab/>
        <w:t>Положение о равном назначении в состав органов власти и участии женщин в выработке предложений для выборных органов, директивных органов, подразделений и других органов земли при назначении или выдвижении кандидатов для назначения в состав органов земельной администрации и других органов, содержащееся в Земельном законе о равенстве (Бранде</w:t>
      </w:r>
      <w:r>
        <w:rPr>
          <w:spacing w:val="-2"/>
        </w:rPr>
        <w:t>н</w:t>
      </w:r>
      <w:r>
        <w:rPr>
          <w:spacing w:val="-2"/>
        </w:rPr>
        <w:t>бург)</w:t>
      </w:r>
    </w:p>
    <w:p w:rsidR="00000000" w:rsidRDefault="00000000">
      <w:pPr>
        <w:pStyle w:val="SingleTxt"/>
        <w:ind w:left="1985" w:hanging="244"/>
        <w:rPr>
          <w:spacing w:val="-2"/>
        </w:rPr>
      </w:pPr>
      <w:r>
        <w:rPr>
          <w:spacing w:val="-2"/>
        </w:rPr>
        <w:t>-</w:t>
      </w:r>
      <w:r>
        <w:rPr>
          <w:spacing w:val="-2"/>
        </w:rPr>
        <w:tab/>
        <w:t>Целевое положение, содержащееся в Земельном законе о равенстве, в соо</w:t>
      </w:r>
      <w:r>
        <w:rPr>
          <w:spacing w:val="-2"/>
        </w:rPr>
        <w:t>т</w:t>
      </w:r>
      <w:r>
        <w:rPr>
          <w:spacing w:val="-2"/>
        </w:rPr>
        <w:t>ветствии с которым члены комиссий, консультативных советов, администр</w:t>
      </w:r>
      <w:r>
        <w:rPr>
          <w:spacing w:val="-2"/>
        </w:rPr>
        <w:t>а</w:t>
      </w:r>
      <w:r>
        <w:rPr>
          <w:spacing w:val="-2"/>
        </w:rPr>
        <w:t>тивных и наблюдательных советов, а также других органов должны назн</w:t>
      </w:r>
      <w:r>
        <w:rPr>
          <w:spacing w:val="-2"/>
        </w:rPr>
        <w:t>а</w:t>
      </w:r>
      <w:r>
        <w:rPr>
          <w:spacing w:val="-2"/>
        </w:rPr>
        <w:t>чаться таким образом, чтобы в них обеспечивалось равное участие предст</w:t>
      </w:r>
      <w:r>
        <w:rPr>
          <w:spacing w:val="-2"/>
        </w:rPr>
        <w:t>а</w:t>
      </w:r>
      <w:r>
        <w:rPr>
          <w:spacing w:val="-2"/>
        </w:rPr>
        <w:t>вителей обоих полов, соответствующие положения о направлении граждан на работу в органы власти, подотчетность (раздел 12 Земельного закона о равенстве, с 1999 года) (Северный Рейн-Вестфалия)</w:t>
      </w:r>
    </w:p>
    <w:p w:rsidR="00000000" w:rsidRDefault="00000000">
      <w:pPr>
        <w:pStyle w:val="SingleTxt"/>
        <w:ind w:left="1985" w:hanging="244"/>
        <w:rPr>
          <w:spacing w:val="-2"/>
        </w:rPr>
      </w:pPr>
      <w:r>
        <w:rPr>
          <w:spacing w:val="-2"/>
        </w:rPr>
        <w:t>-</w:t>
      </w:r>
      <w:r>
        <w:rPr>
          <w:spacing w:val="-2"/>
        </w:rPr>
        <w:tab/>
        <w:t>Создание реестра женщин-экспертов для возможного назначения в органы власти (Рейнланд-Пфальц)</w:t>
      </w:r>
    </w:p>
    <w:p w:rsidR="00000000" w:rsidRDefault="00000000">
      <w:pPr>
        <w:pStyle w:val="SingleTxt"/>
        <w:ind w:left="1985" w:hanging="244"/>
        <w:rPr>
          <w:spacing w:val="-2"/>
        </w:rPr>
      </w:pPr>
      <w:r>
        <w:rPr>
          <w:spacing w:val="-2"/>
        </w:rPr>
        <w:t>-</w:t>
      </w:r>
      <w:r>
        <w:rPr>
          <w:spacing w:val="-2"/>
        </w:rPr>
        <w:tab/>
        <w:t>Семинары по теме "Женщины и органы власти" (Рейнланд-Пфальц)</w:t>
      </w:r>
    </w:p>
    <w:p w:rsidR="00000000" w:rsidRDefault="00000000">
      <w:pPr>
        <w:pStyle w:val="SingleTxt"/>
        <w:ind w:left="1985" w:hanging="244"/>
        <w:rPr>
          <w:spacing w:val="-2"/>
        </w:rPr>
      </w:pPr>
      <w:r>
        <w:rPr>
          <w:spacing w:val="-2"/>
        </w:rPr>
        <w:t>-</w:t>
      </w:r>
      <w:r>
        <w:rPr>
          <w:spacing w:val="-2"/>
        </w:rPr>
        <w:tab/>
        <w:t>Обязанность всех земельных и местных органов власти, а также всех других юридических лиц, находящихся в правовом пространстве Свободного гос</w:t>
      </w:r>
      <w:r>
        <w:rPr>
          <w:spacing w:val="-2"/>
        </w:rPr>
        <w:t>у</w:t>
      </w:r>
      <w:r>
        <w:rPr>
          <w:spacing w:val="-2"/>
        </w:rPr>
        <w:t>дарства Саксония, согласно публичному праву, принимать меры для обесп</w:t>
      </w:r>
      <w:r>
        <w:rPr>
          <w:spacing w:val="-2"/>
        </w:rPr>
        <w:t>е</w:t>
      </w:r>
      <w:r>
        <w:rPr>
          <w:spacing w:val="-2"/>
        </w:rPr>
        <w:t>чения равного участия женщин и мужчин (см. раздел 15 Закона об улучш</w:t>
      </w:r>
      <w:r>
        <w:rPr>
          <w:spacing w:val="-2"/>
        </w:rPr>
        <w:t>е</w:t>
      </w:r>
      <w:r>
        <w:rPr>
          <w:spacing w:val="-2"/>
        </w:rPr>
        <w:t>нии положения женщин Саксонии от 31 марта 1994 года ("Саксонские юр</w:t>
      </w:r>
      <w:r>
        <w:rPr>
          <w:spacing w:val="-2"/>
        </w:rPr>
        <w:t>и</w:t>
      </w:r>
      <w:r>
        <w:rPr>
          <w:spacing w:val="-2"/>
        </w:rPr>
        <w:t>дические ведомости", стр. 684) (Саксония)</w:t>
      </w:r>
    </w:p>
    <w:p w:rsidR="00000000" w:rsidRDefault="00000000">
      <w:pPr>
        <w:pStyle w:val="SingleTxt"/>
        <w:ind w:left="1985" w:hanging="244"/>
        <w:rPr>
          <w:spacing w:val="-2"/>
        </w:rPr>
      </w:pPr>
      <w:r>
        <w:rPr>
          <w:spacing w:val="-2"/>
        </w:rPr>
        <w:t>-</w:t>
      </w:r>
      <w:r>
        <w:rPr>
          <w:spacing w:val="-2"/>
        </w:rPr>
        <w:tab/>
        <w:t>Создание реестра женщин-экспертов (Саксония-Айнхальт)</w:t>
      </w:r>
    </w:p>
    <w:p w:rsidR="00000000" w:rsidRDefault="00000000">
      <w:pPr>
        <w:pStyle w:val="SingleTxt"/>
        <w:ind w:left="1985" w:hanging="244"/>
        <w:rPr>
          <w:spacing w:val="-2"/>
        </w:rPr>
      </w:pPr>
      <w:r>
        <w:rPr>
          <w:spacing w:val="-2"/>
        </w:rPr>
        <w:t>-</w:t>
      </w:r>
      <w:r>
        <w:rPr>
          <w:spacing w:val="-2"/>
        </w:rPr>
        <w:tab/>
        <w:t>Положение о назначениях в органы, члены которых назначаются или к</w:t>
      </w:r>
      <w:r>
        <w:rPr>
          <w:spacing w:val="-2"/>
        </w:rPr>
        <w:t>о</w:t>
      </w:r>
      <w:r>
        <w:rPr>
          <w:spacing w:val="-2"/>
        </w:rPr>
        <w:t>мандируются органами гос</w:t>
      </w:r>
      <w:r>
        <w:rPr>
          <w:spacing w:val="-2"/>
        </w:rPr>
        <w:t>у</w:t>
      </w:r>
      <w:r>
        <w:rPr>
          <w:spacing w:val="-2"/>
        </w:rPr>
        <w:t>дарственной администрации (Шлезвиг-Гольштейн)</w:t>
      </w:r>
    </w:p>
    <w:p w:rsidR="00000000" w:rsidRDefault="00000000">
      <w:pPr>
        <w:pStyle w:val="SingleTxt"/>
        <w:ind w:left="1985" w:hanging="244"/>
        <w:rPr>
          <w:spacing w:val="-2"/>
        </w:rPr>
      </w:pPr>
      <w:r>
        <w:rPr>
          <w:spacing w:val="-2"/>
        </w:rPr>
        <w:t>-</w:t>
      </w:r>
      <w:r>
        <w:rPr>
          <w:spacing w:val="-2"/>
        </w:rPr>
        <w:tab/>
        <w:t>Женщины в составе ассамблеи органа массовой информации земли Тюри</w:t>
      </w:r>
      <w:r>
        <w:rPr>
          <w:spacing w:val="-2"/>
        </w:rPr>
        <w:t>н</w:t>
      </w:r>
      <w:r>
        <w:rPr>
          <w:spacing w:val="-2"/>
        </w:rPr>
        <w:t>гия (Закон о радиовещании в Тюрингии, раздел 45, подразделы 1 и 4) (Т</w:t>
      </w:r>
      <w:r>
        <w:rPr>
          <w:spacing w:val="-2"/>
        </w:rPr>
        <w:t>ю</w:t>
      </w:r>
      <w:r>
        <w:rPr>
          <w:spacing w:val="-2"/>
        </w:rPr>
        <w:t>рингия)</w:t>
      </w:r>
    </w:p>
    <w:p w:rsidR="00000000" w:rsidRDefault="00000000">
      <w:pPr>
        <w:pStyle w:val="H4"/>
      </w:pPr>
      <w:bookmarkStart w:id="896" w:name="_Toc44113895"/>
      <w:bookmarkStart w:id="897" w:name="_Toc44114404"/>
      <w:bookmarkStart w:id="898" w:name="_Toc44116086"/>
      <w:r>
        <w:t>s)</w:t>
      </w:r>
      <w:r>
        <w:tab/>
        <w:t>Женщины, СМИ, информационно-пропагандистская работа и др</w:t>
      </w:r>
      <w:r>
        <w:t>у</w:t>
      </w:r>
      <w:r>
        <w:t>гие меры</w:t>
      </w:r>
      <w:bookmarkEnd w:id="896"/>
      <w:bookmarkEnd w:id="897"/>
      <w:bookmarkEnd w:id="898"/>
    </w:p>
    <w:p w:rsidR="00000000" w:rsidRDefault="00000000">
      <w:pPr>
        <w:pStyle w:val="SingleTxt"/>
        <w:ind w:left="1985" w:hanging="244"/>
        <w:rPr>
          <w:spacing w:val="-2"/>
        </w:rPr>
      </w:pPr>
      <w:r>
        <w:rPr>
          <w:spacing w:val="-2"/>
        </w:rPr>
        <w:t>-</w:t>
      </w:r>
      <w:r>
        <w:rPr>
          <w:spacing w:val="-2"/>
        </w:rPr>
        <w:tab/>
        <w:t>Премия за обеспечение равенства "Эквитас" (Саар, Шлезвиг-Гольштейн)</w:t>
      </w:r>
    </w:p>
    <w:p w:rsidR="00000000" w:rsidRDefault="00000000">
      <w:pPr>
        <w:pStyle w:val="SingleTxt"/>
        <w:ind w:left="1985" w:hanging="244"/>
        <w:rPr>
          <w:spacing w:val="-2"/>
        </w:rPr>
      </w:pPr>
      <w:r>
        <w:rPr>
          <w:spacing w:val="-2"/>
        </w:rPr>
        <w:t>-</w:t>
      </w:r>
      <w:r>
        <w:rPr>
          <w:spacing w:val="-2"/>
        </w:rPr>
        <w:tab/>
        <w:t>Кампания в рамках проводившихся в 1999 году выборов в местные органы власти под лозунгом "Без женщин политика лишается лучшей половины" с сопутствующими материалами, включая флаги, майки, плакаты, информ</w:t>
      </w:r>
      <w:r>
        <w:rPr>
          <w:spacing w:val="-2"/>
        </w:rPr>
        <w:t>а</w:t>
      </w:r>
      <w:r>
        <w:rPr>
          <w:spacing w:val="-2"/>
        </w:rPr>
        <w:t>ционную листовку о представительстве женщин в парламентах и историч</w:t>
      </w:r>
      <w:r>
        <w:rPr>
          <w:spacing w:val="-2"/>
        </w:rPr>
        <w:t>е</w:t>
      </w:r>
      <w:r>
        <w:rPr>
          <w:spacing w:val="-2"/>
        </w:rPr>
        <w:t>ский календарь по в</w:t>
      </w:r>
      <w:r>
        <w:rPr>
          <w:spacing w:val="-2"/>
        </w:rPr>
        <w:t>о</w:t>
      </w:r>
      <w:r>
        <w:rPr>
          <w:spacing w:val="-2"/>
        </w:rPr>
        <w:t>просам политики в отношении женщин (Баден-Вюртемберг)</w:t>
      </w:r>
    </w:p>
    <w:p w:rsidR="00000000" w:rsidRDefault="00000000">
      <w:pPr>
        <w:pStyle w:val="SingleTxt"/>
        <w:ind w:left="1985" w:hanging="244"/>
        <w:rPr>
          <w:spacing w:val="-2"/>
        </w:rPr>
      </w:pPr>
      <w:r>
        <w:rPr>
          <w:spacing w:val="-2"/>
        </w:rPr>
        <w:t>-</w:t>
      </w:r>
      <w:r>
        <w:rPr>
          <w:spacing w:val="-2"/>
        </w:rPr>
        <w:tab/>
        <w:t xml:space="preserve">Женский веб-сайт </w:t>
      </w:r>
      <w:r>
        <w:rPr>
          <w:spacing w:val="-2"/>
          <w:u w:val="single"/>
        </w:rPr>
        <w:t>www.frauen-aktiv.de</w:t>
      </w:r>
      <w:r>
        <w:rPr>
          <w:spacing w:val="-2"/>
        </w:rPr>
        <w:t xml:space="preserve"> (Баден-Вюртемберг)</w:t>
      </w:r>
    </w:p>
    <w:p w:rsidR="00000000" w:rsidRDefault="00000000">
      <w:pPr>
        <w:pStyle w:val="SingleTxt"/>
        <w:ind w:left="1985" w:hanging="244"/>
        <w:rPr>
          <w:spacing w:val="-2"/>
        </w:rPr>
      </w:pPr>
      <w:r>
        <w:rPr>
          <w:spacing w:val="-2"/>
        </w:rPr>
        <w:t>-</w:t>
      </w:r>
      <w:r>
        <w:rPr>
          <w:spacing w:val="-2"/>
        </w:rPr>
        <w:tab/>
        <w:t>Специальная конференция по теме "Женщины – власть – СМИ" (Баден-Вюртемберг)</w:t>
      </w:r>
    </w:p>
    <w:p w:rsidR="00000000" w:rsidRDefault="00000000">
      <w:pPr>
        <w:pStyle w:val="SingleTxt"/>
        <w:ind w:left="1985" w:hanging="244"/>
        <w:rPr>
          <w:spacing w:val="-2"/>
        </w:rPr>
      </w:pPr>
      <w:r>
        <w:rPr>
          <w:spacing w:val="-2"/>
        </w:rPr>
        <w:t>-</w:t>
      </w:r>
      <w:r>
        <w:rPr>
          <w:spacing w:val="-2"/>
        </w:rPr>
        <w:tab/>
        <w:t>Стратегический семинар для окружных и местных органов власти и мес</w:t>
      </w:r>
      <w:r>
        <w:rPr>
          <w:spacing w:val="-2"/>
        </w:rPr>
        <w:t>т</w:t>
      </w:r>
      <w:r>
        <w:rPr>
          <w:spacing w:val="-2"/>
        </w:rPr>
        <w:t>ных советников по теме "Место – точка зрения – стратегия" (Баден-Вюртемберг)</w:t>
      </w:r>
    </w:p>
    <w:p w:rsidR="00000000" w:rsidRDefault="00000000">
      <w:pPr>
        <w:pStyle w:val="SingleTxt"/>
        <w:ind w:left="1985" w:hanging="244"/>
        <w:rPr>
          <w:spacing w:val="-2"/>
        </w:rPr>
      </w:pPr>
      <w:r>
        <w:rPr>
          <w:spacing w:val="-2"/>
        </w:rPr>
        <w:t>-</w:t>
      </w:r>
      <w:r>
        <w:rPr>
          <w:spacing w:val="-2"/>
        </w:rPr>
        <w:tab/>
        <w:t>Исследование: представленность женщин в СМИ в Баден-Вюртемберге</w:t>
      </w:r>
    </w:p>
    <w:p w:rsidR="00000000" w:rsidRDefault="00000000">
      <w:pPr>
        <w:pStyle w:val="SingleTxt"/>
        <w:ind w:left="1985" w:hanging="244"/>
        <w:rPr>
          <w:spacing w:val="-2"/>
        </w:rPr>
      </w:pPr>
      <w:r>
        <w:rPr>
          <w:spacing w:val="-2"/>
        </w:rPr>
        <w:t>-</w:t>
      </w:r>
      <w:r>
        <w:rPr>
          <w:spacing w:val="-2"/>
        </w:rPr>
        <w:tab/>
        <w:t>Информационно-пропагандистская программа "Освещение роли женщин в Баден-Вюртемберге" (Баден-Вюртемберг)</w:t>
      </w:r>
    </w:p>
    <w:p w:rsidR="00000000" w:rsidRDefault="00000000">
      <w:pPr>
        <w:pStyle w:val="SingleTxt"/>
        <w:ind w:left="1985" w:hanging="244"/>
        <w:rPr>
          <w:spacing w:val="-2"/>
        </w:rPr>
      </w:pPr>
      <w:r>
        <w:rPr>
          <w:spacing w:val="-2"/>
        </w:rPr>
        <w:t>-</w:t>
      </w:r>
      <w:r>
        <w:rPr>
          <w:spacing w:val="-2"/>
        </w:rPr>
        <w:tab/>
        <w:t>Листовка под названием "Наставничество над женщинами в местных пол</w:t>
      </w:r>
      <w:r>
        <w:rPr>
          <w:spacing w:val="-2"/>
        </w:rPr>
        <w:t>и</w:t>
      </w:r>
      <w:r>
        <w:rPr>
          <w:spacing w:val="-2"/>
        </w:rPr>
        <w:t>тических организациях" (Баден-Вюртемберг)</w:t>
      </w:r>
    </w:p>
    <w:p w:rsidR="00000000" w:rsidRDefault="00000000">
      <w:pPr>
        <w:pStyle w:val="SingleTxt"/>
        <w:ind w:left="1985" w:hanging="244"/>
        <w:rPr>
          <w:spacing w:val="-2"/>
        </w:rPr>
      </w:pPr>
      <w:r>
        <w:rPr>
          <w:spacing w:val="-2"/>
        </w:rPr>
        <w:t>-</w:t>
      </w:r>
      <w:r>
        <w:rPr>
          <w:spacing w:val="-2"/>
        </w:rPr>
        <w:tab/>
        <w:t>Брошюра под названием "Главные темы женской политики – Программа действий уполномоченного по делам женщин в земельном правительстве" (Баден-Вюртемберг)</w:t>
      </w:r>
    </w:p>
    <w:p w:rsidR="00000000" w:rsidRDefault="00000000">
      <w:pPr>
        <w:pStyle w:val="SingleTxt"/>
        <w:ind w:left="1985" w:hanging="244"/>
        <w:rPr>
          <w:spacing w:val="-2"/>
        </w:rPr>
      </w:pPr>
      <w:r>
        <w:rPr>
          <w:spacing w:val="-2"/>
        </w:rPr>
        <w:t>-</w:t>
      </w:r>
      <w:r>
        <w:rPr>
          <w:spacing w:val="-2"/>
        </w:rPr>
        <w:tab/>
        <w:t>Третий Конгресс баварских женщин под названием "Взаимодействие – пр</w:t>
      </w:r>
      <w:r>
        <w:rPr>
          <w:spacing w:val="-2"/>
        </w:rPr>
        <w:t>и</w:t>
      </w:r>
      <w:r>
        <w:rPr>
          <w:spacing w:val="-2"/>
        </w:rPr>
        <w:t>зыв к партнерству в с</w:t>
      </w:r>
      <w:r>
        <w:rPr>
          <w:spacing w:val="-2"/>
        </w:rPr>
        <w:t>е</w:t>
      </w:r>
      <w:r>
        <w:rPr>
          <w:spacing w:val="-2"/>
        </w:rPr>
        <w:t>мье, в учебных заведениях и на работе" (Бавария)</w:t>
      </w:r>
    </w:p>
    <w:p w:rsidR="00000000" w:rsidRDefault="00000000">
      <w:pPr>
        <w:pStyle w:val="SingleTxt"/>
        <w:ind w:left="1985" w:hanging="244"/>
        <w:rPr>
          <w:spacing w:val="-2"/>
        </w:rPr>
      </w:pPr>
      <w:r>
        <w:rPr>
          <w:spacing w:val="-2"/>
        </w:rPr>
        <w:t>-</w:t>
      </w:r>
      <w:r>
        <w:rPr>
          <w:spacing w:val="-2"/>
        </w:rPr>
        <w:tab/>
        <w:t>Земельная выставка под названием "История женщин в Баварии"</w:t>
      </w:r>
    </w:p>
    <w:p w:rsidR="00000000" w:rsidRDefault="00000000">
      <w:pPr>
        <w:pStyle w:val="SingleTxt"/>
        <w:ind w:left="1985" w:hanging="244"/>
        <w:rPr>
          <w:spacing w:val="-2"/>
        </w:rPr>
      </w:pPr>
      <w:r>
        <w:rPr>
          <w:spacing w:val="-2"/>
        </w:rPr>
        <w:t>-</w:t>
      </w:r>
      <w:r>
        <w:rPr>
          <w:spacing w:val="-2"/>
        </w:rPr>
        <w:tab/>
        <w:t>Выставка под названием "Сети" – новаторские проекты в интересах женщин в Баварии</w:t>
      </w:r>
    </w:p>
    <w:p w:rsidR="00000000" w:rsidRDefault="00000000">
      <w:pPr>
        <w:pStyle w:val="SingleTxt"/>
        <w:ind w:left="1985" w:hanging="244"/>
        <w:rPr>
          <w:spacing w:val="-2"/>
        </w:rPr>
      </w:pPr>
      <w:r>
        <w:rPr>
          <w:spacing w:val="-2"/>
        </w:rPr>
        <w:t>-</w:t>
      </w:r>
      <w:r>
        <w:rPr>
          <w:spacing w:val="-2"/>
        </w:rPr>
        <w:tab/>
        <w:t>Материалы, касающиеся конгрессов и специальных конференций, а также Премии за улучшение п</w:t>
      </w:r>
      <w:r>
        <w:rPr>
          <w:spacing w:val="-2"/>
        </w:rPr>
        <w:t>о</w:t>
      </w:r>
      <w:r>
        <w:rPr>
          <w:spacing w:val="-2"/>
        </w:rPr>
        <w:t>ложения баварских женщин (Бавария)</w:t>
      </w:r>
    </w:p>
    <w:p w:rsidR="00000000" w:rsidRDefault="00000000">
      <w:pPr>
        <w:pStyle w:val="SingleTxt"/>
        <w:ind w:left="1985" w:hanging="244"/>
        <w:rPr>
          <w:spacing w:val="-2"/>
        </w:rPr>
      </w:pPr>
      <w:r>
        <w:rPr>
          <w:spacing w:val="-2"/>
        </w:rPr>
        <w:t>-</w:t>
      </w:r>
      <w:r>
        <w:rPr>
          <w:spacing w:val="-2"/>
        </w:rPr>
        <w:tab/>
        <w:t>Содействие проведению ежегодной Недели бранденбургских женщин (Бранденбург)</w:t>
      </w:r>
    </w:p>
    <w:p w:rsidR="00000000" w:rsidRDefault="00000000">
      <w:pPr>
        <w:pStyle w:val="SingleTxt"/>
        <w:ind w:left="1985" w:hanging="244"/>
        <w:rPr>
          <w:spacing w:val="-2"/>
        </w:rPr>
      </w:pPr>
      <w:r>
        <w:rPr>
          <w:spacing w:val="-2"/>
        </w:rPr>
        <w:t>-</w:t>
      </w:r>
      <w:r>
        <w:rPr>
          <w:spacing w:val="-2"/>
        </w:rPr>
        <w:tab/>
        <w:t>Вводные семинары для женщин по вопросам пользования сетью Интернет (Бремен)</w:t>
      </w:r>
    </w:p>
    <w:p w:rsidR="00000000" w:rsidRDefault="00000000">
      <w:pPr>
        <w:pStyle w:val="SingleTxt"/>
        <w:ind w:left="1985" w:hanging="244"/>
        <w:rPr>
          <w:spacing w:val="-2"/>
        </w:rPr>
      </w:pPr>
      <w:r>
        <w:rPr>
          <w:spacing w:val="-2"/>
        </w:rPr>
        <w:t>-</w:t>
      </w:r>
      <w:r>
        <w:rPr>
          <w:spacing w:val="-2"/>
        </w:rPr>
        <w:tab/>
        <w:t>Ежегодная Неделя женщин Бремерхафена (Бремен)</w:t>
      </w:r>
    </w:p>
    <w:p w:rsidR="00000000" w:rsidRDefault="00000000">
      <w:pPr>
        <w:pStyle w:val="SingleTxt"/>
        <w:ind w:left="1985" w:hanging="244"/>
        <w:rPr>
          <w:spacing w:val="-2"/>
        </w:rPr>
      </w:pPr>
      <w:r>
        <w:rPr>
          <w:spacing w:val="-2"/>
        </w:rPr>
        <w:t>-</w:t>
      </w:r>
      <w:r>
        <w:rPr>
          <w:spacing w:val="-2"/>
        </w:rPr>
        <w:tab/>
        <w:t>Выставка под названием "Сильные женщины" (Бремен)</w:t>
      </w:r>
    </w:p>
    <w:p w:rsidR="00000000" w:rsidRDefault="00000000">
      <w:pPr>
        <w:pStyle w:val="SingleTxt"/>
        <w:ind w:left="1985" w:hanging="244"/>
        <w:rPr>
          <w:spacing w:val="-2"/>
        </w:rPr>
      </w:pPr>
      <w:r>
        <w:rPr>
          <w:spacing w:val="-2"/>
        </w:rPr>
        <w:t>-</w:t>
      </w:r>
      <w:r>
        <w:rPr>
          <w:spacing w:val="-2"/>
        </w:rPr>
        <w:tab/>
        <w:t>Информационная брошюра о новом законе о родителях и детях от 1 июля 1998 года (Бремен)</w:t>
      </w:r>
    </w:p>
    <w:p w:rsidR="00000000" w:rsidRDefault="00000000">
      <w:pPr>
        <w:pStyle w:val="SingleTxt"/>
        <w:ind w:left="1985" w:hanging="244"/>
        <w:rPr>
          <w:spacing w:val="-2"/>
        </w:rPr>
      </w:pPr>
      <w:r>
        <w:rPr>
          <w:spacing w:val="-2"/>
        </w:rPr>
        <w:t>-</w:t>
      </w:r>
      <w:r>
        <w:rPr>
          <w:spacing w:val="-2"/>
        </w:rPr>
        <w:tab/>
        <w:t>Информационная брошюра о раздельном жительстве супругов и расторж</w:t>
      </w:r>
      <w:r>
        <w:rPr>
          <w:spacing w:val="-2"/>
        </w:rPr>
        <w:t>е</w:t>
      </w:r>
      <w:r>
        <w:rPr>
          <w:spacing w:val="-2"/>
        </w:rPr>
        <w:t>нии брака (Бремен)</w:t>
      </w:r>
    </w:p>
    <w:p w:rsidR="00000000" w:rsidRDefault="00000000">
      <w:pPr>
        <w:pStyle w:val="SingleTxt"/>
        <w:ind w:left="1985" w:hanging="244"/>
        <w:rPr>
          <w:spacing w:val="-2"/>
        </w:rPr>
      </w:pPr>
      <w:r>
        <w:rPr>
          <w:spacing w:val="-2"/>
        </w:rPr>
        <w:t>-</w:t>
      </w:r>
      <w:r>
        <w:rPr>
          <w:spacing w:val="-2"/>
        </w:rPr>
        <w:tab/>
        <w:t>Публикация руководства для женщин в городах Бремен и Бремерхафен (Бремен)</w:t>
      </w:r>
    </w:p>
    <w:p w:rsidR="00000000" w:rsidRDefault="00000000">
      <w:pPr>
        <w:pStyle w:val="SingleTxt"/>
        <w:ind w:left="1985" w:hanging="244"/>
        <w:rPr>
          <w:spacing w:val="-2"/>
        </w:rPr>
      </w:pPr>
      <w:r>
        <w:rPr>
          <w:spacing w:val="-2"/>
        </w:rPr>
        <w:t>-</w:t>
      </w:r>
      <w:r>
        <w:rPr>
          <w:spacing w:val="-2"/>
        </w:rPr>
        <w:tab/>
        <w:t>Поочередное присуждение ежегодной премии им. Элизабет Селберт же</w:t>
      </w:r>
      <w:r>
        <w:rPr>
          <w:spacing w:val="-2"/>
        </w:rPr>
        <w:t>н</w:t>
      </w:r>
      <w:r>
        <w:rPr>
          <w:spacing w:val="-2"/>
        </w:rPr>
        <w:t>щинам-журналистам и женщинам-ученым (Гессен)</w:t>
      </w:r>
    </w:p>
    <w:p w:rsidR="00000000" w:rsidRDefault="00000000">
      <w:pPr>
        <w:pStyle w:val="SingleTxt"/>
        <w:ind w:left="1985" w:hanging="244"/>
        <w:rPr>
          <w:spacing w:val="-2"/>
        </w:rPr>
      </w:pPr>
      <w:r>
        <w:rPr>
          <w:spacing w:val="-2"/>
        </w:rPr>
        <w:t>-</w:t>
      </w:r>
      <w:r>
        <w:rPr>
          <w:spacing w:val="-2"/>
        </w:rPr>
        <w:tab/>
        <w:t>Создание информационно-коммуникационной страницы о женщинах и в интересах женщин из Северного Рейна-Вестфалии на Интернет-сайте "www.frauennrw.de", с 2001 года (Северный Рейн-Вестфалия)</w:t>
      </w:r>
    </w:p>
    <w:p w:rsidR="00000000" w:rsidRDefault="00000000">
      <w:pPr>
        <w:pStyle w:val="SingleTxt"/>
        <w:ind w:left="1985" w:hanging="244"/>
        <w:rPr>
          <w:spacing w:val="-2"/>
        </w:rPr>
      </w:pPr>
      <w:r>
        <w:rPr>
          <w:spacing w:val="-2"/>
        </w:rPr>
        <w:t>-</w:t>
      </w:r>
      <w:r>
        <w:rPr>
          <w:spacing w:val="-2"/>
        </w:rPr>
        <w:tab/>
        <w:t>Производство видеофильма об изменении образа женщины в кинематогр</w:t>
      </w:r>
      <w:r>
        <w:rPr>
          <w:spacing w:val="-2"/>
        </w:rPr>
        <w:t>а</w:t>
      </w:r>
      <w:r>
        <w:rPr>
          <w:spacing w:val="-2"/>
        </w:rPr>
        <w:t>фии в XX веке "От богини экрана к киберженщине") (2000 год) (Северный Рейн-Вестфалия)</w:t>
      </w:r>
    </w:p>
    <w:p w:rsidR="00000000" w:rsidRDefault="00000000">
      <w:pPr>
        <w:pStyle w:val="SingleTxt"/>
        <w:ind w:left="1985" w:hanging="244"/>
        <w:rPr>
          <w:spacing w:val="-2"/>
        </w:rPr>
      </w:pPr>
      <w:r>
        <w:rPr>
          <w:spacing w:val="-2"/>
        </w:rPr>
        <w:t>-</w:t>
      </w:r>
      <w:r>
        <w:rPr>
          <w:spacing w:val="-2"/>
        </w:rPr>
        <w:tab/>
        <w:t>Ежегодные недельные кампании в координации с местными уполномоче</w:t>
      </w:r>
      <w:r>
        <w:rPr>
          <w:spacing w:val="-2"/>
        </w:rPr>
        <w:t>н</w:t>
      </w:r>
      <w:r>
        <w:rPr>
          <w:spacing w:val="-2"/>
        </w:rPr>
        <w:t>ными по вопросам раве</w:t>
      </w:r>
      <w:r>
        <w:rPr>
          <w:spacing w:val="-2"/>
        </w:rPr>
        <w:t>н</w:t>
      </w:r>
      <w:r>
        <w:rPr>
          <w:spacing w:val="-2"/>
        </w:rPr>
        <w:t>ства по альтернативной тематике (Северный Рейн-Вестфалия)</w:t>
      </w:r>
    </w:p>
    <w:p w:rsidR="00000000" w:rsidRDefault="00000000">
      <w:pPr>
        <w:pStyle w:val="SingleTxt"/>
        <w:ind w:left="1985" w:hanging="244"/>
        <w:rPr>
          <w:spacing w:val="-2"/>
        </w:rPr>
      </w:pPr>
      <w:r>
        <w:rPr>
          <w:spacing w:val="-2"/>
        </w:rPr>
        <w:t>-</w:t>
      </w:r>
      <w:r>
        <w:rPr>
          <w:spacing w:val="-2"/>
        </w:rPr>
        <w:tab/>
        <w:t>Ежегодное мероприятие по случаю Международного женского дня (Севе</w:t>
      </w:r>
      <w:r>
        <w:rPr>
          <w:spacing w:val="-2"/>
        </w:rPr>
        <w:t>р</w:t>
      </w:r>
      <w:r>
        <w:rPr>
          <w:spacing w:val="-2"/>
        </w:rPr>
        <w:t>ный Рейн-Вестфалия)</w:t>
      </w:r>
    </w:p>
    <w:p w:rsidR="00000000" w:rsidRDefault="00000000">
      <w:pPr>
        <w:pStyle w:val="SingleTxt"/>
        <w:ind w:left="1985" w:hanging="244"/>
        <w:rPr>
          <w:spacing w:val="-2"/>
        </w:rPr>
      </w:pPr>
      <w:r>
        <w:rPr>
          <w:spacing w:val="-2"/>
        </w:rPr>
        <w:t>-</w:t>
      </w:r>
      <w:r>
        <w:rPr>
          <w:spacing w:val="-2"/>
        </w:rPr>
        <w:tab/>
        <w:t>Выставки, такие, как "Начало пути – портреты женщин из Северного Рейна-Вестфалии"</w:t>
      </w:r>
    </w:p>
    <w:p w:rsidR="00000000" w:rsidRDefault="00000000">
      <w:pPr>
        <w:pStyle w:val="SingleTxt"/>
        <w:ind w:left="1985" w:hanging="244"/>
        <w:rPr>
          <w:spacing w:val="-2"/>
        </w:rPr>
      </w:pPr>
      <w:r>
        <w:rPr>
          <w:spacing w:val="-2"/>
        </w:rPr>
        <w:t>-</w:t>
      </w:r>
      <w:r>
        <w:rPr>
          <w:spacing w:val="-2"/>
        </w:rPr>
        <w:tab/>
        <w:t>Исследование под названием "Дискриминация женщин и насилие на тел</w:t>
      </w:r>
      <w:r>
        <w:rPr>
          <w:spacing w:val="-2"/>
        </w:rPr>
        <w:t>е</w:t>
      </w:r>
      <w:r>
        <w:rPr>
          <w:spacing w:val="-2"/>
        </w:rPr>
        <w:t>видении", изображение женщин и подача тем, касающихся женщин, в сети местного вещания в земле Северный Рейн-Вестфалия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Земельная служба регулярного распространения информации о политике в отношении женщин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Многочисленные информационные материалы по политике в отношении женщин и политике обе</w:t>
      </w:r>
      <w:r>
        <w:rPr>
          <w:spacing w:val="-2"/>
        </w:rPr>
        <w:t>с</w:t>
      </w:r>
      <w:r>
        <w:rPr>
          <w:spacing w:val="-2"/>
        </w:rPr>
        <w:t>печения равенства (Северный Рейн-Вестфалия)</w:t>
      </w:r>
    </w:p>
    <w:p w:rsidR="00000000" w:rsidRDefault="00000000">
      <w:pPr>
        <w:pStyle w:val="SingleTxt"/>
        <w:ind w:left="1985" w:hanging="244"/>
        <w:rPr>
          <w:spacing w:val="-2"/>
        </w:rPr>
      </w:pPr>
      <w:r>
        <w:rPr>
          <w:spacing w:val="-2"/>
        </w:rPr>
        <w:t>-</w:t>
      </w:r>
      <w:r>
        <w:rPr>
          <w:spacing w:val="-2"/>
        </w:rPr>
        <w:tab/>
        <w:t>"Привлекать больше женщин к участию в политической жизни. Полит</w:t>
      </w:r>
      <w:r>
        <w:rPr>
          <w:spacing w:val="-2"/>
        </w:rPr>
        <w:t>и</w:t>
      </w:r>
      <w:r>
        <w:rPr>
          <w:spacing w:val="-2"/>
        </w:rPr>
        <w:t>ки-женщины оказывают с</w:t>
      </w:r>
      <w:r>
        <w:rPr>
          <w:spacing w:val="-2"/>
        </w:rPr>
        <w:t>о</w:t>
      </w:r>
      <w:r>
        <w:rPr>
          <w:spacing w:val="-2"/>
        </w:rPr>
        <w:t>действие молодым коллегам" (Рейнланд-Пфальц)</w:t>
      </w:r>
    </w:p>
    <w:p w:rsidR="00000000" w:rsidRDefault="00000000">
      <w:pPr>
        <w:pStyle w:val="SingleTxt"/>
        <w:ind w:left="1985" w:hanging="244"/>
        <w:rPr>
          <w:spacing w:val="-2"/>
        </w:rPr>
      </w:pPr>
      <w:r>
        <w:rPr>
          <w:spacing w:val="-2"/>
        </w:rPr>
        <w:t>-</w:t>
      </w:r>
      <w:r>
        <w:rPr>
          <w:spacing w:val="-2"/>
        </w:rPr>
        <w:tab/>
        <w:t>Местная Повестка дня на XXI век и женщины: оказание содействия же</w:t>
      </w:r>
      <w:r>
        <w:rPr>
          <w:spacing w:val="-2"/>
        </w:rPr>
        <w:t>н</w:t>
      </w:r>
      <w:r>
        <w:rPr>
          <w:spacing w:val="-2"/>
        </w:rPr>
        <w:t>ским группам в контексте Повестки дня (Рейнланд-Пфальц)</w:t>
      </w:r>
    </w:p>
    <w:p w:rsidR="00000000" w:rsidRDefault="00000000">
      <w:pPr>
        <w:pStyle w:val="SingleTxt"/>
        <w:ind w:left="1985" w:hanging="244"/>
        <w:rPr>
          <w:spacing w:val="-2"/>
        </w:rPr>
      </w:pPr>
      <w:r>
        <w:rPr>
          <w:spacing w:val="-2"/>
        </w:rPr>
        <w:t>-</w:t>
      </w:r>
      <w:r>
        <w:rPr>
          <w:spacing w:val="-2"/>
        </w:rPr>
        <w:tab/>
        <w:t>Семинары для уполномоченных по вопросам равенства по темам "Равенс</w:t>
      </w:r>
      <w:r>
        <w:rPr>
          <w:spacing w:val="-2"/>
        </w:rPr>
        <w:t>т</w:t>
      </w:r>
      <w:r>
        <w:rPr>
          <w:spacing w:val="-2"/>
        </w:rPr>
        <w:t>во на рабочем месте", "Труд с гендерной точки зрения" (Рейнланд-Пфальц)</w:t>
      </w:r>
    </w:p>
    <w:p w:rsidR="00000000" w:rsidRDefault="00000000">
      <w:pPr>
        <w:pStyle w:val="SingleTxt"/>
        <w:ind w:left="1985" w:hanging="244"/>
        <w:rPr>
          <w:spacing w:val="-2"/>
        </w:rPr>
      </w:pPr>
      <w:r>
        <w:rPr>
          <w:spacing w:val="-2"/>
        </w:rPr>
        <w:t>-</w:t>
      </w:r>
      <w:r>
        <w:rPr>
          <w:spacing w:val="-2"/>
        </w:rPr>
        <w:tab/>
        <w:t>Содействие развитию навыков у женщин на добровольной основе (Рей</w:t>
      </w:r>
      <w:r>
        <w:rPr>
          <w:spacing w:val="-2"/>
        </w:rPr>
        <w:t>н</w:t>
      </w:r>
      <w:r>
        <w:rPr>
          <w:spacing w:val="-2"/>
        </w:rPr>
        <w:t>ланд-Пфальц)</w:t>
      </w:r>
    </w:p>
    <w:p w:rsidR="00000000" w:rsidRDefault="00000000">
      <w:pPr>
        <w:pStyle w:val="SingleTxt"/>
        <w:ind w:left="1985" w:hanging="244"/>
        <w:rPr>
          <w:spacing w:val="-2"/>
        </w:rPr>
      </w:pPr>
      <w:r>
        <w:rPr>
          <w:spacing w:val="-2"/>
        </w:rPr>
        <w:t>-</w:t>
      </w:r>
      <w:r>
        <w:rPr>
          <w:spacing w:val="-2"/>
        </w:rPr>
        <w:tab/>
        <w:t>Выделение средств всеобщим женским политическим организациям, з</w:t>
      </w:r>
      <w:r>
        <w:rPr>
          <w:spacing w:val="-2"/>
        </w:rPr>
        <w:t>е</w:t>
      </w:r>
      <w:r>
        <w:rPr>
          <w:spacing w:val="-2"/>
        </w:rPr>
        <w:t>мельным рабочим партиям, а также координационным и консультационным аген</w:t>
      </w:r>
      <w:r>
        <w:rPr>
          <w:spacing w:val="-2"/>
        </w:rPr>
        <w:t>т</w:t>
      </w:r>
      <w:r>
        <w:rPr>
          <w:spacing w:val="-2"/>
        </w:rPr>
        <w:t>ствам для женщин (Саксония)</w:t>
      </w:r>
    </w:p>
    <w:p w:rsidR="00000000" w:rsidRDefault="00000000">
      <w:pPr>
        <w:pStyle w:val="SingleTxt"/>
        <w:ind w:left="1985" w:hanging="244"/>
        <w:rPr>
          <w:spacing w:val="-2"/>
        </w:rPr>
      </w:pPr>
      <w:r>
        <w:rPr>
          <w:spacing w:val="-2"/>
        </w:rPr>
        <w:t>-</w:t>
      </w:r>
      <w:r>
        <w:rPr>
          <w:spacing w:val="-2"/>
        </w:rPr>
        <w:tab/>
        <w:t>Руководство по выделению пособий для обеспечения равных возможностей женщин и мужчин от 19 июня 2001 года. Оно регулирует порядок принятия мер в интересах женщин и осуществления женских проектов, а также улучшение усл</w:t>
      </w:r>
      <w:r>
        <w:rPr>
          <w:spacing w:val="-2"/>
        </w:rPr>
        <w:t>о</w:t>
      </w:r>
      <w:r>
        <w:rPr>
          <w:spacing w:val="-2"/>
        </w:rPr>
        <w:t>вий труда женщин в сельских районах (Саксония)</w:t>
      </w:r>
    </w:p>
    <w:p w:rsidR="00000000" w:rsidRDefault="00000000">
      <w:pPr>
        <w:pStyle w:val="SingleTxt"/>
        <w:ind w:left="1985" w:hanging="244"/>
        <w:rPr>
          <w:spacing w:val="-2"/>
        </w:rPr>
      </w:pPr>
      <w:r>
        <w:rPr>
          <w:spacing w:val="-2"/>
        </w:rPr>
        <w:t>-</w:t>
      </w:r>
      <w:r>
        <w:rPr>
          <w:spacing w:val="-2"/>
        </w:rPr>
        <w:tab/>
        <w:t>"Десять лет с момента начала осуществления политики равенства в Свобо</w:t>
      </w:r>
      <w:r>
        <w:rPr>
          <w:spacing w:val="-2"/>
        </w:rPr>
        <w:t>д</w:t>
      </w:r>
      <w:r>
        <w:rPr>
          <w:spacing w:val="-2"/>
        </w:rPr>
        <w:t>ном государстве Саксония", специальное правительственное заявление г</w:t>
      </w:r>
      <w:r>
        <w:rPr>
          <w:spacing w:val="-2"/>
        </w:rPr>
        <w:t>о</w:t>
      </w:r>
      <w:r>
        <w:rPr>
          <w:spacing w:val="-2"/>
        </w:rPr>
        <w:t>сударственного министра по обеспечению равенства женщин и мужчин Кристины Вебер от 4 апреля 2001 года в парламенте земли Саксония (по</w:t>
      </w:r>
      <w:r>
        <w:rPr>
          <w:spacing w:val="-2"/>
        </w:rPr>
        <w:t>д</w:t>
      </w:r>
      <w:r>
        <w:rPr>
          <w:spacing w:val="-2"/>
        </w:rPr>
        <w:t>готовка протокола)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"Десять лет с момента начала осуществления политики равенства в Свобо</w:t>
      </w:r>
      <w:r>
        <w:rPr>
          <w:spacing w:val="-2"/>
        </w:rPr>
        <w:t>д</w:t>
      </w:r>
      <w:r>
        <w:rPr>
          <w:spacing w:val="-2"/>
        </w:rPr>
        <w:t>ном государстве Саксония – Эволюция положения женщин с 90-х годов до 2000 года", под ред. государственного министра по обеспечению равенства женщин и мужчин (Саксония)</w:t>
      </w:r>
    </w:p>
    <w:p w:rsidR="00000000" w:rsidRDefault="00000000">
      <w:pPr>
        <w:pStyle w:val="SingleTxt"/>
        <w:ind w:left="1985" w:hanging="244"/>
        <w:rPr>
          <w:spacing w:val="-2"/>
        </w:rPr>
      </w:pPr>
      <w:r>
        <w:rPr>
          <w:spacing w:val="-2"/>
        </w:rPr>
        <w:t>-</w:t>
      </w:r>
      <w:r>
        <w:rPr>
          <w:spacing w:val="-2"/>
        </w:rPr>
        <w:tab/>
        <w:t>Земельный Интернет-сайт для женщин под названием "Информационная система для женщин Са</w:t>
      </w:r>
      <w:r>
        <w:rPr>
          <w:spacing w:val="-2"/>
        </w:rPr>
        <w:t>к</w:t>
      </w:r>
      <w:r>
        <w:rPr>
          <w:spacing w:val="-2"/>
        </w:rPr>
        <w:t>сонии-Айнхальт" (Саксония-Айнхальт)</w:t>
      </w:r>
    </w:p>
    <w:p w:rsidR="00000000" w:rsidRDefault="00000000">
      <w:pPr>
        <w:pStyle w:val="SingleTxt"/>
        <w:ind w:left="1985" w:hanging="244"/>
        <w:rPr>
          <w:spacing w:val="-2"/>
        </w:rPr>
      </w:pPr>
      <w:r>
        <w:rPr>
          <w:spacing w:val="-2"/>
        </w:rPr>
        <w:t>-</w:t>
      </w:r>
      <w:r>
        <w:rPr>
          <w:spacing w:val="-2"/>
        </w:rPr>
        <w:tab/>
        <w:t>Доклад экспертов о добровольном труде женщин и мужчин (Шлезвиг-Гольштейн)</w:t>
      </w:r>
    </w:p>
    <w:p w:rsidR="00000000" w:rsidRDefault="00000000">
      <w:pPr>
        <w:pStyle w:val="SingleTxt"/>
        <w:ind w:left="1985" w:hanging="244"/>
        <w:rPr>
          <w:spacing w:val="-2"/>
        </w:rPr>
      </w:pPr>
      <w:r>
        <w:rPr>
          <w:spacing w:val="-2"/>
        </w:rPr>
        <w:t>-</w:t>
      </w:r>
      <w:r>
        <w:rPr>
          <w:spacing w:val="-2"/>
        </w:rPr>
        <w:tab/>
        <w:t>Брошюра под названием "Ключевые узлы женской сети Тюрингии (третье издание) (Тюрингия)</w:t>
      </w:r>
    </w:p>
    <w:p w:rsidR="00000000" w:rsidRDefault="00000000">
      <w:pPr>
        <w:pStyle w:val="H4"/>
      </w:pPr>
      <w:bookmarkStart w:id="899" w:name="_Toc44113896"/>
      <w:bookmarkStart w:id="900" w:name="_Toc44114405"/>
      <w:bookmarkStart w:id="901" w:name="_Toc44116087"/>
      <w:r>
        <w:t>t)</w:t>
      </w:r>
      <w:r>
        <w:tab/>
        <w:t>Актуализация гендерной проблематики</w:t>
      </w:r>
      <w:bookmarkEnd w:id="899"/>
      <w:bookmarkEnd w:id="900"/>
      <w:bookmarkEnd w:id="901"/>
    </w:p>
    <w:p w:rsidR="00000000" w:rsidRDefault="00000000">
      <w:pPr>
        <w:pStyle w:val="SingleTxt"/>
        <w:ind w:left="1985" w:hanging="244"/>
        <w:rPr>
          <w:spacing w:val="-2"/>
        </w:rPr>
      </w:pPr>
      <w:r>
        <w:rPr>
          <w:spacing w:val="-2"/>
        </w:rPr>
        <w:t>-</w:t>
      </w:r>
      <w:r>
        <w:rPr>
          <w:spacing w:val="-2"/>
        </w:rPr>
        <w:tab/>
        <w:t>Постановление земельного правительства об актуализации гендерной пр</w:t>
      </w:r>
      <w:r>
        <w:rPr>
          <w:spacing w:val="-2"/>
        </w:rPr>
        <w:t>о</w:t>
      </w:r>
      <w:r>
        <w:rPr>
          <w:spacing w:val="-2"/>
        </w:rPr>
        <w:t>блематики в работе з</w:t>
      </w:r>
      <w:r>
        <w:rPr>
          <w:spacing w:val="-2"/>
        </w:rPr>
        <w:t>е</w:t>
      </w:r>
      <w:r>
        <w:rPr>
          <w:spacing w:val="-2"/>
        </w:rPr>
        <w:t>мельной администрации (Баден-Вюртемберг)</w:t>
      </w:r>
    </w:p>
    <w:p w:rsidR="00000000" w:rsidRDefault="00000000">
      <w:pPr>
        <w:pStyle w:val="SingleTxt"/>
        <w:ind w:left="1985" w:hanging="244"/>
        <w:rPr>
          <w:spacing w:val="-2"/>
        </w:rPr>
      </w:pPr>
      <w:r>
        <w:rPr>
          <w:spacing w:val="-2"/>
        </w:rPr>
        <w:t>-</w:t>
      </w:r>
      <w:r>
        <w:rPr>
          <w:spacing w:val="-2"/>
        </w:rPr>
        <w:tab/>
        <w:t>Принятие мер по актуализации гендерной проблематики в сенатской адм</w:t>
      </w:r>
      <w:r>
        <w:rPr>
          <w:spacing w:val="-2"/>
        </w:rPr>
        <w:t>и</w:t>
      </w:r>
      <w:r>
        <w:rPr>
          <w:spacing w:val="-2"/>
        </w:rPr>
        <w:t>нистрации Берлина</w:t>
      </w:r>
    </w:p>
    <w:p w:rsidR="00000000" w:rsidRDefault="00000000">
      <w:pPr>
        <w:pStyle w:val="SingleTxt"/>
        <w:ind w:left="1985" w:hanging="244"/>
        <w:rPr>
          <w:spacing w:val="-2"/>
        </w:rPr>
      </w:pPr>
      <w:r>
        <w:rPr>
          <w:spacing w:val="-2"/>
        </w:rPr>
        <w:t>-</w:t>
      </w:r>
      <w:r>
        <w:rPr>
          <w:spacing w:val="-2"/>
        </w:rPr>
        <w:tab/>
        <w:t>Соглашение о принятии мер по актуализации гендерной проблематики в министерстве труда, социальных дел, здравоохранения и по делам женщин, 2000 год (Бранденбург)</w:t>
      </w:r>
    </w:p>
    <w:p w:rsidR="00000000" w:rsidRDefault="00000000">
      <w:pPr>
        <w:pStyle w:val="SingleTxt"/>
        <w:ind w:left="1985" w:hanging="244"/>
        <w:rPr>
          <w:spacing w:val="-2"/>
        </w:rPr>
      </w:pPr>
      <w:r>
        <w:rPr>
          <w:spacing w:val="-2"/>
        </w:rPr>
        <w:t>-</w:t>
      </w:r>
      <w:r>
        <w:rPr>
          <w:spacing w:val="-2"/>
        </w:rPr>
        <w:tab/>
        <w:t>Повышение уровня подготовки руководителей различных департаментов по вопросам актуализации гендерной проблематики в министерстве труда, с</w:t>
      </w:r>
      <w:r>
        <w:rPr>
          <w:spacing w:val="-2"/>
        </w:rPr>
        <w:t>о</w:t>
      </w:r>
      <w:r>
        <w:rPr>
          <w:spacing w:val="-2"/>
        </w:rPr>
        <w:t>циальных дел, здравоохранения и по делам женщин, 2000 год (Бранденбург)</w:t>
      </w:r>
    </w:p>
    <w:p w:rsidR="00000000" w:rsidRDefault="00000000">
      <w:pPr>
        <w:pStyle w:val="SingleTxt"/>
        <w:ind w:left="1985" w:hanging="244"/>
        <w:rPr>
          <w:spacing w:val="-2"/>
        </w:rPr>
      </w:pPr>
      <w:r>
        <w:rPr>
          <w:spacing w:val="-2"/>
        </w:rPr>
        <w:t>-</w:t>
      </w:r>
      <w:r>
        <w:rPr>
          <w:spacing w:val="-2"/>
        </w:rPr>
        <w:tab/>
        <w:t>Разработка пилотных проектов актуализации гендерной проблематики для различных отделов министерства труда, социальных дел, здравоохранения и по д</w:t>
      </w:r>
      <w:r>
        <w:rPr>
          <w:spacing w:val="-2"/>
        </w:rPr>
        <w:t>е</w:t>
      </w:r>
      <w:r>
        <w:rPr>
          <w:spacing w:val="-2"/>
        </w:rPr>
        <w:t>лам женщин, 2001 год (Бранденбург)</w:t>
      </w:r>
    </w:p>
    <w:p w:rsidR="00000000" w:rsidRDefault="00000000">
      <w:pPr>
        <w:pStyle w:val="SingleTxt"/>
        <w:ind w:left="1985" w:hanging="244"/>
        <w:rPr>
          <w:spacing w:val="-2"/>
        </w:rPr>
      </w:pPr>
      <w:r>
        <w:rPr>
          <w:spacing w:val="-2"/>
        </w:rPr>
        <w:t>-</w:t>
      </w:r>
      <w:r>
        <w:rPr>
          <w:spacing w:val="-2"/>
        </w:rPr>
        <w:tab/>
        <w:t>Общеземельная специальная конференция по актуализации гендерной пр</w:t>
      </w:r>
      <w:r>
        <w:rPr>
          <w:spacing w:val="-2"/>
        </w:rPr>
        <w:t>о</w:t>
      </w:r>
      <w:r>
        <w:rPr>
          <w:spacing w:val="-2"/>
        </w:rPr>
        <w:t>блематики в стратегических областях массовой информации, здравоохран</w:t>
      </w:r>
      <w:r>
        <w:rPr>
          <w:spacing w:val="-2"/>
        </w:rPr>
        <w:t>е</w:t>
      </w:r>
      <w:r>
        <w:rPr>
          <w:spacing w:val="-2"/>
        </w:rPr>
        <w:t>ния, местной администрации, экономики и структурного развития ЕС, 2001 год (Бра</w:t>
      </w:r>
      <w:r>
        <w:rPr>
          <w:spacing w:val="-2"/>
        </w:rPr>
        <w:t>н</w:t>
      </w:r>
      <w:r>
        <w:rPr>
          <w:spacing w:val="-2"/>
        </w:rPr>
        <w:t>денбург)</w:t>
      </w:r>
    </w:p>
    <w:p w:rsidR="00000000" w:rsidRDefault="00000000">
      <w:pPr>
        <w:pStyle w:val="SingleTxt"/>
        <w:ind w:left="1985" w:hanging="244"/>
        <w:rPr>
          <w:spacing w:val="-2"/>
        </w:rPr>
      </w:pPr>
      <w:r>
        <w:rPr>
          <w:spacing w:val="-2"/>
        </w:rPr>
        <w:t>-</w:t>
      </w:r>
      <w:r>
        <w:rPr>
          <w:spacing w:val="-2"/>
        </w:rPr>
        <w:tab/>
        <w:t>Межсекционная группа по актуализации гендерной проблематики и ме</w:t>
      </w:r>
      <w:r>
        <w:rPr>
          <w:spacing w:val="-2"/>
        </w:rPr>
        <w:t>ж</w:t>
      </w:r>
      <w:r>
        <w:rPr>
          <w:spacing w:val="-2"/>
        </w:rPr>
        <w:t>министерская специальная группа по актуализации гендерной проблемат</w:t>
      </w:r>
      <w:r>
        <w:rPr>
          <w:spacing w:val="-2"/>
        </w:rPr>
        <w:t>и</w:t>
      </w:r>
      <w:r>
        <w:rPr>
          <w:spacing w:val="-2"/>
        </w:rPr>
        <w:t>ки на рабочем уровне (в настоящее время находится в процессе создания) (Бранденбург)</w:t>
      </w:r>
    </w:p>
    <w:p w:rsidR="00000000" w:rsidRDefault="00000000">
      <w:pPr>
        <w:pStyle w:val="SingleTxt"/>
        <w:ind w:left="1985" w:hanging="244"/>
        <w:rPr>
          <w:spacing w:val="-2"/>
        </w:rPr>
      </w:pPr>
      <w:r>
        <w:rPr>
          <w:spacing w:val="-2"/>
        </w:rPr>
        <w:t>-</w:t>
      </w:r>
      <w:r>
        <w:rPr>
          <w:spacing w:val="-2"/>
        </w:rPr>
        <w:tab/>
        <w:t>Тема: Актуализация гендерной проблематики в сфере образования (курсы профессиональной ориентации для девушек и юношей в школах) (Бранде</w:t>
      </w:r>
      <w:r>
        <w:rPr>
          <w:spacing w:val="-2"/>
        </w:rPr>
        <w:t>н</w:t>
      </w:r>
      <w:r>
        <w:rPr>
          <w:spacing w:val="-2"/>
        </w:rPr>
        <w:t>бург)</w:t>
      </w:r>
    </w:p>
    <w:p w:rsidR="00000000" w:rsidRDefault="00000000">
      <w:pPr>
        <w:pStyle w:val="SingleTxt"/>
        <w:ind w:left="1985" w:hanging="244"/>
        <w:rPr>
          <w:spacing w:val="-2"/>
        </w:rPr>
      </w:pPr>
      <w:r>
        <w:rPr>
          <w:spacing w:val="-2"/>
        </w:rPr>
        <w:t>-</w:t>
      </w:r>
      <w:r>
        <w:rPr>
          <w:spacing w:val="-2"/>
        </w:rPr>
        <w:tab/>
        <w:t>Актуализация гендерной проблематики и совершенствование управления (Бранденбург)</w:t>
      </w:r>
    </w:p>
    <w:p w:rsidR="00000000" w:rsidRDefault="00000000">
      <w:pPr>
        <w:pStyle w:val="SingleTxt"/>
        <w:ind w:left="1985" w:hanging="244"/>
        <w:rPr>
          <w:spacing w:val="-2"/>
        </w:rPr>
      </w:pPr>
      <w:r>
        <w:rPr>
          <w:spacing w:val="-2"/>
        </w:rPr>
        <w:t>-</w:t>
      </w:r>
      <w:r>
        <w:rPr>
          <w:spacing w:val="-2"/>
        </w:rPr>
        <w:tab/>
        <w:t>Исследование под названием: "Гендерный анализ печатных, аудиовизуал</w:t>
      </w:r>
      <w:r>
        <w:rPr>
          <w:spacing w:val="-2"/>
        </w:rPr>
        <w:t>ь</w:t>
      </w:r>
      <w:r>
        <w:rPr>
          <w:spacing w:val="-2"/>
        </w:rPr>
        <w:t>ных и цифровых средств массовой информации в земле Бранденбург, 2001/2002 годы" (еще не опубликовано) (Бранденбург)</w:t>
      </w:r>
    </w:p>
    <w:p w:rsidR="00000000" w:rsidRDefault="00000000">
      <w:pPr>
        <w:pStyle w:val="SingleTxt"/>
        <w:ind w:left="1985" w:hanging="244"/>
        <w:rPr>
          <w:spacing w:val="-2"/>
        </w:rPr>
      </w:pPr>
      <w:r>
        <w:rPr>
          <w:spacing w:val="-2"/>
        </w:rPr>
        <w:t>-</w:t>
      </w:r>
      <w:r>
        <w:rPr>
          <w:spacing w:val="-2"/>
        </w:rPr>
        <w:tab/>
        <w:t>Информационно-пропагандистские мероприятия в контексте актуализации гендерной проблематики (лекции, статьи в печати, материалы в Интернет – п</w:t>
      </w:r>
      <w:r>
        <w:rPr>
          <w:spacing w:val="-2"/>
        </w:rPr>
        <w:t>о</w:t>
      </w:r>
      <w:r>
        <w:rPr>
          <w:spacing w:val="-2"/>
        </w:rPr>
        <w:t>следние находятся в стадии подготовки) (Бранденбург)</w:t>
      </w:r>
    </w:p>
    <w:p w:rsidR="00000000" w:rsidRDefault="00000000">
      <w:pPr>
        <w:pStyle w:val="SingleTxt"/>
        <w:ind w:left="1985" w:hanging="244"/>
        <w:rPr>
          <w:spacing w:val="-2"/>
        </w:rPr>
      </w:pPr>
      <w:r>
        <w:rPr>
          <w:spacing w:val="-2"/>
        </w:rPr>
        <w:t>-</w:t>
      </w:r>
      <w:r>
        <w:rPr>
          <w:spacing w:val="-2"/>
        </w:rPr>
        <w:tab/>
        <w:t>Информационные мероприятия по вопросам актуализации гендерной пр</w:t>
      </w:r>
      <w:r>
        <w:rPr>
          <w:spacing w:val="-2"/>
        </w:rPr>
        <w:t>о</w:t>
      </w:r>
      <w:r>
        <w:rPr>
          <w:spacing w:val="-2"/>
        </w:rPr>
        <w:t>блематики (Бремен)</w:t>
      </w:r>
    </w:p>
    <w:p w:rsidR="00000000" w:rsidRDefault="00000000">
      <w:pPr>
        <w:pStyle w:val="SingleTxt"/>
        <w:ind w:left="1985" w:hanging="244"/>
        <w:rPr>
          <w:spacing w:val="-2"/>
        </w:rPr>
      </w:pPr>
      <w:r>
        <w:rPr>
          <w:spacing w:val="-2"/>
        </w:rPr>
        <w:t>-</w:t>
      </w:r>
      <w:r>
        <w:rPr>
          <w:spacing w:val="-2"/>
        </w:rPr>
        <w:tab/>
        <w:t>Мероприятие под названием "Равные возможности с помощью Европейск</w:t>
      </w:r>
      <w:r>
        <w:rPr>
          <w:spacing w:val="-2"/>
        </w:rPr>
        <w:t>о</w:t>
      </w:r>
      <w:r>
        <w:rPr>
          <w:spacing w:val="-2"/>
        </w:rPr>
        <w:t>го социального фонда в районе Большого Гамбурга – подход к актуализации ге</w:t>
      </w:r>
      <w:r>
        <w:rPr>
          <w:spacing w:val="-2"/>
        </w:rPr>
        <w:t>н</w:t>
      </w:r>
      <w:r>
        <w:rPr>
          <w:spacing w:val="-2"/>
        </w:rPr>
        <w:t>дерной проблематики в рамках разработки проектов" (Гамбург)</w:t>
      </w:r>
    </w:p>
    <w:p w:rsidR="00000000" w:rsidRDefault="00000000">
      <w:pPr>
        <w:pStyle w:val="SingleTxt"/>
        <w:ind w:left="1985" w:hanging="244"/>
        <w:rPr>
          <w:spacing w:val="-2"/>
        </w:rPr>
      </w:pPr>
      <w:r>
        <w:rPr>
          <w:spacing w:val="-2"/>
        </w:rPr>
        <w:t>-</w:t>
      </w:r>
      <w:r>
        <w:rPr>
          <w:spacing w:val="-2"/>
        </w:rPr>
        <w:tab/>
        <w:t>Проект под названием "Создание квалифицированных производственных групп с учетом принципа актуализации гендерной проблематики (Гамбург)</w:t>
      </w:r>
    </w:p>
    <w:p w:rsidR="00000000" w:rsidRDefault="00000000">
      <w:pPr>
        <w:pStyle w:val="SingleTxt"/>
        <w:ind w:left="1985" w:hanging="244"/>
        <w:rPr>
          <w:spacing w:val="-2"/>
        </w:rPr>
      </w:pPr>
      <w:r>
        <w:rPr>
          <w:spacing w:val="-2"/>
        </w:rPr>
        <w:t>-</w:t>
      </w:r>
      <w:r>
        <w:rPr>
          <w:spacing w:val="-2"/>
        </w:rPr>
        <w:tab/>
        <w:t>Гендерное мероприятие "Марс и Венера – два мира, одна команда?" (Га</w:t>
      </w:r>
      <w:r>
        <w:rPr>
          <w:spacing w:val="-2"/>
        </w:rPr>
        <w:t>м</w:t>
      </w:r>
      <w:r>
        <w:rPr>
          <w:spacing w:val="-2"/>
        </w:rPr>
        <w:t>бург)</w:t>
      </w:r>
    </w:p>
    <w:p w:rsidR="00000000" w:rsidRDefault="00000000">
      <w:pPr>
        <w:pStyle w:val="SingleTxt"/>
        <w:ind w:left="1985" w:hanging="244"/>
        <w:rPr>
          <w:spacing w:val="-2"/>
        </w:rPr>
      </w:pPr>
      <w:r>
        <w:rPr>
          <w:spacing w:val="-2"/>
        </w:rPr>
        <w:t>-</w:t>
      </w:r>
      <w:r>
        <w:rPr>
          <w:spacing w:val="-2"/>
        </w:rPr>
        <w:tab/>
        <w:t>Проект под названием "Принятие мер по улучшению положения женщин в контексте согласованных целей и показателей" (Гамбург)</w:t>
      </w:r>
    </w:p>
    <w:p w:rsidR="00000000" w:rsidRDefault="00000000">
      <w:pPr>
        <w:pStyle w:val="SingleTxt"/>
        <w:ind w:left="1985" w:hanging="244"/>
        <w:rPr>
          <w:spacing w:val="-2"/>
        </w:rPr>
      </w:pPr>
      <w:r>
        <w:rPr>
          <w:spacing w:val="-2"/>
        </w:rPr>
        <w:t>-</w:t>
      </w:r>
      <w:r>
        <w:rPr>
          <w:spacing w:val="-2"/>
        </w:rPr>
        <w:tab/>
        <w:t>Принятие мер по актуализации гендерной проблематики правительством земли Гессен, включая, к примеру:</w:t>
      </w:r>
    </w:p>
    <w:p w:rsidR="00000000" w:rsidRDefault="00000000">
      <w:pPr>
        <w:pStyle w:val="SingleTxt"/>
        <w:ind w:left="1985" w:hanging="244"/>
        <w:rPr>
          <w:spacing w:val="-2"/>
        </w:rPr>
      </w:pPr>
      <w:r>
        <w:rPr>
          <w:spacing w:val="-2"/>
        </w:rPr>
        <w:tab/>
        <w:t>-</w:t>
      </w:r>
      <w:r>
        <w:rPr>
          <w:spacing w:val="-2"/>
        </w:rPr>
        <w:tab/>
        <w:t>Мероприятие, организованное гессенским премьер-министром и гессе</w:t>
      </w:r>
      <w:r>
        <w:rPr>
          <w:spacing w:val="-2"/>
        </w:rPr>
        <w:t>н</w:t>
      </w:r>
      <w:r>
        <w:rPr>
          <w:spacing w:val="-2"/>
        </w:rPr>
        <w:t>ским министром по социальным вопросам по теме "Актуализация генде</w:t>
      </w:r>
      <w:r>
        <w:rPr>
          <w:spacing w:val="-2"/>
        </w:rPr>
        <w:t>р</w:t>
      </w:r>
      <w:r>
        <w:rPr>
          <w:spacing w:val="-2"/>
        </w:rPr>
        <w:t>ной проблематики в качестве перспективной стратегии политики равенс</w:t>
      </w:r>
      <w:r>
        <w:rPr>
          <w:spacing w:val="-2"/>
        </w:rPr>
        <w:t>т</w:t>
      </w:r>
      <w:r>
        <w:rPr>
          <w:spacing w:val="-2"/>
        </w:rPr>
        <w:t>ва", с</w:t>
      </w:r>
      <w:r>
        <w:rPr>
          <w:spacing w:val="-2"/>
        </w:rPr>
        <w:t>о</w:t>
      </w:r>
      <w:r>
        <w:rPr>
          <w:spacing w:val="-2"/>
        </w:rPr>
        <w:t>стоявшееся в 2001 году в Висбадене</w:t>
      </w:r>
    </w:p>
    <w:p w:rsidR="00000000" w:rsidRDefault="00000000">
      <w:pPr>
        <w:pStyle w:val="SingleTxt"/>
        <w:ind w:left="1985" w:hanging="244"/>
        <w:rPr>
          <w:spacing w:val="-2"/>
        </w:rPr>
      </w:pPr>
      <w:r>
        <w:rPr>
          <w:spacing w:val="-2"/>
        </w:rPr>
        <w:tab/>
        <w:t>-</w:t>
      </w:r>
      <w:r>
        <w:rPr>
          <w:spacing w:val="-2"/>
        </w:rPr>
        <w:tab/>
        <w:t>Мероприятие под названием "Актуализация гендерной проблематики – с</w:t>
      </w:r>
      <w:r>
        <w:rPr>
          <w:spacing w:val="-2"/>
        </w:rPr>
        <w:t>о</w:t>
      </w:r>
      <w:r>
        <w:rPr>
          <w:spacing w:val="-2"/>
        </w:rPr>
        <w:t>временная стратегия по обеспечению равных возможностей для женщин" в рамках одиннадцатой специальной конференции по теме "Содействие со</w:t>
      </w:r>
      <w:r>
        <w:rPr>
          <w:spacing w:val="-2"/>
        </w:rPr>
        <w:t>з</w:t>
      </w:r>
      <w:r>
        <w:rPr>
          <w:spacing w:val="-2"/>
        </w:rPr>
        <w:t>данию женской сети"</w:t>
      </w:r>
    </w:p>
    <w:p w:rsidR="00000000" w:rsidRDefault="00000000">
      <w:pPr>
        <w:pStyle w:val="SingleTxt"/>
        <w:ind w:left="1985" w:hanging="244"/>
        <w:rPr>
          <w:spacing w:val="-2"/>
        </w:rPr>
      </w:pPr>
      <w:r>
        <w:rPr>
          <w:spacing w:val="-2"/>
        </w:rPr>
        <w:t>-</w:t>
      </w:r>
      <w:r>
        <w:rPr>
          <w:spacing w:val="-2"/>
        </w:rPr>
        <w:tab/>
        <w:t>Меры по обеспечению равенства мужчин и женщин на рынке труда и в структурной политике Северного Рейна-Вестфалии-ЕС (задачи 2 и 3) путем усиления мер по актуализации гендерной проблематики на уровне разр</w:t>
      </w:r>
      <w:r>
        <w:rPr>
          <w:spacing w:val="-2"/>
        </w:rPr>
        <w:t>а</w:t>
      </w:r>
      <w:r>
        <w:rPr>
          <w:spacing w:val="-2"/>
        </w:rPr>
        <w:t>ботки программ, в случае конкретных мер и с помощью соответствующих вспомогательных структур и контроля за осуществлением программ (С</w:t>
      </w:r>
      <w:r>
        <w:rPr>
          <w:spacing w:val="-2"/>
        </w:rPr>
        <w:t>е</w:t>
      </w:r>
      <w:r>
        <w:rPr>
          <w:spacing w:val="-2"/>
        </w:rPr>
        <w:t>верный Рейн-Вестфалия)</w:t>
      </w:r>
    </w:p>
    <w:p w:rsidR="00000000" w:rsidRDefault="00000000">
      <w:pPr>
        <w:pStyle w:val="SingleTxt"/>
        <w:ind w:left="1985" w:hanging="244"/>
        <w:rPr>
          <w:spacing w:val="-2"/>
        </w:rPr>
      </w:pPr>
      <w:r>
        <w:rPr>
          <w:spacing w:val="-2"/>
        </w:rPr>
        <w:t>-</w:t>
      </w:r>
      <w:r>
        <w:rPr>
          <w:spacing w:val="-2"/>
        </w:rPr>
        <w:tab/>
        <w:t>Пилотный проект под названием "Гендерная подготовка – элемент для управления в контексте осуществляемой в компаниях политики по обесп</w:t>
      </w:r>
      <w:r>
        <w:rPr>
          <w:spacing w:val="-2"/>
        </w:rPr>
        <w:t>е</w:t>
      </w:r>
      <w:r>
        <w:rPr>
          <w:spacing w:val="-2"/>
        </w:rPr>
        <w:t>чению равенства и последующих проектов" в сотрудничестве с предпр</w:t>
      </w:r>
      <w:r>
        <w:rPr>
          <w:spacing w:val="-2"/>
        </w:rPr>
        <w:t>и</w:t>
      </w:r>
      <w:r>
        <w:rPr>
          <w:spacing w:val="-2"/>
        </w:rPr>
        <w:t>ятиями химической промышленности (Рейнланд-Пфальц)</w:t>
      </w:r>
    </w:p>
    <w:p w:rsidR="00000000" w:rsidRDefault="00000000">
      <w:pPr>
        <w:pStyle w:val="SingleTxt"/>
        <w:ind w:left="1985" w:hanging="244"/>
        <w:rPr>
          <w:spacing w:val="-2"/>
        </w:rPr>
      </w:pPr>
      <w:r>
        <w:rPr>
          <w:spacing w:val="-2"/>
        </w:rPr>
        <w:t>-</w:t>
      </w:r>
      <w:r>
        <w:rPr>
          <w:spacing w:val="-2"/>
        </w:rPr>
        <w:tab/>
        <w:t>Принятие мер по актуализации гендерной проблематики в земельной адм</w:t>
      </w:r>
      <w:r>
        <w:rPr>
          <w:spacing w:val="-2"/>
        </w:rPr>
        <w:t>и</w:t>
      </w:r>
      <w:r>
        <w:rPr>
          <w:spacing w:val="-2"/>
        </w:rPr>
        <w:t>нистрации с помощью коалиционного соглашения, постановления кабинета и з</w:t>
      </w:r>
      <w:r>
        <w:rPr>
          <w:spacing w:val="-2"/>
        </w:rPr>
        <w:t>е</w:t>
      </w:r>
      <w:r>
        <w:rPr>
          <w:spacing w:val="-2"/>
        </w:rPr>
        <w:t>мельного парламента (Рейнланд-Пфальц)</w:t>
      </w:r>
    </w:p>
    <w:p w:rsidR="00000000" w:rsidRDefault="00000000">
      <w:pPr>
        <w:pStyle w:val="SingleTxt"/>
        <w:ind w:left="1985" w:hanging="244"/>
        <w:rPr>
          <w:spacing w:val="-2"/>
        </w:rPr>
      </w:pPr>
      <w:r>
        <w:rPr>
          <w:spacing w:val="-2"/>
        </w:rPr>
        <w:t>-</w:t>
      </w:r>
      <w:r>
        <w:rPr>
          <w:spacing w:val="-2"/>
        </w:rPr>
        <w:tab/>
        <w:t>Мероприятия для руководителей земельной администрации, местных орг</w:t>
      </w:r>
      <w:r>
        <w:rPr>
          <w:spacing w:val="-2"/>
        </w:rPr>
        <w:t>а</w:t>
      </w:r>
      <w:r>
        <w:rPr>
          <w:spacing w:val="-2"/>
        </w:rPr>
        <w:t>нов власти, системы политпросвещения и высших учебных заведений по вопр</w:t>
      </w:r>
      <w:r>
        <w:rPr>
          <w:spacing w:val="-2"/>
        </w:rPr>
        <w:t>о</w:t>
      </w:r>
      <w:r>
        <w:rPr>
          <w:spacing w:val="-2"/>
        </w:rPr>
        <w:t>сам актуализации гендерной проблематики (Рейнланд-Пфальц)</w:t>
      </w:r>
    </w:p>
    <w:p w:rsidR="00000000" w:rsidRDefault="00000000">
      <w:pPr>
        <w:pStyle w:val="SingleTxt"/>
        <w:ind w:left="1985" w:hanging="244"/>
        <w:rPr>
          <w:spacing w:val="-2"/>
        </w:rPr>
      </w:pPr>
      <w:r>
        <w:rPr>
          <w:spacing w:val="-2"/>
        </w:rPr>
        <w:t>-</w:t>
      </w:r>
      <w:r>
        <w:rPr>
          <w:spacing w:val="-2"/>
        </w:rPr>
        <w:tab/>
        <w:t>Публикация информационной брошюры, практического введения и крит</w:t>
      </w:r>
      <w:r>
        <w:rPr>
          <w:spacing w:val="-2"/>
        </w:rPr>
        <w:t>е</w:t>
      </w:r>
      <w:r>
        <w:rPr>
          <w:spacing w:val="-2"/>
        </w:rPr>
        <w:t>риев проверки обеспечения актуализации гендерной проблематики (Рей</w:t>
      </w:r>
      <w:r>
        <w:rPr>
          <w:spacing w:val="-2"/>
        </w:rPr>
        <w:t>н</w:t>
      </w:r>
      <w:r>
        <w:rPr>
          <w:spacing w:val="-2"/>
        </w:rPr>
        <w:t>ланд-Пфальц)</w:t>
      </w:r>
    </w:p>
    <w:p w:rsidR="00000000" w:rsidRDefault="00000000">
      <w:pPr>
        <w:pStyle w:val="SingleTxt"/>
        <w:ind w:left="1985" w:hanging="244"/>
        <w:rPr>
          <w:spacing w:val="-2"/>
        </w:rPr>
      </w:pPr>
      <w:r>
        <w:rPr>
          <w:spacing w:val="-2"/>
        </w:rPr>
        <w:t>-</w:t>
      </w:r>
      <w:r>
        <w:rPr>
          <w:spacing w:val="-2"/>
        </w:rPr>
        <w:tab/>
        <w:t>Концептуальная основа подхода к актуализации гендерной проблематики в рамках содействия работе Структурного фонда ЕС (упор на СФЕ; задача 1 – с</w:t>
      </w:r>
      <w:r>
        <w:rPr>
          <w:spacing w:val="-2"/>
        </w:rPr>
        <w:t>о</w:t>
      </w:r>
      <w:r>
        <w:rPr>
          <w:spacing w:val="-2"/>
        </w:rPr>
        <w:t>действие) (март 2001 года) (Саксония)</w:t>
      </w:r>
    </w:p>
    <w:p w:rsidR="00000000" w:rsidRDefault="00000000">
      <w:pPr>
        <w:pStyle w:val="SingleTxt"/>
        <w:ind w:left="1985" w:hanging="244"/>
        <w:rPr>
          <w:spacing w:val="-2"/>
        </w:rPr>
      </w:pPr>
      <w:r>
        <w:rPr>
          <w:spacing w:val="-2"/>
        </w:rPr>
        <w:t>-</w:t>
      </w:r>
      <w:r>
        <w:rPr>
          <w:spacing w:val="-2"/>
        </w:rPr>
        <w:tab/>
        <w:t>Исследование гендерной проблематики: (Центр исследований женской и гендерной проблематики при Лейпцигском университете, Агентство по к</w:t>
      </w:r>
      <w:r>
        <w:rPr>
          <w:spacing w:val="-2"/>
        </w:rPr>
        <w:t>о</w:t>
      </w:r>
      <w:r>
        <w:rPr>
          <w:spacing w:val="-2"/>
        </w:rPr>
        <w:t>ординации гендерных исследований при Дрезденском евангелистском вы</w:t>
      </w:r>
      <w:r>
        <w:rPr>
          <w:spacing w:val="-2"/>
        </w:rPr>
        <w:t>с</w:t>
      </w:r>
      <w:r>
        <w:rPr>
          <w:spacing w:val="-2"/>
        </w:rPr>
        <w:t>шем институте общественно-полезного труда, проектная группа "Гендерные связи в области исследований и подготовки кадров" при Дрезденском те</w:t>
      </w:r>
      <w:r>
        <w:rPr>
          <w:spacing w:val="-2"/>
        </w:rPr>
        <w:t>х</w:t>
      </w:r>
      <w:r>
        <w:rPr>
          <w:spacing w:val="-2"/>
        </w:rPr>
        <w:t>ническом университете)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Актуализация гендерной проблематики как одна из основополагающих це</w:t>
      </w:r>
      <w:r>
        <w:rPr>
          <w:spacing w:val="-2"/>
        </w:rPr>
        <w:t>н</w:t>
      </w:r>
      <w:r>
        <w:rPr>
          <w:spacing w:val="-2"/>
        </w:rPr>
        <w:t>ностей (общинные Задачи) в рамках саксонской оперативной программы соде</w:t>
      </w:r>
      <w:r>
        <w:rPr>
          <w:spacing w:val="-2"/>
        </w:rPr>
        <w:t>й</w:t>
      </w:r>
      <w:r>
        <w:rPr>
          <w:spacing w:val="-2"/>
        </w:rPr>
        <w:t>ствия Структурному фонду ЕС и Общинной инициативы "Интеррег-IIIА" (Сакс</w:t>
      </w:r>
      <w:r>
        <w:rPr>
          <w:spacing w:val="-2"/>
        </w:rPr>
        <w:t>о</w:t>
      </w:r>
      <w:r>
        <w:rPr>
          <w:spacing w:val="-2"/>
        </w:rPr>
        <w:t>ния)</w:t>
      </w:r>
    </w:p>
    <w:p w:rsidR="00000000" w:rsidRDefault="00000000">
      <w:pPr>
        <w:pStyle w:val="SingleTxt"/>
        <w:ind w:left="1985" w:hanging="244"/>
        <w:rPr>
          <w:spacing w:val="-2"/>
        </w:rPr>
      </w:pPr>
      <w:r>
        <w:rPr>
          <w:spacing w:val="-2"/>
        </w:rPr>
        <w:t>-</w:t>
      </w:r>
      <w:r>
        <w:rPr>
          <w:spacing w:val="-2"/>
        </w:rPr>
        <w:tab/>
        <w:t>Поправка к постановлениям о работе кабинета в связи с актуализацией ге</w:t>
      </w:r>
      <w:r>
        <w:rPr>
          <w:spacing w:val="-2"/>
        </w:rPr>
        <w:t>н</w:t>
      </w:r>
      <w:r>
        <w:rPr>
          <w:spacing w:val="-2"/>
        </w:rPr>
        <w:t>дерной проблематики, принятая в августе 2002 года (Саксония)</w:t>
      </w:r>
    </w:p>
    <w:p w:rsidR="00000000" w:rsidRDefault="00000000">
      <w:pPr>
        <w:pStyle w:val="SingleTxt"/>
        <w:ind w:left="1985" w:hanging="244"/>
        <w:rPr>
          <w:spacing w:val="-2"/>
        </w:rPr>
      </w:pPr>
      <w:r>
        <w:rPr>
          <w:spacing w:val="-2"/>
        </w:rPr>
        <w:t>-</w:t>
      </w:r>
      <w:r>
        <w:rPr>
          <w:spacing w:val="-2"/>
        </w:rPr>
        <w:tab/>
        <w:t>Разработка "Концепции актуализации гендерной проблематики на разли</w:t>
      </w:r>
      <w:r>
        <w:rPr>
          <w:spacing w:val="-2"/>
        </w:rPr>
        <w:t>ч</w:t>
      </w:r>
      <w:r>
        <w:rPr>
          <w:spacing w:val="-2"/>
        </w:rPr>
        <w:t>ных уровнях и в различных областях в Саксонии", которая велась до ноября 2002 года; и последующие пилотные испытания на уровне сельского округа и мин</w:t>
      </w:r>
      <w:r>
        <w:rPr>
          <w:spacing w:val="-2"/>
        </w:rPr>
        <w:t>и</w:t>
      </w:r>
      <w:r>
        <w:rPr>
          <w:spacing w:val="-2"/>
        </w:rPr>
        <w:t>стерском уровне (Саксония)</w:t>
      </w:r>
    </w:p>
    <w:p w:rsidR="00000000" w:rsidRDefault="00000000">
      <w:pPr>
        <w:pStyle w:val="SingleTxt"/>
        <w:ind w:left="1985" w:hanging="244"/>
        <w:rPr>
          <w:spacing w:val="-2"/>
        </w:rPr>
      </w:pPr>
      <w:r>
        <w:rPr>
          <w:spacing w:val="-2"/>
        </w:rPr>
        <w:t>-</w:t>
      </w:r>
      <w:r>
        <w:rPr>
          <w:spacing w:val="-2"/>
        </w:rPr>
        <w:tab/>
        <w:t>План земельного правительства по осуществлению от 2 мая 2000 года (Са</w:t>
      </w:r>
      <w:r>
        <w:rPr>
          <w:spacing w:val="-2"/>
        </w:rPr>
        <w:t>к</w:t>
      </w:r>
      <w:r>
        <w:rPr>
          <w:spacing w:val="-2"/>
        </w:rPr>
        <w:t>сония-Айнхальт)</w:t>
      </w:r>
    </w:p>
    <w:p w:rsidR="00000000" w:rsidRDefault="00000000">
      <w:pPr>
        <w:pStyle w:val="SingleTxt"/>
        <w:ind w:left="1985" w:hanging="244"/>
        <w:rPr>
          <w:spacing w:val="-2"/>
        </w:rPr>
      </w:pPr>
      <w:r>
        <w:rPr>
          <w:spacing w:val="-2"/>
        </w:rPr>
        <w:t>-</w:t>
      </w:r>
      <w:r>
        <w:rPr>
          <w:spacing w:val="-2"/>
        </w:rPr>
        <w:tab/>
        <w:t>Оказание содействия Гендерному институту "ГИСА" (Саксония-Айнхальт)</w:t>
      </w:r>
    </w:p>
    <w:p w:rsidR="00000000" w:rsidRDefault="00000000">
      <w:pPr>
        <w:pStyle w:val="SingleTxt"/>
        <w:ind w:left="1985" w:hanging="244"/>
        <w:rPr>
          <w:spacing w:val="-2"/>
        </w:rPr>
      </w:pPr>
      <w:r>
        <w:rPr>
          <w:spacing w:val="-2"/>
        </w:rPr>
        <w:t>-</w:t>
      </w:r>
      <w:r>
        <w:rPr>
          <w:spacing w:val="-2"/>
        </w:rPr>
        <w:tab/>
        <w:t>Дальнейшая подготовка кадров и разработка организационных проектов по реализации концепции актуализации гендерной проблематики (Саксония-Айнхальт)</w:t>
      </w:r>
    </w:p>
    <w:p w:rsidR="00000000" w:rsidRDefault="00000000">
      <w:pPr>
        <w:pStyle w:val="SingleTxt"/>
        <w:ind w:left="1985" w:hanging="244"/>
        <w:rPr>
          <w:spacing w:val="-2"/>
        </w:rPr>
      </w:pPr>
      <w:r>
        <w:rPr>
          <w:spacing w:val="-2"/>
        </w:rPr>
        <w:t>-</w:t>
      </w:r>
      <w:r>
        <w:rPr>
          <w:spacing w:val="-2"/>
        </w:rPr>
        <w:tab/>
        <w:t>Общенациональная открытая конференция под названием "Актуализация гендерной проблематики" (Саксония-Айнхальт)</w:t>
      </w:r>
    </w:p>
    <w:p w:rsidR="00000000" w:rsidRDefault="00000000">
      <w:pPr>
        <w:pStyle w:val="SingleTxt"/>
        <w:ind w:left="1985" w:hanging="244"/>
        <w:rPr>
          <w:spacing w:val="-2"/>
        </w:rPr>
      </w:pPr>
      <w:r>
        <w:rPr>
          <w:spacing w:val="-2"/>
        </w:rPr>
        <w:t>-</w:t>
      </w:r>
      <w:r>
        <w:rPr>
          <w:spacing w:val="-2"/>
        </w:rPr>
        <w:tab/>
        <w:t>Брошюра под названием "Актуализация гендерной проблематики в Сакс</w:t>
      </w:r>
      <w:r>
        <w:rPr>
          <w:spacing w:val="-2"/>
        </w:rPr>
        <w:t>о</w:t>
      </w:r>
      <w:r>
        <w:rPr>
          <w:spacing w:val="-2"/>
        </w:rPr>
        <w:t>нии-Айнхальт" (Саксония-Айнхальт)</w:t>
      </w:r>
    </w:p>
    <w:p w:rsidR="00000000" w:rsidRDefault="00000000">
      <w:pPr>
        <w:pStyle w:val="SingleTxt"/>
        <w:ind w:left="1985" w:hanging="244"/>
        <w:rPr>
          <w:spacing w:val="-2"/>
        </w:rPr>
      </w:pPr>
      <w:r>
        <w:rPr>
          <w:spacing w:val="-2"/>
        </w:rPr>
        <w:t>-</w:t>
      </w:r>
      <w:r>
        <w:rPr>
          <w:spacing w:val="-2"/>
        </w:rPr>
        <w:tab/>
        <w:t>Рамочная концепция под названием "Актуализация гендерной проблемат</w:t>
      </w:r>
      <w:r>
        <w:rPr>
          <w:spacing w:val="-2"/>
        </w:rPr>
        <w:t>и</w:t>
      </w:r>
      <w:r>
        <w:rPr>
          <w:spacing w:val="-2"/>
        </w:rPr>
        <w:t>ки – современный инструмент контроля для повышения качества" земел</w:t>
      </w:r>
      <w:r>
        <w:rPr>
          <w:spacing w:val="-2"/>
        </w:rPr>
        <w:t>ь</w:t>
      </w:r>
      <w:r>
        <w:rPr>
          <w:spacing w:val="-2"/>
        </w:rPr>
        <w:t>ного правительства Шлезвиг-Гольштейна, 16 июня 2002 года (Шлезвиг-Гольштейн)</w:t>
      </w:r>
    </w:p>
    <w:p w:rsidR="00000000" w:rsidRDefault="00000000">
      <w:pPr>
        <w:pStyle w:val="SingleTxt"/>
        <w:ind w:left="1985" w:hanging="244"/>
        <w:rPr>
          <w:spacing w:val="-2"/>
        </w:rPr>
      </w:pPr>
      <w:r>
        <w:rPr>
          <w:spacing w:val="-2"/>
        </w:rPr>
        <w:t>-</w:t>
      </w:r>
      <w:r>
        <w:rPr>
          <w:spacing w:val="-2"/>
        </w:rPr>
        <w:tab/>
        <w:t>Специальная конференция под названием "Актуализация гендерной пр</w:t>
      </w:r>
      <w:r>
        <w:rPr>
          <w:spacing w:val="-2"/>
        </w:rPr>
        <w:t>о</w:t>
      </w:r>
      <w:r>
        <w:rPr>
          <w:spacing w:val="-2"/>
        </w:rPr>
        <w:t>блематики", 12 октября 2000 года (Шлезвиг-Гольштейн)</w:t>
      </w:r>
    </w:p>
    <w:p w:rsidR="00000000" w:rsidRDefault="00000000">
      <w:pPr>
        <w:pStyle w:val="SingleTxt"/>
        <w:ind w:left="1985" w:hanging="244"/>
        <w:rPr>
          <w:spacing w:val="-2"/>
        </w:rPr>
      </w:pPr>
      <w:r>
        <w:rPr>
          <w:spacing w:val="-2"/>
        </w:rPr>
        <w:t>-</w:t>
      </w:r>
      <w:r>
        <w:rPr>
          <w:spacing w:val="-2"/>
        </w:rPr>
        <w:tab/>
        <w:t>Специальная конференция под названием "Равные возможности на основе современной кадровой политики", 8 ноября 2001 года (Шлезвиг-Гольштейн)</w:t>
      </w:r>
    </w:p>
    <w:p w:rsidR="00000000" w:rsidRDefault="00000000">
      <w:pPr>
        <w:pStyle w:val="SingleTxt"/>
        <w:ind w:left="1985" w:hanging="244"/>
        <w:rPr>
          <w:spacing w:val="-2"/>
        </w:rPr>
      </w:pPr>
      <w:r>
        <w:rPr>
          <w:spacing w:val="-2"/>
        </w:rPr>
        <w:t>-</w:t>
      </w:r>
      <w:r>
        <w:rPr>
          <w:spacing w:val="-2"/>
        </w:rPr>
        <w:tab/>
        <w:t>Специальная конференция под названием "С помощью наставничества – на вершину. Продвижение по службе как залог успеха", 28 февраля 2002 года (Шлезвиг-Гольштейн)</w:t>
      </w:r>
    </w:p>
    <w:p w:rsidR="00000000" w:rsidRDefault="00000000">
      <w:pPr>
        <w:pStyle w:val="SingleTxt"/>
        <w:ind w:left="1985" w:hanging="244"/>
        <w:rPr>
          <w:spacing w:val="-2"/>
        </w:rPr>
      </w:pPr>
      <w:r>
        <w:rPr>
          <w:spacing w:val="-2"/>
        </w:rPr>
        <w:t>-</w:t>
      </w:r>
      <w:r>
        <w:rPr>
          <w:spacing w:val="-2"/>
        </w:rPr>
        <w:tab/>
        <w:t>Учет гендерных факторов в различных планах и мерах (Тюрингия)</w:t>
      </w:r>
    </w:p>
    <w:p w:rsidR="00000000" w:rsidRDefault="00000000">
      <w:pPr>
        <w:pStyle w:val="SingleTxt"/>
        <w:ind w:left="1985" w:hanging="244"/>
        <w:rPr>
          <w:spacing w:val="-2"/>
        </w:rPr>
      </w:pPr>
      <w:r>
        <w:rPr>
          <w:spacing w:val="-2"/>
        </w:rPr>
        <w:t>-</w:t>
      </w:r>
      <w:r>
        <w:rPr>
          <w:spacing w:val="-2"/>
        </w:rPr>
        <w:tab/>
        <w:t>Исследования женской проблематики по теме "Актуализация гендерной проблематики", Эрфуртский университет, и обсуждение результатов на м</w:t>
      </w:r>
      <w:r>
        <w:rPr>
          <w:spacing w:val="-2"/>
        </w:rPr>
        <w:t>е</w:t>
      </w:r>
      <w:r>
        <w:rPr>
          <w:spacing w:val="-2"/>
        </w:rPr>
        <w:t>ждун</w:t>
      </w:r>
      <w:r>
        <w:rPr>
          <w:spacing w:val="-2"/>
        </w:rPr>
        <w:t>а</w:t>
      </w:r>
      <w:r>
        <w:rPr>
          <w:spacing w:val="-2"/>
        </w:rPr>
        <w:t>родной конференции (Тюрингия)</w:t>
      </w:r>
    </w:p>
    <w:p w:rsidR="00000000" w:rsidRDefault="00000000">
      <w:pPr>
        <w:pStyle w:val="H1"/>
      </w:pPr>
      <w:bookmarkStart w:id="902" w:name="_Toc44113576"/>
      <w:bookmarkStart w:id="903" w:name="_Toc44113897"/>
      <w:bookmarkStart w:id="904" w:name="_Toc44114406"/>
      <w:bookmarkStart w:id="905" w:name="_Toc44115636"/>
      <w:bookmarkStart w:id="906" w:name="_Toc44116088"/>
      <w:r>
        <w:t>4.</w:t>
      </w:r>
      <w:r>
        <w:tab/>
        <w:t>Публикации федерального министерства по делам семьи, престарелых, женщин и молодежи по темам, касающимся политики в области обесп</w:t>
      </w:r>
      <w:r>
        <w:t>е</w:t>
      </w:r>
      <w:r>
        <w:t>чения равенства</w:t>
      </w:r>
      <w:bookmarkEnd w:id="902"/>
      <w:bookmarkEnd w:id="903"/>
      <w:bookmarkEnd w:id="904"/>
      <w:bookmarkEnd w:id="905"/>
      <w:bookmarkEnd w:id="906"/>
    </w:p>
    <w:p w:rsidR="00000000" w:rsidRDefault="00000000">
      <w:pPr>
        <w:pStyle w:val="H23"/>
      </w:pPr>
      <w:bookmarkStart w:id="907" w:name="_Toc44113577"/>
      <w:bookmarkStart w:id="908" w:name="_Toc44113898"/>
      <w:bookmarkStart w:id="909" w:name="_Toc44114407"/>
      <w:bookmarkStart w:id="910" w:name="_Toc44115637"/>
      <w:bookmarkStart w:id="911" w:name="_Toc44116089"/>
      <w:r>
        <w:t>4.1</w:t>
      </w:r>
      <w:r>
        <w:tab/>
        <w:t>Серия публикаций федерального министерства по делам семьи, престарелых, женщин и м</w:t>
      </w:r>
      <w:r>
        <w:t>о</w:t>
      </w:r>
      <w:r>
        <w:t>лодежи</w:t>
      </w:r>
      <w:bookmarkEnd w:id="907"/>
      <w:bookmarkEnd w:id="908"/>
      <w:bookmarkEnd w:id="909"/>
      <w:bookmarkEnd w:id="910"/>
      <w:bookmarkEnd w:id="911"/>
    </w:p>
    <w:p w:rsidR="00000000" w:rsidRDefault="00000000">
      <w:pPr>
        <w:pStyle w:val="SingleTxt"/>
        <w:tabs>
          <w:tab w:val="clear" w:pos="1267"/>
        </w:tabs>
        <w:ind w:left="2694" w:hanging="1430"/>
        <w:jc w:val="left"/>
      </w:pPr>
      <w:r>
        <w:t>Опубликовано:</w:t>
      </w:r>
      <w:r>
        <w:tab/>
        <w:t xml:space="preserve">Федеральным министерством по делам семьи, престарелых, женщин и молодежи, 11018, Берлин </w:t>
      </w:r>
      <w:r>
        <w:rPr>
          <w:u w:val="single"/>
        </w:rPr>
        <w:t>www.bmfsfj.de</w:t>
      </w:r>
    </w:p>
    <w:p w:rsidR="00000000" w:rsidRDefault="00000000">
      <w:pPr>
        <w:pStyle w:val="SingleTxt"/>
        <w:ind w:firstLine="0"/>
        <w:jc w:val="left"/>
        <w:rPr>
          <w:lang w:val="de-DE"/>
        </w:rPr>
      </w:pPr>
      <w:r>
        <w:rPr>
          <w:lang w:val="de-DE"/>
        </w:rPr>
        <w:t xml:space="preserve">Том 164: </w:t>
      </w:r>
      <w:r>
        <w:rPr>
          <w:b/>
          <w:color w:val="000000"/>
          <w:lang w:val="de-DE"/>
        </w:rPr>
        <w:t>Umfeld und Ausmaß des Menschenhandels mit ausländischen Mädchen und Frauen</w:t>
      </w:r>
      <w:r>
        <w:rPr>
          <w:color w:val="000000"/>
          <w:lang w:val="de-DE"/>
        </w:rPr>
        <w:t>, Авторы: Dr. Dagmar Heine-Wiedemann, Dr. Lea Ackermann, Hans-Jürgen Mahnkopf, Dr. Ra</w:t>
      </w:r>
      <w:r>
        <w:rPr>
          <w:color w:val="000000"/>
          <w:lang w:val="de-DE"/>
        </w:rPr>
        <w:t>i</w:t>
      </w:r>
      <w:r>
        <w:rPr>
          <w:color w:val="000000"/>
          <w:lang w:val="de-DE"/>
        </w:rPr>
        <w:t>ner Wiedemann</w:t>
      </w:r>
    </w:p>
    <w:p w:rsidR="00000000" w:rsidRDefault="00000000">
      <w:pPr>
        <w:pStyle w:val="SingleTxt"/>
        <w:ind w:firstLine="0"/>
        <w:jc w:val="left"/>
        <w:rPr>
          <w:lang w:val="de-DE"/>
        </w:rPr>
      </w:pPr>
      <w:r>
        <w:rPr>
          <w:lang w:val="de-DE"/>
        </w:rPr>
        <w:t xml:space="preserve">Том 165: </w:t>
      </w:r>
      <w:r>
        <w:rPr>
          <w:b/>
          <w:color w:val="000000"/>
          <w:lang w:val="de-DE"/>
        </w:rPr>
        <w:t xml:space="preserve">Familien- und Kinderfreundlichkeits-Prüfung in Kommunen: Erfahrungen und Konzepte, </w:t>
      </w:r>
      <w:r>
        <w:rPr>
          <w:lang w:val="de-DE"/>
        </w:rPr>
        <w:t>IES доклад 215.97, научная работа Dr. Andreas Borchers, Dr. Dirk Heuwinkel</w:t>
      </w:r>
    </w:p>
    <w:p w:rsidR="00000000" w:rsidRDefault="00000000">
      <w:pPr>
        <w:pStyle w:val="SingleTxt"/>
        <w:ind w:firstLine="0"/>
        <w:jc w:val="left"/>
        <w:rPr>
          <w:lang w:val="de-DE"/>
        </w:rPr>
      </w:pPr>
      <w:r>
        <w:rPr>
          <w:lang w:val="de-DE"/>
        </w:rPr>
        <w:t xml:space="preserve">Том 176: </w:t>
      </w:r>
      <w:r>
        <w:rPr>
          <w:b/>
          <w:color w:val="000000"/>
          <w:lang w:val="de-DE"/>
        </w:rPr>
        <w:t>Teilzeit für Fach- und Führungskräfte</w:t>
      </w:r>
      <w:r>
        <w:rPr>
          <w:b/>
          <w:color w:val="000000"/>
          <w:lang w:val="de-DE"/>
        </w:rPr>
        <w:br/>
      </w:r>
      <w:r>
        <w:rPr>
          <w:lang w:val="de-DE"/>
        </w:rPr>
        <w:t>Справочник для сотрудников и руководителей отделов кадров, научная работа, выполненная Infratest Burke Sozialforschung GmbH &amp; Co. Eva Bujok, Harald Bielenski</w:t>
      </w:r>
    </w:p>
    <w:p w:rsidR="00000000" w:rsidRDefault="00000000">
      <w:pPr>
        <w:pStyle w:val="SingleTxt"/>
        <w:ind w:firstLine="0"/>
        <w:jc w:val="left"/>
        <w:rPr>
          <w:lang w:val="de-DE"/>
        </w:rPr>
      </w:pPr>
      <w:r>
        <w:rPr>
          <w:lang w:val="de-DE"/>
        </w:rPr>
        <w:t xml:space="preserve">Том 179: </w:t>
      </w:r>
      <w:r>
        <w:rPr>
          <w:b/>
          <w:color w:val="000000"/>
          <w:lang w:val="de-DE"/>
        </w:rPr>
        <w:t>Väter und Erziehungsurlaub</w:t>
      </w:r>
      <w:r>
        <w:rPr>
          <w:b/>
          <w:color w:val="000000"/>
          <w:lang w:val="de-DE"/>
        </w:rPr>
        <w:br/>
      </w:r>
      <w:r>
        <w:rPr>
          <w:lang w:val="de-DE"/>
        </w:rPr>
        <w:t>Заключительный доклад "Отпуск по уходу за детьми и воспитанию детей" – Бамбергский университет –</w:t>
      </w:r>
      <w:r>
        <w:rPr>
          <w:lang w:val="de-DE"/>
        </w:rPr>
        <w:br/>
      </w:r>
      <w:r>
        <w:rPr>
          <w:color w:val="000000"/>
          <w:lang w:val="de-DE"/>
        </w:rPr>
        <w:t>Prof. Dr. Laszlo A. Vaskovics, Harald Rost</w:t>
      </w:r>
    </w:p>
    <w:p w:rsidR="00000000" w:rsidRDefault="00000000">
      <w:pPr>
        <w:pStyle w:val="SingleTxt"/>
        <w:ind w:firstLine="0"/>
        <w:jc w:val="left"/>
        <w:rPr>
          <w:lang w:val="de-DE"/>
        </w:rPr>
      </w:pPr>
      <w:r>
        <w:rPr>
          <w:lang w:val="de-DE"/>
        </w:rPr>
        <w:t xml:space="preserve">Том 180: </w:t>
      </w:r>
      <w:r>
        <w:rPr>
          <w:b/>
          <w:color w:val="000000"/>
          <w:lang w:val="de-DE"/>
        </w:rPr>
        <w:t>Die wirtschaftlichen Folgen von Trennung und Scheidung</w:t>
      </w:r>
      <w:r>
        <w:rPr>
          <w:b/>
          <w:color w:val="000000"/>
          <w:lang w:val="de-DE"/>
        </w:rPr>
        <w:br/>
      </w:r>
      <w:r>
        <w:rPr>
          <w:lang w:val="de-DE"/>
        </w:rPr>
        <w:t>Prof. Dr. H.-J. Andreß und Henning Lohmann, University of Bielefeld Faculty of Sociology</w:t>
      </w:r>
    </w:p>
    <w:p w:rsidR="00000000" w:rsidRDefault="00000000">
      <w:pPr>
        <w:pStyle w:val="SingleTxt"/>
        <w:ind w:firstLine="0"/>
        <w:jc w:val="left"/>
        <w:rPr>
          <w:lang w:val="de-DE"/>
        </w:rPr>
      </w:pPr>
      <w:r>
        <w:t>Том</w:t>
      </w:r>
      <w:r>
        <w:rPr>
          <w:lang w:val="en-US"/>
        </w:rPr>
        <w:t xml:space="preserve"> 183: </w:t>
      </w:r>
      <w:r>
        <w:rPr>
          <w:b/>
          <w:color w:val="000000"/>
          <w:lang w:val="en-US"/>
        </w:rPr>
        <w:t xml:space="preserve">LIVE Leben und Interessen vertreten – Frauen mit Behinderung – </w:t>
      </w:r>
      <w:r>
        <w:rPr>
          <w:lang w:val="en-US"/>
        </w:rPr>
        <w:t>Lebenssituation, Bedarfslagen und Interessenvertretung von Frauen mit Körper- und Sinnesbehinderungen -</w:t>
      </w:r>
      <w:r>
        <w:rPr>
          <w:lang w:val="en-US"/>
        </w:rPr>
        <w:br/>
      </w:r>
      <w:r>
        <w:rPr>
          <w:lang w:val="de-DE"/>
        </w:rPr>
        <w:t>Авторы: Nicole Eiermann, Monika Häußler, Cornelia Helfferich</w:t>
      </w:r>
    </w:p>
    <w:p w:rsidR="00000000" w:rsidRDefault="00000000">
      <w:pPr>
        <w:pStyle w:val="SingleTxt"/>
        <w:ind w:firstLine="0"/>
        <w:jc w:val="left"/>
        <w:rPr>
          <w:lang w:val="de-DE"/>
        </w:rPr>
      </w:pPr>
      <w:r>
        <w:rPr>
          <w:lang w:val="de-DE"/>
        </w:rPr>
        <w:t xml:space="preserve">Том 186: </w:t>
      </w:r>
      <w:r>
        <w:rPr>
          <w:b/>
          <w:lang w:val="de-DE"/>
        </w:rPr>
        <w:t>Frauen ohne Wohnung</w:t>
      </w:r>
      <w:r>
        <w:rPr>
          <w:b/>
          <w:lang w:val="de-DE"/>
        </w:rPr>
        <w:br/>
      </w:r>
      <w:r>
        <w:rPr>
          <w:lang w:val="de-DE"/>
        </w:rPr>
        <w:t>Справочник по вопросам не связанной с обеспечением жилья помощи бездомным женщинам</w:t>
      </w:r>
      <w:r>
        <w:rPr>
          <w:lang w:val="de-DE"/>
        </w:rPr>
        <w:br/>
        <w:t xml:space="preserve">Sozialwissenschaftliche Frauenforschung e. V. Frankfurt, </w:t>
      </w:r>
      <w:r>
        <w:rPr>
          <w:lang w:val="de-DE"/>
        </w:rPr>
        <w:br/>
        <w:t>Авторы: Dr. Uta Enders-Dragässer, Dr. Brigitte Sellach, Antje Feig, Marie-Luise Jung, Sabine Roscher</w:t>
      </w:r>
    </w:p>
    <w:p w:rsidR="00000000" w:rsidRDefault="00000000">
      <w:pPr>
        <w:pStyle w:val="SingleTxt"/>
        <w:ind w:firstLine="0"/>
        <w:jc w:val="left"/>
        <w:rPr>
          <w:lang w:val="de-DE"/>
        </w:rPr>
      </w:pPr>
      <w:r>
        <w:rPr>
          <w:lang w:val="de-DE"/>
        </w:rPr>
        <w:t xml:space="preserve">Том 186.1: </w:t>
      </w:r>
      <w:r>
        <w:rPr>
          <w:b/>
          <w:lang w:val="de-DE"/>
        </w:rPr>
        <w:t>Berufliche Förderung von alleinstehenden wohnungslosen Frauen</w:t>
      </w:r>
      <w:r>
        <w:rPr>
          <w:b/>
          <w:lang w:val="de-DE"/>
        </w:rPr>
        <w:br/>
      </w:r>
      <w:r>
        <w:rPr>
          <w:lang w:val="de-DE"/>
        </w:rPr>
        <w:t>Заключительный доклад о научной работе по проекту того же названия, осуществлявшемуся федеральным министерством по делам семьи, пожилых граждан, женщин и молодежи в 1998-2000 годах</w:t>
      </w:r>
      <w:r>
        <w:rPr>
          <w:lang w:val="de-DE"/>
        </w:rPr>
        <w:br/>
        <w:t>Автор: Dr. Uta Enders-Dragässer</w:t>
      </w:r>
    </w:p>
    <w:p w:rsidR="00000000" w:rsidRDefault="00000000">
      <w:pPr>
        <w:pStyle w:val="SingleTxt"/>
        <w:ind w:firstLine="0"/>
        <w:jc w:val="left"/>
        <w:rPr>
          <w:lang w:val="de-DE"/>
        </w:rPr>
      </w:pPr>
      <w:r>
        <w:rPr>
          <w:lang w:val="de-DE"/>
        </w:rPr>
        <w:t xml:space="preserve">Том 193: </w:t>
      </w:r>
      <w:r>
        <w:rPr>
          <w:b/>
          <w:lang w:val="de-DE"/>
        </w:rPr>
        <w:t>Modelle der Kooperation gegen häusliche Gewalt, "Wir sind ein Kooperationsm</w:t>
      </w:r>
      <w:r>
        <w:rPr>
          <w:b/>
          <w:lang w:val="de-DE"/>
        </w:rPr>
        <w:t>o</w:t>
      </w:r>
      <w:r>
        <w:rPr>
          <w:b/>
          <w:lang w:val="de-DE"/>
        </w:rPr>
        <w:t>dell, kein Konfrontationsmodell"</w:t>
      </w:r>
      <w:r>
        <w:rPr>
          <w:b/>
          <w:lang w:val="de-DE"/>
        </w:rPr>
        <w:br/>
      </w:r>
      <w:r>
        <w:rPr>
          <w:lang w:val="de-DE"/>
        </w:rPr>
        <w:t>Результаты научной работы в рамках Берлинского проекта по борьбе с насилием в семье (БИГ) – Оснабрюккский университет</w:t>
      </w:r>
      <w:r>
        <w:rPr>
          <w:lang w:val="de-DE"/>
        </w:rPr>
        <w:br/>
        <w:t xml:space="preserve">Авторы: </w:t>
      </w:r>
      <w:r>
        <w:rPr>
          <w:color w:val="000000"/>
          <w:lang w:val="de-DE"/>
        </w:rPr>
        <w:t>Prof. Dr. Barbara Kavemann, Beate Leopold, Dr. Gesa Schirrmacher, Prof. Dr. Carol Hag</w:t>
      </w:r>
      <w:r>
        <w:rPr>
          <w:color w:val="000000"/>
          <w:lang w:val="de-DE"/>
        </w:rPr>
        <w:t>e</w:t>
      </w:r>
      <w:r>
        <w:rPr>
          <w:color w:val="000000"/>
          <w:lang w:val="de-DE"/>
        </w:rPr>
        <w:t>mann-White</w:t>
      </w:r>
    </w:p>
    <w:p w:rsidR="00000000" w:rsidRDefault="00000000">
      <w:pPr>
        <w:pStyle w:val="SingleTxt"/>
        <w:ind w:firstLine="0"/>
        <w:jc w:val="left"/>
        <w:rPr>
          <w:lang w:val="de-DE"/>
        </w:rPr>
      </w:pPr>
      <w:r>
        <w:rPr>
          <w:lang w:val="de-DE"/>
        </w:rPr>
        <w:t xml:space="preserve">Том 193.1: </w:t>
      </w:r>
      <w:r>
        <w:rPr>
          <w:b/>
          <w:lang w:val="de-DE"/>
        </w:rPr>
        <w:t>Fortbildung für die Intervention bei häuslicher Gewalt – Auswertung der Fortbildungen für Polizeiangehörige sowie Juristinnen und Juristen -</w:t>
      </w:r>
      <w:r>
        <w:rPr>
          <w:b/>
          <w:lang w:val="de-DE"/>
        </w:rPr>
        <w:br/>
      </w:r>
      <w:r>
        <w:rPr>
          <w:lang w:val="de-DE"/>
        </w:rPr>
        <w:t>Результаты научной работы в рамках Берлинского проекта по борьбе с насилием в семье</w:t>
      </w:r>
      <w:r>
        <w:rPr>
          <w:lang w:val="de-DE"/>
        </w:rPr>
        <w:br/>
        <w:t>Автор: Prof. Dr. Barbara Kavemann</w:t>
      </w:r>
    </w:p>
    <w:p w:rsidR="00000000" w:rsidRDefault="00000000">
      <w:pPr>
        <w:pStyle w:val="SingleTxt"/>
        <w:ind w:firstLine="0"/>
        <w:jc w:val="left"/>
        <w:rPr>
          <w:lang w:val="de-DE"/>
        </w:rPr>
      </w:pPr>
      <w:r>
        <w:rPr>
          <w:lang w:val="de-DE"/>
        </w:rPr>
        <w:t xml:space="preserve">Том 194.3: </w:t>
      </w:r>
      <w:r>
        <w:rPr>
          <w:b/>
          <w:color w:val="000000"/>
          <w:lang w:val="de-DE"/>
        </w:rPr>
        <w:t xml:space="preserve">Freiwilliges Engagement in Deutschland – Frauen und Männer, Jugend, </w:t>
      </w:r>
      <w:r>
        <w:rPr>
          <w:lang w:val="de-DE"/>
        </w:rPr>
        <w:t>Пожилые граждане и спорт</w:t>
      </w:r>
      <w:r>
        <w:rPr>
          <w:lang w:val="de-DE"/>
        </w:rPr>
        <w:br/>
        <w:t xml:space="preserve">Результаты репрезентативного исследования по вопросу о добровольном труде и гражданской поддержке </w:t>
      </w:r>
      <w:r>
        <w:rPr>
          <w:lang w:val="de-DE"/>
        </w:rPr>
        <w:br/>
        <w:t>Автор: Sibylle Picot</w:t>
      </w:r>
    </w:p>
    <w:p w:rsidR="00000000" w:rsidRDefault="00000000">
      <w:pPr>
        <w:pStyle w:val="SingleTxt"/>
        <w:ind w:firstLine="0"/>
        <w:jc w:val="left"/>
        <w:rPr>
          <w:lang w:val="de-DE"/>
        </w:rPr>
      </w:pPr>
      <w:r>
        <w:rPr>
          <w:lang w:val="de-DE"/>
        </w:rPr>
        <w:t xml:space="preserve">Том 199: </w:t>
      </w:r>
      <w:r>
        <w:rPr>
          <w:b/>
          <w:color w:val="000000"/>
          <w:lang w:val="de-DE"/>
        </w:rPr>
        <w:t>Alleinerziehen – Vielfalt und Dynamik einer Lebensform</w:t>
      </w:r>
      <w:r>
        <w:rPr>
          <w:b/>
          <w:color w:val="000000"/>
          <w:lang w:val="de-DE"/>
        </w:rPr>
        <w:br/>
      </w:r>
      <w:r>
        <w:rPr>
          <w:lang w:val="de-DE"/>
        </w:rPr>
        <w:t>Авторы: Norbert F. Schneider, Dorothea Krüger, Vera Lasch, Ruth Limmer, Heike Matthias-Bleck</w:t>
      </w:r>
    </w:p>
    <w:p w:rsidR="00000000" w:rsidRDefault="00000000">
      <w:pPr>
        <w:pStyle w:val="SingleTxt"/>
        <w:ind w:firstLine="0"/>
        <w:jc w:val="left"/>
        <w:rPr>
          <w:lang w:val="de-DE"/>
        </w:rPr>
      </w:pPr>
      <w:r>
        <w:rPr>
          <w:lang w:val="de-DE"/>
        </w:rPr>
        <w:t xml:space="preserve">Том 209: </w:t>
      </w:r>
      <w:r>
        <w:rPr>
          <w:b/>
          <w:lang w:val="de-DE"/>
        </w:rPr>
        <w:t>Bericht zur gesundheitlichen Situation von Frauen in Deutschland</w:t>
      </w:r>
      <w:r>
        <w:rPr>
          <w:b/>
          <w:lang w:val="de-DE"/>
        </w:rPr>
        <w:br/>
      </w:r>
      <w:r>
        <w:rPr>
          <w:lang w:val="de-DE"/>
        </w:rPr>
        <w:t>Обзор различных шагов, предпринятых в Западной и Восточной Германии в рамках научного сотрудничества между различными учреждениями</w:t>
      </w:r>
    </w:p>
    <w:p w:rsidR="00000000" w:rsidRDefault="00000000">
      <w:pPr>
        <w:pStyle w:val="SingleTxt"/>
        <w:ind w:firstLine="0"/>
        <w:jc w:val="left"/>
        <w:rPr>
          <w:lang w:val="de-DE"/>
        </w:rPr>
      </w:pPr>
      <w:r>
        <w:rPr>
          <w:lang w:val="de-DE"/>
        </w:rPr>
        <w:t xml:space="preserve">Том 218: </w:t>
      </w:r>
      <w:r>
        <w:rPr>
          <w:b/>
          <w:snapToGrid w:val="0"/>
          <w:lang w:val="de-DE" w:eastAsia="de-DE"/>
        </w:rPr>
        <w:t>Frauenspezifische Beratungseinrichtungen für Existenzgründerinnen</w:t>
      </w:r>
      <w:r>
        <w:rPr>
          <w:b/>
          <w:snapToGrid w:val="0"/>
          <w:lang w:val="de-DE" w:eastAsia="de-DE"/>
        </w:rPr>
        <w:br/>
      </w:r>
      <w:r>
        <w:rPr>
          <w:lang w:val="de-DE"/>
        </w:rPr>
        <w:t xml:space="preserve">Анализы и потенциал; </w:t>
      </w:r>
      <w:r>
        <w:rPr>
          <w:snapToGrid w:val="0"/>
          <w:lang w:val="de-DE" w:eastAsia="de-DE"/>
        </w:rPr>
        <w:t>Deutsches Gründerinnen Forum e. V. : Dr. Birgit Buschmann, Margit Bonacker, Angelika Caspari</w:t>
      </w:r>
    </w:p>
    <w:p w:rsidR="00000000" w:rsidRDefault="00000000">
      <w:pPr>
        <w:pStyle w:val="H23"/>
        <w:rPr>
          <w:lang w:val="de-DE"/>
        </w:rPr>
      </w:pPr>
      <w:bookmarkStart w:id="912" w:name="_Toc44113578"/>
      <w:bookmarkStart w:id="913" w:name="_Toc44113899"/>
      <w:bookmarkStart w:id="914" w:name="_Toc44114408"/>
      <w:bookmarkStart w:id="915" w:name="_Toc44115638"/>
      <w:bookmarkStart w:id="916" w:name="_Toc44116090"/>
      <w:r>
        <w:rPr>
          <w:lang w:val="de-DE"/>
        </w:rPr>
        <w:t>4.2</w:t>
      </w:r>
      <w:r>
        <w:rPr>
          <w:lang w:val="de-DE"/>
        </w:rPr>
        <w:tab/>
        <w:t>Брошюры, доклады, документы и материалы федерального министерства по делам семьи, престарелых, женщин и молодежи по темам, касающимся политики в области обеспечения равенства</w:t>
      </w:r>
      <w:bookmarkEnd w:id="912"/>
      <w:bookmarkEnd w:id="913"/>
      <w:bookmarkEnd w:id="914"/>
      <w:bookmarkEnd w:id="915"/>
      <w:bookmarkEnd w:id="916"/>
    </w:p>
    <w:p w:rsidR="00000000" w:rsidRDefault="00000000">
      <w:pPr>
        <w:pStyle w:val="H4"/>
        <w:rPr>
          <w:lang w:val="de-DE"/>
        </w:rPr>
      </w:pPr>
      <w:bookmarkStart w:id="917" w:name="_Toc44113900"/>
      <w:bookmarkStart w:id="918" w:name="_Toc44114409"/>
      <w:bookmarkStart w:id="919" w:name="_Toc44116091"/>
      <w:r>
        <w:rPr>
          <w:lang w:val="de-DE"/>
        </w:rPr>
        <w:t>Политика в области обеспечения равенства в целом</w:t>
      </w:r>
      <w:bookmarkEnd w:id="917"/>
      <w:bookmarkEnd w:id="918"/>
      <w:bookmarkEnd w:id="919"/>
    </w:p>
    <w:p w:rsidR="00000000" w:rsidRDefault="00000000">
      <w:pPr>
        <w:pStyle w:val="SingleTxt"/>
        <w:ind w:firstLine="0"/>
        <w:jc w:val="left"/>
        <w:rPr>
          <w:b/>
          <w:color w:val="000000"/>
          <w:lang w:val="de-DE"/>
        </w:rPr>
      </w:pPr>
      <w:r>
        <w:rPr>
          <w:b/>
          <w:color w:val="000000"/>
          <w:lang w:val="de-DE"/>
        </w:rPr>
        <w:t>Männerforschung als Beitrag zur Geschlechterdemokratie – Ansätze einer kritischen Männerforschung im Überblick</w:t>
      </w:r>
    </w:p>
    <w:p w:rsidR="00000000" w:rsidRDefault="00000000">
      <w:pPr>
        <w:pStyle w:val="SingleTxt"/>
        <w:ind w:firstLine="0"/>
        <w:jc w:val="left"/>
        <w:rPr>
          <w:lang w:val="de-DE"/>
        </w:rPr>
      </w:pPr>
      <w:r>
        <w:rPr>
          <w:b/>
          <w:color w:val="000000"/>
          <w:lang w:val="de-DE"/>
        </w:rPr>
        <w:t xml:space="preserve">Zweiter Bericht der Bundesregierung über den Anteil der Frauen in wesentlichen Gremien im Einflussbereich des Bundes, </w:t>
      </w:r>
      <w:r>
        <w:rPr>
          <w:lang w:val="de-DE"/>
        </w:rPr>
        <w:t>Документ федерального парламента 14/5003</w:t>
      </w:r>
    </w:p>
    <w:p w:rsidR="00000000" w:rsidRDefault="00000000">
      <w:pPr>
        <w:pStyle w:val="SingleTxt"/>
        <w:ind w:firstLine="0"/>
        <w:jc w:val="left"/>
        <w:rPr>
          <w:lang w:val="de-DE"/>
        </w:rPr>
      </w:pPr>
      <w:r>
        <w:rPr>
          <w:b/>
          <w:color w:val="000000"/>
          <w:lang w:val="de-DE"/>
        </w:rPr>
        <w:t xml:space="preserve">Dritter Bericht der Bundesregierung über den Anteil der Frauen in wesentlichen Gremien im Einflussbereich des Bundes, </w:t>
      </w:r>
      <w:r>
        <w:rPr>
          <w:lang w:val="de-DE"/>
        </w:rPr>
        <w:t>Документ федерального парламента 14/9210</w:t>
      </w:r>
    </w:p>
    <w:p w:rsidR="00000000" w:rsidRDefault="00000000">
      <w:pPr>
        <w:pStyle w:val="SingleTxt"/>
        <w:ind w:firstLine="0"/>
        <w:jc w:val="left"/>
        <w:rPr>
          <w:lang w:val="de-DE"/>
        </w:rPr>
      </w:pPr>
      <w:r>
        <w:rPr>
          <w:b/>
          <w:lang w:val="de-DE"/>
        </w:rPr>
        <w:t xml:space="preserve">Vierter Bericht der Bundesregierung über die Förderung von Frauen im Bundesdienst, </w:t>
      </w:r>
      <w:r>
        <w:rPr>
          <w:lang w:val="de-DE"/>
        </w:rPr>
        <w:t>Документ федерального парламента 14/5003</w:t>
      </w:r>
    </w:p>
    <w:p w:rsidR="00000000" w:rsidRDefault="00000000">
      <w:pPr>
        <w:pStyle w:val="SingleTxt"/>
        <w:ind w:firstLine="0"/>
        <w:jc w:val="left"/>
        <w:rPr>
          <w:lang w:val="de-DE"/>
        </w:rPr>
      </w:pPr>
      <w:r>
        <w:rPr>
          <w:b/>
          <w:color w:val="000000"/>
          <w:lang w:val="de-DE"/>
        </w:rPr>
        <w:t xml:space="preserve">Fragebogen der Vereinten Nationen zur nationalen Umsetzung der Aktionsplattform der Vierten Weltfrauenkonferenz von Peking </w:t>
      </w:r>
      <w:r>
        <w:rPr>
          <w:b/>
          <w:color w:val="000000"/>
          <w:lang w:val="de-DE"/>
        </w:rPr>
        <w:br/>
      </w:r>
      <w:r>
        <w:rPr>
          <w:lang w:val="de-DE"/>
        </w:rPr>
        <w:t>Ответы Федеративной Республики</w:t>
      </w:r>
    </w:p>
    <w:p w:rsidR="00000000" w:rsidRDefault="00000000">
      <w:pPr>
        <w:pStyle w:val="SingleTxt"/>
        <w:ind w:firstLine="0"/>
        <w:jc w:val="left"/>
        <w:rPr>
          <w:lang w:val="de-DE"/>
        </w:rPr>
      </w:pPr>
      <w:r>
        <w:rPr>
          <w:b/>
          <w:color w:val="000000"/>
          <w:lang w:val="de-DE"/>
        </w:rPr>
        <w:t>Frauen 2000: Gleichstellung, Entwicklung und Frieden für das 21. Jahrhundert</w:t>
      </w:r>
      <w:r>
        <w:rPr>
          <w:b/>
          <w:color w:val="000000"/>
          <w:lang w:val="de-DE"/>
        </w:rPr>
        <w:br/>
      </w:r>
      <w:r>
        <w:rPr>
          <w:lang w:val="de-DE"/>
        </w:rPr>
        <w:t>Основные результаты специальной сессии Генеральной Ассамблеи "Пекин+5"</w:t>
      </w:r>
    </w:p>
    <w:p w:rsidR="00000000" w:rsidRDefault="00000000">
      <w:pPr>
        <w:pStyle w:val="SingleTxt"/>
        <w:ind w:firstLine="0"/>
        <w:jc w:val="left"/>
        <w:rPr>
          <w:lang w:val="de-DE"/>
        </w:rPr>
      </w:pPr>
      <w:r>
        <w:rPr>
          <w:b/>
          <w:color w:val="000000"/>
          <w:lang w:val="de-DE"/>
        </w:rPr>
        <w:t>20 Jahre Übereinkommen der Vereinten Nationen zur Beseitigung jeder Form von Di</w:t>
      </w:r>
      <w:r>
        <w:rPr>
          <w:b/>
          <w:color w:val="000000"/>
          <w:lang w:val="de-DE"/>
        </w:rPr>
        <w:t>s</w:t>
      </w:r>
      <w:r>
        <w:rPr>
          <w:b/>
          <w:color w:val="000000"/>
          <w:lang w:val="de-DE"/>
        </w:rPr>
        <w:t>kriminierung der Frau</w:t>
      </w:r>
    </w:p>
    <w:p w:rsidR="00000000" w:rsidRDefault="00000000">
      <w:pPr>
        <w:pStyle w:val="SingleTxt"/>
        <w:ind w:firstLine="0"/>
        <w:jc w:val="left"/>
        <w:rPr>
          <w:lang w:val="de-DE"/>
        </w:rPr>
      </w:pPr>
      <w:r>
        <w:rPr>
          <w:b/>
          <w:lang w:val="de-DE"/>
        </w:rPr>
        <w:t>Die Frauen der Welt 2000 – Trends und Statistiken</w:t>
      </w:r>
      <w:r>
        <w:rPr>
          <w:b/>
        </w:rPr>
        <w:br/>
      </w:r>
      <w:r>
        <w:rPr>
          <w:lang w:val="de-DE"/>
        </w:rPr>
        <w:t>Выпуск документов Организации Объединенных Наций на немецком языке</w:t>
      </w:r>
    </w:p>
    <w:p w:rsidR="00000000" w:rsidRDefault="00000000">
      <w:pPr>
        <w:pStyle w:val="SingleTxt"/>
        <w:ind w:firstLine="0"/>
        <w:jc w:val="left"/>
        <w:rPr>
          <w:lang w:val="de-DE"/>
        </w:rPr>
      </w:pPr>
      <w:r>
        <w:rPr>
          <w:b/>
          <w:lang w:val="de-DE"/>
        </w:rPr>
        <w:t>Интересы женщин и политика в отношении женщин</w:t>
      </w:r>
      <w:r>
        <w:rPr>
          <w:b/>
        </w:rPr>
        <w:br/>
      </w:r>
      <w:r>
        <w:rPr>
          <w:lang w:val="de-DE"/>
        </w:rPr>
        <w:t>Репрезентативное обследование интересов женщин и их ожиданий в сфере политики, проведенное Алленсбахским институтом демоскопии по поручению федерального министерства по защите прав потребителей, продовольствия и сельского хозяйства, март 2000 года</w:t>
      </w:r>
    </w:p>
    <w:p w:rsidR="00000000" w:rsidRDefault="00000000">
      <w:pPr>
        <w:pStyle w:val="SingleTxt"/>
        <w:ind w:firstLine="0"/>
        <w:jc w:val="left"/>
        <w:rPr>
          <w:lang w:val="de-DE"/>
        </w:rPr>
      </w:pPr>
      <w:r>
        <w:rPr>
          <w:b/>
          <w:lang w:val="de-DE"/>
        </w:rPr>
        <w:t>Меры, принятые федеральным правительством для обеспечения большего равенства мужчин и женщин</w:t>
      </w:r>
    </w:p>
    <w:p w:rsidR="00000000" w:rsidRDefault="00000000">
      <w:pPr>
        <w:pStyle w:val="SingleTxt"/>
        <w:ind w:firstLine="0"/>
        <w:jc w:val="left"/>
        <w:rPr>
          <w:lang w:val="de-DE"/>
        </w:rPr>
      </w:pPr>
      <w:r>
        <w:rPr>
          <w:b/>
          <w:lang w:val="de-DE"/>
        </w:rPr>
        <w:t xml:space="preserve">Новый Федеральный закон о равных возможностях мужчин и женщин в федеральной администрации и в судах Федерации </w:t>
      </w:r>
      <w:r>
        <w:rPr>
          <w:b/>
          <w:color w:val="000000"/>
          <w:lang w:val="de-DE"/>
        </w:rPr>
        <w:t>(Gesetz zur Gleichstellung von Frauen und Männern in der Bundesverwaltung und in den Gerichten des Bundes)</w:t>
      </w:r>
    </w:p>
    <w:p w:rsidR="00000000" w:rsidRDefault="00000000">
      <w:pPr>
        <w:pStyle w:val="SingleTxt"/>
        <w:ind w:firstLine="0"/>
        <w:jc w:val="left"/>
        <w:rPr>
          <w:color w:val="000000"/>
          <w:lang w:val="de-DE"/>
        </w:rPr>
      </w:pPr>
      <w:r>
        <w:rPr>
          <w:b/>
          <w:color w:val="000000"/>
          <w:lang w:val="de-DE"/>
        </w:rPr>
        <w:t>Neuer Aufbruch in der Gleichstellung</w:t>
      </w:r>
      <w:r>
        <w:rPr>
          <w:b/>
          <w:color w:val="000000"/>
          <w:lang w:val="de-DE"/>
        </w:rPr>
        <w:t>s</w:t>
      </w:r>
      <w:r>
        <w:rPr>
          <w:b/>
          <w:color w:val="000000"/>
          <w:lang w:val="de-DE"/>
        </w:rPr>
        <w:t xml:space="preserve">politik, </w:t>
      </w:r>
      <w:r>
        <w:rPr>
          <w:color w:val="000000"/>
          <w:lang w:val="de-DE"/>
        </w:rPr>
        <w:t>leaflet</w:t>
      </w:r>
    </w:p>
    <w:p w:rsidR="00000000" w:rsidRDefault="00000000">
      <w:pPr>
        <w:pStyle w:val="SingleTxt"/>
        <w:ind w:firstLine="0"/>
        <w:jc w:val="left"/>
        <w:rPr>
          <w:lang w:val="de-DE"/>
        </w:rPr>
      </w:pPr>
      <w:r>
        <w:rPr>
          <w:b/>
          <w:lang w:val="de-DE"/>
        </w:rPr>
        <w:t>Gleichstellung im Aufwind – Perspektiven einer modernen Gleichstellungspolitik</w:t>
      </w:r>
      <w:r>
        <w:rPr>
          <w:lang w:val="de-DE"/>
        </w:rPr>
        <w:t>.</w:t>
      </w:r>
      <w:r>
        <w:rPr>
          <w:lang w:val="de-DE"/>
        </w:rPr>
        <w:br/>
        <w:t>Материалы специального конгресса уполномоченных по делам женщин Федерации, состоявшегося 22-23 марта 2000 года</w:t>
      </w:r>
    </w:p>
    <w:p w:rsidR="00000000" w:rsidRDefault="00000000">
      <w:pPr>
        <w:pStyle w:val="SingleTxt"/>
        <w:ind w:firstLine="0"/>
        <w:jc w:val="left"/>
        <w:rPr>
          <w:lang w:val="de-DE"/>
        </w:rPr>
      </w:pPr>
      <w:r>
        <w:rPr>
          <w:b/>
          <w:lang w:val="de-DE"/>
        </w:rPr>
        <w:t>Mit allen – für morgen</w:t>
      </w:r>
      <w:r>
        <w:rPr>
          <w:lang w:val="de-DE"/>
        </w:rPr>
        <w:t>.</w:t>
      </w:r>
      <w:r>
        <w:rPr>
          <w:lang w:val="de-DE"/>
        </w:rPr>
        <w:br/>
        <w:t>Mehr Chancen, mehr Rechte, mehr Sicherheit</w:t>
      </w:r>
    </w:p>
    <w:p w:rsidR="00000000" w:rsidRDefault="00000000">
      <w:pPr>
        <w:pStyle w:val="SingleTxt"/>
        <w:ind w:firstLine="0"/>
        <w:jc w:val="left"/>
        <w:rPr>
          <w:lang w:val="de-DE"/>
        </w:rPr>
      </w:pPr>
      <w:r>
        <w:rPr>
          <w:b/>
          <w:lang w:val="de-DE"/>
        </w:rPr>
        <w:t>Fakultativprotokoll zum Übereinkommen zur Beseitigung jeder Form von Diskriminierung der Frau</w:t>
      </w:r>
      <w:r>
        <w:rPr>
          <w:b/>
          <w:lang w:val="de-DE"/>
        </w:rPr>
        <w:br/>
      </w:r>
      <w:r>
        <w:rPr>
          <w:lang w:val="de-DE"/>
        </w:rPr>
        <w:t>Брошюра о Конвенции Организации Объединенных Наций о ликвидации всех форм дискриминации в отношении женщин, № 82/2001</w:t>
      </w:r>
    </w:p>
    <w:p w:rsidR="00000000" w:rsidRDefault="00000000">
      <w:pPr>
        <w:pStyle w:val="SingleTxt"/>
        <w:ind w:firstLine="0"/>
        <w:jc w:val="left"/>
        <w:rPr>
          <w:lang w:val="de-DE"/>
        </w:rPr>
      </w:pPr>
      <w:r>
        <w:rPr>
          <w:b/>
          <w:lang w:val="de-DE"/>
        </w:rPr>
        <w:t>Обеспечение гендерного равенства. Что это такое?</w:t>
      </w:r>
      <w:r>
        <w:rPr>
          <w:b/>
        </w:rPr>
        <w:br/>
      </w:r>
      <w:r>
        <w:rPr>
          <w:lang w:val="de-DE"/>
        </w:rPr>
        <w:t xml:space="preserve">Брошюра, посвященная принципу актуализации гендерной проблематики и стратегия федерального правительства по реализации этого принципа </w:t>
      </w:r>
    </w:p>
    <w:p w:rsidR="00000000" w:rsidRDefault="00000000">
      <w:pPr>
        <w:pStyle w:val="SingleTxt"/>
        <w:ind w:firstLine="0"/>
        <w:jc w:val="left"/>
        <w:rPr>
          <w:lang w:val="de-DE"/>
        </w:rPr>
      </w:pPr>
      <w:r>
        <w:rPr>
          <w:b/>
          <w:lang w:val="de-DE"/>
        </w:rPr>
        <w:t>Gender-spezifische Aufbereitung der amtlichen Statistik</w:t>
      </w:r>
      <w:r>
        <w:rPr>
          <w:b/>
          <w:lang w:val="de-DE"/>
        </w:rPr>
        <w:br/>
      </w:r>
      <w:r>
        <w:rPr>
          <w:lang w:val="de-DE"/>
        </w:rPr>
        <w:t>Möglichkeiten respektive Anforderungen</w:t>
      </w:r>
      <w:r>
        <w:rPr>
          <w:lang w:val="de-DE"/>
        </w:rPr>
        <w:br/>
        <w:t>Доклад экспертов, подготовленный Исследовательским институтом по средним предприятиям</w:t>
      </w:r>
    </w:p>
    <w:p w:rsidR="00000000" w:rsidRDefault="00000000">
      <w:pPr>
        <w:pStyle w:val="SingleTxt"/>
        <w:ind w:firstLine="0"/>
        <w:jc w:val="left"/>
        <w:rPr>
          <w:lang w:val="de-DE"/>
        </w:rPr>
      </w:pPr>
      <w:r>
        <w:rPr>
          <w:b/>
          <w:lang w:val="de-DE"/>
        </w:rPr>
        <w:t>Die Darstellung von Frauen und die Behandlung von Frauenfragen im Fernsehen.</w:t>
      </w:r>
      <w:r>
        <w:rPr>
          <w:lang w:val="de-DE"/>
        </w:rPr>
        <w:t xml:space="preserve"> </w:t>
      </w:r>
      <w:r>
        <w:rPr>
          <w:lang w:val="en-US"/>
        </w:rPr>
        <w:br/>
      </w:r>
      <w:r>
        <w:rPr>
          <w:lang w:val="de-DE"/>
        </w:rPr>
        <w:t>Резюме заключительного доклада, подготовленного и представленного Heike Becker, M.A. and Prof. Dr. Wolfgang Becker (No. 83/2001)</w:t>
      </w:r>
    </w:p>
    <w:p w:rsidR="00000000" w:rsidRDefault="00000000">
      <w:pPr>
        <w:pStyle w:val="SingleTxt"/>
        <w:ind w:firstLine="0"/>
        <w:jc w:val="left"/>
        <w:rPr>
          <w:lang w:val="de-DE"/>
        </w:rPr>
      </w:pPr>
      <w:r>
        <w:rPr>
          <w:b/>
          <w:lang w:val="de-DE"/>
        </w:rPr>
        <w:t>Ursache und Umfang von Frauenarmut</w:t>
      </w:r>
      <w:r>
        <w:rPr>
          <w:b/>
        </w:rPr>
        <w:br/>
      </w:r>
      <w:r>
        <w:rPr>
          <w:lang w:val="de-DE"/>
        </w:rPr>
        <w:t xml:space="preserve">Доклад экспертов в рамках доклада федерального правительства по вопросу о бедности и богатстве </w:t>
      </w:r>
      <w:r>
        <w:br/>
      </w:r>
      <w:r>
        <w:rPr>
          <w:lang w:val="de-DE"/>
        </w:rPr>
        <w:t>(№ 86/2001)</w:t>
      </w:r>
    </w:p>
    <w:p w:rsidR="00000000" w:rsidRDefault="00000000">
      <w:pPr>
        <w:pStyle w:val="SingleTxt"/>
        <w:ind w:firstLine="0"/>
        <w:jc w:val="left"/>
        <w:rPr>
          <w:lang w:val="de-DE"/>
        </w:rPr>
      </w:pPr>
      <w:r>
        <w:rPr>
          <w:b/>
          <w:lang w:val="de-DE"/>
        </w:rPr>
        <w:t>Gesetz zur Regelung der Rechtsverhältnisse der Prostituierten Prostitutionsgesetz – ProstG)</w:t>
      </w:r>
      <w:r>
        <w:rPr>
          <w:b/>
          <w:lang w:val="de-DE"/>
        </w:rPr>
        <w:br/>
      </w:r>
      <w:r>
        <w:rPr>
          <w:lang w:val="de-DE"/>
        </w:rPr>
        <w:t>Разработка закона и основания для представления законопроекта (№ 87/2001)</w:t>
      </w:r>
    </w:p>
    <w:p w:rsidR="00000000" w:rsidRDefault="00000000">
      <w:pPr>
        <w:pStyle w:val="H4"/>
        <w:rPr>
          <w:lang w:val="de-DE"/>
        </w:rPr>
      </w:pPr>
      <w:bookmarkStart w:id="920" w:name="_Toc44113901"/>
      <w:bookmarkStart w:id="921" w:name="_Toc44114410"/>
      <w:bookmarkStart w:id="922" w:name="_Toc44116092"/>
      <w:r>
        <w:rPr>
          <w:lang w:val="de-DE"/>
        </w:rPr>
        <w:t>Женщины и труд/совмещение</w:t>
      </w:r>
      <w:bookmarkEnd w:id="920"/>
      <w:bookmarkEnd w:id="921"/>
      <w:bookmarkEnd w:id="922"/>
    </w:p>
    <w:p w:rsidR="00000000" w:rsidRDefault="00000000">
      <w:pPr>
        <w:pStyle w:val="SingleTxt"/>
        <w:ind w:firstLine="0"/>
        <w:jc w:val="left"/>
        <w:rPr>
          <w:lang w:val="de-DE"/>
        </w:rPr>
      </w:pPr>
      <w:r>
        <w:rPr>
          <w:b/>
          <w:lang w:val="de-DE"/>
        </w:rPr>
        <w:t>Программа под названием "Frau und Beruf" – Aufbruch in der Gleichstellungspolitik</w:t>
      </w:r>
    </w:p>
    <w:p w:rsidR="00000000" w:rsidRDefault="00000000">
      <w:pPr>
        <w:pStyle w:val="SingleTxt"/>
        <w:ind w:firstLine="0"/>
        <w:jc w:val="left"/>
        <w:rPr>
          <w:lang w:val="de-DE"/>
        </w:rPr>
      </w:pPr>
      <w:r>
        <w:rPr>
          <w:b/>
          <w:lang w:val="de-DE"/>
        </w:rPr>
        <w:t>Наилучшая практика. Vorbildhafte Unternehmensbeispiele zu Chancengleichheit in der Wir</w:t>
      </w:r>
      <w:r>
        <w:rPr>
          <w:b/>
          <w:lang w:val="de-DE"/>
        </w:rPr>
        <w:t>t</w:t>
      </w:r>
      <w:r>
        <w:rPr>
          <w:b/>
          <w:lang w:val="de-DE"/>
        </w:rPr>
        <w:t>schaft</w:t>
      </w:r>
    </w:p>
    <w:p w:rsidR="00000000" w:rsidRDefault="00000000">
      <w:pPr>
        <w:pStyle w:val="SingleTxt"/>
        <w:ind w:firstLine="0"/>
        <w:jc w:val="left"/>
        <w:rPr>
          <w:lang w:val="de-DE"/>
        </w:rPr>
      </w:pPr>
      <w:r>
        <w:rPr>
          <w:b/>
          <w:color w:val="000000"/>
          <w:lang w:val="de-DE"/>
        </w:rPr>
        <w:t>Chancengleichheit in der Wirtschaft</w:t>
      </w:r>
      <w:r>
        <w:rPr>
          <w:b/>
          <w:color w:val="000000"/>
        </w:rPr>
        <w:br/>
      </w:r>
      <w:r>
        <w:rPr>
          <w:lang w:val="de-DE"/>
        </w:rPr>
        <w:t>Заключительные материалы, касающиеся четырех дискуссионных форумов и конгресса по вопросам обеспечения равных возможностей женщин и мужчин в промышленности</w:t>
      </w:r>
    </w:p>
    <w:p w:rsidR="00000000" w:rsidRDefault="00000000">
      <w:pPr>
        <w:pStyle w:val="SingleTxt"/>
        <w:ind w:firstLine="0"/>
        <w:jc w:val="left"/>
        <w:rPr>
          <w:lang w:val="de-DE"/>
        </w:rPr>
      </w:pPr>
      <w:r>
        <w:rPr>
          <w:b/>
          <w:color w:val="000000"/>
          <w:lang w:val="de-DE"/>
        </w:rPr>
        <w:t>Rückkehr in den Beruf</w:t>
      </w:r>
      <w:r>
        <w:rPr>
          <w:b/>
          <w:color w:val="000000"/>
        </w:rPr>
        <w:br/>
      </w:r>
      <w:r>
        <w:rPr>
          <w:lang w:val="de-DE"/>
        </w:rPr>
        <w:t>Информация о способах возвращения на рабочее место после отпуска по беременности и родам и уходу за ребенком</w:t>
      </w:r>
    </w:p>
    <w:p w:rsidR="00000000" w:rsidRDefault="00000000">
      <w:pPr>
        <w:pStyle w:val="SingleTxt"/>
        <w:ind w:firstLine="0"/>
        <w:jc w:val="left"/>
        <w:rPr>
          <w:lang w:val="de-DE"/>
        </w:rPr>
      </w:pPr>
      <w:r>
        <w:rPr>
          <w:b/>
          <w:lang w:val="de-DE"/>
        </w:rPr>
        <w:t>НАЧНИ СЕЙЧАС</w:t>
      </w:r>
      <w:r>
        <w:rPr>
          <w:b/>
        </w:rPr>
        <w:br/>
      </w:r>
      <w:r>
        <w:rPr>
          <w:color w:val="000000"/>
          <w:lang w:val="de-DE"/>
        </w:rPr>
        <w:t xml:space="preserve">freundin </w:t>
      </w:r>
      <w:r>
        <w:rPr>
          <w:lang w:val="de-DE"/>
        </w:rPr>
        <w:t>Специальный выпуск для женщин, открывающих собственное дело</w:t>
      </w:r>
    </w:p>
    <w:p w:rsidR="00000000" w:rsidRDefault="00000000">
      <w:pPr>
        <w:pStyle w:val="SingleTxt"/>
        <w:ind w:firstLine="0"/>
        <w:jc w:val="left"/>
        <w:rPr>
          <w:lang w:val="de-DE"/>
        </w:rPr>
      </w:pPr>
      <w:r>
        <w:rPr>
          <w:b/>
          <w:color w:val="000000"/>
          <w:lang w:val="de-DE"/>
        </w:rPr>
        <w:t>Chancengleichheit in einer familienfreundlichen Arbeitswelt</w:t>
      </w:r>
      <w:r>
        <w:rPr>
          <w:b/>
          <w:color w:val="000000"/>
          <w:lang w:val="de-DE"/>
        </w:rPr>
        <w:br/>
      </w:r>
      <w:r>
        <w:rPr>
          <w:lang w:val="de-DE"/>
        </w:rPr>
        <w:t>Общественная ревизия в Европе</w:t>
      </w:r>
    </w:p>
    <w:p w:rsidR="00000000" w:rsidRDefault="00000000">
      <w:pPr>
        <w:pStyle w:val="SingleTxt"/>
        <w:ind w:firstLine="0"/>
        <w:jc w:val="left"/>
        <w:rPr>
          <w:lang w:val="de-DE"/>
        </w:rPr>
      </w:pPr>
      <w:r>
        <w:rPr>
          <w:b/>
          <w:color w:val="000000"/>
          <w:lang w:val="de-DE"/>
        </w:rPr>
        <w:t>Der familienfreundliche Betrieb 2000: Neue Chancen für Frauen und Männer</w:t>
      </w:r>
      <w:r>
        <w:rPr>
          <w:b/>
          <w:color w:val="000000"/>
          <w:lang w:val="de-DE"/>
        </w:rPr>
        <w:br/>
      </w:r>
      <w:r>
        <w:rPr>
          <w:lang w:val="de-DE"/>
        </w:rPr>
        <w:t>Материалы национального конкурса</w:t>
      </w:r>
    </w:p>
    <w:p w:rsidR="00000000" w:rsidRDefault="00000000">
      <w:pPr>
        <w:pStyle w:val="SingleTxt"/>
        <w:ind w:firstLine="0"/>
        <w:jc w:val="left"/>
        <w:rPr>
          <w:lang w:val="de-DE"/>
        </w:rPr>
      </w:pPr>
      <w:r>
        <w:rPr>
          <w:b/>
          <w:lang w:val="de-DE"/>
        </w:rPr>
        <w:t>WOW – Women on the Web</w:t>
      </w:r>
      <w:r>
        <w:rPr>
          <w:b/>
        </w:rPr>
        <w:br/>
      </w:r>
      <w:r>
        <w:rPr>
          <w:lang w:val="de-DE"/>
        </w:rPr>
        <w:t>Документы по международной конференции "Женщины в Интернет" – возможности и выгоды, открывающиеся в Интернет для женщин, 8-10 марта 2001 года, Гамбург, ред. апрель 2002</w:t>
      </w:r>
    </w:p>
    <w:p w:rsidR="00000000" w:rsidRDefault="00000000">
      <w:pPr>
        <w:pStyle w:val="SingleTxt"/>
        <w:ind w:firstLine="0"/>
        <w:jc w:val="left"/>
        <w:rPr>
          <w:lang w:val="de-DE"/>
        </w:rPr>
      </w:pPr>
      <w:r>
        <w:rPr>
          <w:b/>
          <w:color w:val="000000"/>
          <w:lang w:val="de-DE"/>
        </w:rPr>
        <w:t>Vereinbarkeit von Familie und Erwerbstätigkeit</w:t>
      </w:r>
      <w:r>
        <w:rPr>
          <w:b/>
          <w:color w:val="000000"/>
        </w:rPr>
        <w:br/>
      </w:r>
      <w:r>
        <w:rPr>
          <w:lang w:val="de-DE"/>
        </w:rPr>
        <w:t>Консультации для самостоятельно занятого населения и членов семьи, работающих в семейных предприятиях</w:t>
      </w:r>
    </w:p>
    <w:p w:rsidR="00000000" w:rsidRDefault="00000000">
      <w:pPr>
        <w:pStyle w:val="SingleTxt"/>
        <w:ind w:firstLine="0"/>
        <w:jc w:val="left"/>
        <w:rPr>
          <w:lang w:val="de-DE"/>
        </w:rPr>
      </w:pPr>
      <w:r>
        <w:rPr>
          <w:b/>
          <w:color w:val="000000"/>
          <w:lang w:val="de-DE"/>
        </w:rPr>
        <w:t>Aktivitäten von und für Unternehmerinnen und Existenzgründerinnen im Bereich der Klein und Mittelbetriebe</w:t>
      </w:r>
      <w:r>
        <w:rPr>
          <w:b/>
          <w:color w:val="000000"/>
          <w:lang w:val="de-DE"/>
        </w:rPr>
        <w:br/>
      </w:r>
      <w:r>
        <w:rPr>
          <w:lang w:val="de-DE"/>
        </w:rPr>
        <w:t>Национальный обзор и список адресов</w:t>
      </w:r>
    </w:p>
    <w:p w:rsidR="00000000" w:rsidRDefault="00000000">
      <w:pPr>
        <w:pStyle w:val="SingleTxt"/>
        <w:ind w:firstLine="0"/>
        <w:jc w:val="left"/>
        <w:rPr>
          <w:lang w:val="de-DE"/>
        </w:rPr>
      </w:pPr>
      <w:r>
        <w:rPr>
          <w:b/>
          <w:color w:val="000000"/>
          <w:lang w:val="de-DE"/>
        </w:rPr>
        <w:t>12 Diskussionspunkte zur Förderung einer gleichberechtigten Teilhabe von Männern und Fra</w:t>
      </w:r>
      <w:r>
        <w:rPr>
          <w:b/>
          <w:color w:val="000000"/>
          <w:lang w:val="de-DE"/>
        </w:rPr>
        <w:t>u</w:t>
      </w:r>
      <w:r>
        <w:rPr>
          <w:b/>
          <w:color w:val="000000"/>
          <w:lang w:val="de-DE"/>
        </w:rPr>
        <w:t>en bei Unternehmensnachfolge und Existenzgründung</w:t>
      </w:r>
      <w:r>
        <w:rPr>
          <w:b/>
          <w:color w:val="000000"/>
          <w:lang w:val="de-DE"/>
        </w:rPr>
        <w:br/>
      </w:r>
      <w:r>
        <w:rPr>
          <w:lang w:val="de-DE"/>
        </w:rPr>
        <w:t>Результаты текущего сотрудничества между федеральным министерством по делам семьи, престарелых, женщин и молодежи и Немецкой торгово-промышленной палатой, Центральной ассоциацией немецких ремесленных союзов и Немецким банком уравнения налогообложения</w:t>
      </w:r>
    </w:p>
    <w:p w:rsidR="00000000" w:rsidRDefault="00000000">
      <w:pPr>
        <w:pStyle w:val="SingleTxt"/>
        <w:ind w:firstLine="0"/>
        <w:jc w:val="left"/>
        <w:rPr>
          <w:lang w:val="de-DE"/>
        </w:rPr>
      </w:pPr>
      <w:r>
        <w:rPr>
          <w:b/>
          <w:lang w:val="de-DE"/>
        </w:rPr>
        <w:t>Frauen im Kultur- und Medienbetrieb III</w:t>
      </w:r>
      <w:r>
        <w:rPr>
          <w:b/>
          <w:lang w:val="de-DE"/>
        </w:rPr>
        <w:br/>
      </w:r>
      <w:r>
        <w:rPr>
          <w:color w:val="000000"/>
          <w:lang w:val="de-DE"/>
        </w:rPr>
        <w:t>Fakten zu Berufssituation und Qualifizierung</w:t>
      </w:r>
      <w:r>
        <w:rPr>
          <w:color w:val="000000"/>
          <w:lang w:val="de-DE"/>
        </w:rPr>
        <w:br/>
      </w:r>
      <w:r>
        <w:rPr>
          <w:lang w:val="de-DE"/>
        </w:rPr>
        <w:t>Женщины в сфере искусства и в средствах массовой информации III</w:t>
      </w:r>
      <w:r>
        <w:br/>
      </w:r>
      <w:r>
        <w:rPr>
          <w:lang w:val="de-DE"/>
        </w:rPr>
        <w:t xml:space="preserve">Доклад Центра исследований в области культуры для федерального министерства по делам семьи, престарелых, женщин и молодежи, </w:t>
      </w:r>
      <w:r>
        <w:rPr>
          <w:color w:val="000000"/>
          <w:lang w:val="de-DE"/>
        </w:rPr>
        <w:t>kultur &amp; wissenschaft</w:t>
      </w:r>
      <w:r>
        <w:rPr>
          <w:lang w:val="de-DE"/>
        </w:rPr>
        <w:t>, том 19</w:t>
      </w:r>
    </w:p>
    <w:p w:rsidR="00000000" w:rsidRDefault="00000000">
      <w:pPr>
        <w:pStyle w:val="SingleTxt"/>
        <w:ind w:firstLine="0"/>
        <w:jc w:val="left"/>
        <w:rPr>
          <w:lang w:val="de-DE"/>
        </w:rPr>
      </w:pPr>
      <w:r>
        <w:rPr>
          <w:b/>
          <w:color w:val="000000"/>
          <w:lang w:val="de-DE"/>
        </w:rPr>
        <w:t>Trotz Fleiß – keinen Preis?</w:t>
      </w:r>
      <w:r>
        <w:rPr>
          <w:b/>
          <w:color w:val="000000"/>
          <w:lang w:val="de-DE"/>
        </w:rPr>
        <w:br/>
      </w:r>
      <w:r>
        <w:rPr>
          <w:color w:val="000000"/>
          <w:lang w:val="de-DE"/>
        </w:rPr>
        <w:t>Frauen in der individuellen Künstlerförderung II</w:t>
      </w:r>
      <w:r>
        <w:rPr>
          <w:color w:val="000000"/>
          <w:lang w:val="de-DE"/>
        </w:rPr>
        <w:br/>
      </w:r>
      <w:r>
        <w:rPr>
          <w:lang w:val="de-DE"/>
        </w:rPr>
        <w:t xml:space="preserve">Доклад Центра исследований в области культуры для федерального министерства по делам семьи, престарелых, женщин и молодежи, </w:t>
      </w:r>
      <w:r>
        <w:rPr>
          <w:color w:val="000000"/>
          <w:lang w:val="de-DE"/>
        </w:rPr>
        <w:t>kultur &amp; wissenschaft</w:t>
      </w:r>
      <w:r>
        <w:rPr>
          <w:lang w:val="de-DE"/>
        </w:rPr>
        <w:t>, том 20</w:t>
      </w:r>
    </w:p>
    <w:p w:rsidR="00000000" w:rsidRDefault="00000000">
      <w:pPr>
        <w:pStyle w:val="SingleTxt"/>
        <w:ind w:firstLine="0"/>
        <w:jc w:val="left"/>
        <w:rPr>
          <w:lang w:val="de-DE"/>
        </w:rPr>
      </w:pPr>
      <w:r>
        <w:rPr>
          <w:b/>
          <w:color w:val="000000"/>
          <w:lang w:val="de-DE"/>
        </w:rPr>
        <w:t>Beratungs- und Qualifizierungsangebote der Kammern zur Förderung unternehmerischer Aktivitäten von Frauen</w:t>
      </w:r>
      <w:r>
        <w:rPr>
          <w:color w:val="000000"/>
          <w:lang w:val="de-DE"/>
        </w:rPr>
        <w:t xml:space="preserve"> – </w:t>
      </w:r>
      <w:r>
        <w:rPr>
          <w:lang w:val="de-DE"/>
        </w:rPr>
        <w:t>краткий вариант (№ 74/2000)</w:t>
      </w:r>
      <w:r>
        <w:rPr>
          <w:lang w:val="de-DE"/>
        </w:rPr>
        <w:br/>
        <w:t xml:space="preserve">ЧЕЙНДЖ – Общинная инициатива "ЧЕЙНДЖ". Публикация исследования Немецкого форума женщин, открывающих собственное дело, по теме </w:t>
      </w:r>
      <w:r>
        <w:rPr>
          <w:b/>
          <w:lang w:val="de-DE"/>
        </w:rPr>
        <w:t xml:space="preserve">"Gründung, Übernahme und Leitung von Unternehmen durch Frauen" </w:t>
      </w:r>
      <w:r>
        <w:rPr>
          <w:b/>
        </w:rPr>
        <w:br/>
      </w:r>
      <w:r>
        <w:rPr>
          <w:lang w:val="de-DE"/>
        </w:rPr>
        <w:t>(№ 76/2000)</w:t>
      </w:r>
    </w:p>
    <w:p w:rsidR="00000000" w:rsidRDefault="00000000">
      <w:pPr>
        <w:pStyle w:val="SingleTxt"/>
        <w:ind w:firstLine="0"/>
        <w:jc w:val="left"/>
        <w:rPr>
          <w:lang w:val="de-DE"/>
        </w:rPr>
      </w:pPr>
      <w:r>
        <w:rPr>
          <w:b/>
          <w:color w:val="000000"/>
          <w:lang w:val="de-DE"/>
        </w:rPr>
        <w:t xml:space="preserve">Potenziale sozialverträglicher Arbeitnehmerüberlassung zur Wiedereingliederung von Frauen – </w:t>
      </w:r>
      <w:r>
        <w:rPr>
          <w:lang w:val="de-DE"/>
        </w:rPr>
        <w:t xml:space="preserve">заявление экспертов в отношении пилотного проекта </w:t>
      </w:r>
      <w:r>
        <w:rPr>
          <w:color w:val="000000"/>
          <w:lang w:val="de-DE"/>
        </w:rPr>
        <w:t xml:space="preserve">START Zeitarbeit NRW GmbH and the Gesellschaft für Arbeitnehmerüberlassung Thüringen mbH </w:t>
      </w:r>
      <w:r>
        <w:rPr>
          <w:lang w:val="de-DE"/>
        </w:rPr>
        <w:t>(№ 77/2000)</w:t>
      </w:r>
    </w:p>
    <w:p w:rsidR="00000000" w:rsidRDefault="00000000">
      <w:pPr>
        <w:pStyle w:val="SingleTxt"/>
        <w:ind w:firstLine="0"/>
        <w:jc w:val="left"/>
        <w:rPr>
          <w:lang w:val="de-DE"/>
        </w:rPr>
      </w:pPr>
      <w:r>
        <w:rPr>
          <w:b/>
          <w:lang w:val="de-DE"/>
        </w:rPr>
        <w:t>Familienbezogene Gestaltung von Telearbeit 1997-2000</w:t>
      </w:r>
      <w:r>
        <w:rPr>
          <w:b/>
          <w:lang w:val="de-DE"/>
        </w:rPr>
        <w:br/>
      </w:r>
      <w:r>
        <w:rPr>
          <w:lang w:val="de-DE"/>
        </w:rPr>
        <w:t>Заключительный доклад (№ 81/2000)</w:t>
      </w:r>
    </w:p>
    <w:p w:rsidR="00000000" w:rsidRDefault="00000000">
      <w:pPr>
        <w:pStyle w:val="SingleTxt"/>
        <w:ind w:firstLine="0"/>
        <w:jc w:val="left"/>
        <w:rPr>
          <w:lang w:val="de-DE"/>
        </w:rPr>
      </w:pPr>
      <w:r>
        <w:rPr>
          <w:b/>
          <w:lang w:val="de-DE"/>
        </w:rPr>
        <w:t>Bericht zur Berufs- und Einkommenssituation von Frauen und Männern</w:t>
      </w:r>
      <w:r>
        <w:rPr>
          <w:b/>
        </w:rPr>
        <w:br/>
      </w:r>
      <w:r>
        <w:rPr>
          <w:lang w:val="de-DE"/>
        </w:rPr>
        <w:t>Первый доклад федерального правительства о профессиональном статусе и доходах женщин и мужчин, ред. 2002 года (№ 85/2002)</w:t>
      </w:r>
    </w:p>
    <w:p w:rsidR="00000000" w:rsidRDefault="00000000">
      <w:pPr>
        <w:pStyle w:val="SingleTxt"/>
        <w:ind w:firstLine="0"/>
        <w:jc w:val="left"/>
        <w:rPr>
          <w:b/>
          <w:lang w:val="en-US"/>
        </w:rPr>
      </w:pPr>
      <w:r>
        <w:rPr>
          <w:b/>
          <w:lang w:val="de-DE"/>
        </w:rPr>
        <w:t>Rentenratgeber für Frauen</w:t>
      </w:r>
    </w:p>
    <w:p w:rsidR="00000000" w:rsidRDefault="00000000">
      <w:pPr>
        <w:pStyle w:val="H4"/>
        <w:rPr>
          <w:lang w:val="de-DE"/>
        </w:rPr>
      </w:pPr>
      <w:bookmarkStart w:id="923" w:name="_Toc44113902"/>
      <w:bookmarkStart w:id="924" w:name="_Toc44114411"/>
      <w:bookmarkStart w:id="925" w:name="_Toc44116093"/>
      <w:r>
        <w:rPr>
          <w:lang w:val="de-DE"/>
        </w:rPr>
        <w:t>Семья</w:t>
      </w:r>
      <w:bookmarkEnd w:id="923"/>
      <w:bookmarkEnd w:id="924"/>
      <w:bookmarkEnd w:id="925"/>
    </w:p>
    <w:p w:rsidR="00000000" w:rsidRDefault="00000000">
      <w:pPr>
        <w:pStyle w:val="SingleTxt"/>
        <w:ind w:firstLine="0"/>
        <w:jc w:val="left"/>
        <w:rPr>
          <w:b/>
          <w:color w:val="000000"/>
          <w:lang w:val="de-DE"/>
        </w:rPr>
      </w:pPr>
      <w:r>
        <w:rPr>
          <w:b/>
          <w:color w:val="000000"/>
          <w:lang w:val="de-DE"/>
        </w:rPr>
        <w:t>Die Familie im Spiegel der amtlichen Stat</w:t>
      </w:r>
      <w:r>
        <w:rPr>
          <w:b/>
          <w:color w:val="000000"/>
          <w:lang w:val="de-DE"/>
        </w:rPr>
        <w:t>i</w:t>
      </w:r>
      <w:r>
        <w:rPr>
          <w:b/>
          <w:color w:val="000000"/>
          <w:lang w:val="de-DE"/>
        </w:rPr>
        <w:t>stik</w:t>
      </w:r>
    </w:p>
    <w:p w:rsidR="00000000" w:rsidRDefault="00000000">
      <w:pPr>
        <w:pStyle w:val="SingleTxt"/>
        <w:ind w:firstLine="0"/>
        <w:jc w:val="left"/>
        <w:rPr>
          <w:lang w:val="de-DE"/>
        </w:rPr>
      </w:pPr>
      <w:r>
        <w:rPr>
          <w:b/>
          <w:lang w:val="de-DE"/>
        </w:rPr>
        <w:t>6. Familienbericht:</w:t>
      </w:r>
      <w:r>
        <w:rPr>
          <w:lang w:val="de-DE"/>
        </w:rPr>
        <w:t xml:space="preserve"> Familien ausländischer Herkunft in Deutschland: Leistungen – Belastungen – Herausforderungen</w:t>
      </w:r>
    </w:p>
    <w:p w:rsidR="00000000" w:rsidRDefault="00000000">
      <w:pPr>
        <w:pStyle w:val="SingleTxt"/>
        <w:ind w:firstLine="0"/>
        <w:jc w:val="left"/>
        <w:rPr>
          <w:lang w:val="de-DE"/>
        </w:rPr>
      </w:pPr>
      <w:r>
        <w:rPr>
          <w:b/>
          <w:lang w:val="de-DE"/>
        </w:rPr>
        <w:t>Familien im Zentrum.</w:t>
      </w:r>
      <w:r>
        <w:rPr>
          <w:lang w:val="de-DE"/>
        </w:rPr>
        <w:t xml:space="preserve"> Bestandsaufnahme und Perspektiven der Familienpolitik der Bundesr</w:t>
      </w:r>
      <w:r>
        <w:rPr>
          <w:lang w:val="de-DE"/>
        </w:rPr>
        <w:t>e</w:t>
      </w:r>
      <w:r>
        <w:rPr>
          <w:lang w:val="de-DE"/>
        </w:rPr>
        <w:t xml:space="preserve">gierung </w:t>
      </w:r>
    </w:p>
    <w:p w:rsidR="00000000" w:rsidRDefault="00000000">
      <w:pPr>
        <w:pStyle w:val="SingleTxt"/>
        <w:ind w:firstLine="0"/>
        <w:jc w:val="left"/>
        <w:rPr>
          <w:color w:val="000000"/>
          <w:lang w:val="de-DE"/>
        </w:rPr>
      </w:pPr>
      <w:r>
        <w:rPr>
          <w:b/>
          <w:color w:val="000000"/>
          <w:lang w:val="de-DE"/>
        </w:rPr>
        <w:t>Behinderte Eltern:</w:t>
      </w:r>
      <w:r>
        <w:rPr>
          <w:color w:val="000000"/>
          <w:lang w:val="de-DE"/>
        </w:rPr>
        <w:t xml:space="preserve"> (Fast) unsichtbar und doch überall (№ 7/2000)</w:t>
      </w:r>
    </w:p>
    <w:p w:rsidR="00000000" w:rsidRDefault="00000000">
      <w:pPr>
        <w:pStyle w:val="SingleTxt"/>
        <w:ind w:firstLine="0"/>
        <w:jc w:val="left"/>
        <w:rPr>
          <w:lang w:val="de-DE"/>
        </w:rPr>
      </w:pPr>
      <w:r>
        <w:rPr>
          <w:b/>
          <w:color w:val="000000"/>
          <w:lang w:val="de-DE"/>
        </w:rPr>
        <w:t>Wie leben die Deutschen?</w:t>
      </w:r>
      <w:r>
        <w:rPr>
          <w:b/>
          <w:color w:val="000000"/>
          <w:lang w:val="de-DE"/>
        </w:rPr>
        <w:br/>
      </w:r>
      <w:r>
        <w:rPr>
          <w:lang w:val="de-DE"/>
        </w:rPr>
        <w:t>Lebensformen, Familien- und Haushaltsstrukturen in Deutschland – Специальная оценка с использованием данных микропереписи 1998 года (№ 10/2000)</w:t>
      </w:r>
    </w:p>
    <w:p w:rsidR="00000000" w:rsidRDefault="00000000">
      <w:pPr>
        <w:pStyle w:val="SingleTxt"/>
        <w:ind w:firstLine="0"/>
        <w:jc w:val="left"/>
        <w:rPr>
          <w:lang w:val="de-DE"/>
        </w:rPr>
      </w:pPr>
      <w:r>
        <w:rPr>
          <w:b/>
          <w:snapToGrid w:val="0"/>
          <w:lang w:val="de-DE"/>
        </w:rPr>
        <w:t>Familienselbsthilfe und ihr Potenzial für eine Reformpolitik von "unten"</w:t>
      </w:r>
      <w:r>
        <w:rPr>
          <w:b/>
          <w:snapToGrid w:val="0"/>
          <w:lang w:val="de-DE"/>
        </w:rPr>
        <w:br/>
      </w:r>
      <w:r>
        <w:rPr>
          <w:lang w:val="de-DE"/>
        </w:rPr>
        <w:t>Последствия и выгоды семейной самопомощи для человека, семьи и общества (№ 15/2001)</w:t>
      </w:r>
    </w:p>
    <w:p w:rsidR="00000000" w:rsidRDefault="00000000">
      <w:pPr>
        <w:pStyle w:val="SingleTxt"/>
        <w:ind w:firstLine="0"/>
        <w:jc w:val="left"/>
        <w:rPr>
          <w:lang w:val="de-DE"/>
        </w:rPr>
      </w:pPr>
      <w:r>
        <w:rPr>
          <w:b/>
          <w:lang w:val="de-DE"/>
        </w:rPr>
        <w:t xml:space="preserve">Entwicklung von Beratungskriterien für die Beratung Schwangerer bei zu erwartender Behinderung des Kindes – Modellprojekt. </w:t>
      </w:r>
      <w:r>
        <w:rPr>
          <w:lang w:val="de-DE"/>
        </w:rPr>
        <w:t>Резюме результатов (№ 16/2002)</w:t>
      </w:r>
    </w:p>
    <w:p w:rsidR="00000000" w:rsidRDefault="00000000">
      <w:pPr>
        <w:pStyle w:val="SingleTxt"/>
        <w:ind w:firstLine="0"/>
        <w:jc w:val="left"/>
        <w:rPr>
          <w:lang w:val="de-DE"/>
        </w:rPr>
      </w:pPr>
      <w:r>
        <w:rPr>
          <w:b/>
          <w:color w:val="000000"/>
          <w:lang w:val="de-DE"/>
        </w:rPr>
        <w:t xml:space="preserve">Mein Papa und ich – </w:t>
      </w:r>
      <w:r>
        <w:rPr>
          <w:color w:val="000000"/>
          <w:lang w:val="de-DE"/>
        </w:rPr>
        <w:t>Ein Vater-Kind-Ratgeber</w:t>
      </w:r>
      <w:r>
        <w:rPr>
          <w:color w:val="000000"/>
          <w:lang w:val="de-DE"/>
        </w:rPr>
        <w:br/>
      </w:r>
      <w:r>
        <w:rPr>
          <w:lang w:val="de-DE"/>
        </w:rPr>
        <w:t xml:space="preserve">(опубликовано в сотрудничестве с </w:t>
      </w:r>
      <w:r>
        <w:rPr>
          <w:color w:val="000000"/>
          <w:lang w:val="de-DE"/>
        </w:rPr>
        <w:t>Kinder e.V.) ред. 2002</w:t>
      </w:r>
      <w:r>
        <w:rPr>
          <w:color w:val="000000"/>
          <w:lang w:val="de-DE"/>
        </w:rPr>
        <w:br/>
      </w:r>
      <w:r>
        <w:rPr>
          <w:lang w:val="de-DE"/>
        </w:rPr>
        <w:t>Материалы кампании "Mehr Spielraum für Väter", информационный стенд, брошюра, плакат, видеокассета, аудиокассета, компакт-диск</w:t>
      </w:r>
    </w:p>
    <w:p w:rsidR="00000000" w:rsidRDefault="00000000">
      <w:pPr>
        <w:pStyle w:val="H4"/>
        <w:rPr>
          <w:lang w:val="de-DE"/>
        </w:rPr>
      </w:pPr>
      <w:bookmarkStart w:id="926" w:name="_Toc44113903"/>
      <w:bookmarkStart w:id="927" w:name="_Toc44114412"/>
      <w:bookmarkStart w:id="928" w:name="_Toc44116094"/>
      <w:r>
        <w:rPr>
          <w:lang w:val="de-DE"/>
        </w:rPr>
        <w:t>Образование (пособия, консультации)</w:t>
      </w:r>
      <w:bookmarkEnd w:id="926"/>
      <w:bookmarkEnd w:id="927"/>
      <w:bookmarkEnd w:id="928"/>
    </w:p>
    <w:p w:rsidR="00000000" w:rsidRDefault="00000000">
      <w:pPr>
        <w:pStyle w:val="SingleTxt"/>
        <w:ind w:firstLine="0"/>
        <w:jc w:val="left"/>
        <w:rPr>
          <w:lang w:val="de-DE"/>
        </w:rPr>
      </w:pPr>
      <w:r>
        <w:rPr>
          <w:b/>
          <w:lang w:val="de-DE"/>
        </w:rPr>
        <w:t>Пособие по уходу за ребенком, отпуск по уходу за ребенком</w:t>
      </w:r>
      <w:r>
        <w:br/>
      </w:r>
      <w:r>
        <w:rPr>
          <w:lang w:val="de-DE"/>
        </w:rPr>
        <w:t>Информация о старом Федеральном законе о пособиях по уходу за детьми, которые выплачиваются родителям, чьи дети родились до 31 декабря 2000 года</w:t>
      </w:r>
    </w:p>
    <w:p w:rsidR="00000000" w:rsidRDefault="00000000">
      <w:pPr>
        <w:pStyle w:val="SingleTxt"/>
        <w:ind w:firstLine="0"/>
        <w:jc w:val="left"/>
        <w:rPr>
          <w:lang w:val="de-DE"/>
        </w:rPr>
      </w:pPr>
      <w:r>
        <w:rPr>
          <w:b/>
          <w:lang w:val="de-DE"/>
        </w:rPr>
        <w:t>Erziehungsgeld</w:t>
      </w:r>
      <w:r>
        <w:rPr>
          <w:lang w:val="de-DE"/>
        </w:rPr>
        <w:t xml:space="preserve">, </w:t>
      </w:r>
      <w:r>
        <w:rPr>
          <w:b/>
          <w:lang w:val="de-DE"/>
        </w:rPr>
        <w:t>Elternzeit</w:t>
      </w:r>
      <w:r>
        <w:rPr>
          <w:b/>
        </w:rPr>
        <w:br/>
      </w:r>
      <w:r>
        <w:rPr>
          <w:lang w:val="de-DE"/>
        </w:rPr>
        <w:t>Новый Федеральный закон о пособиях по уходу за детьми для родителей, чьи дети родились после 2001 года</w:t>
      </w:r>
    </w:p>
    <w:p w:rsidR="00000000" w:rsidRDefault="00000000">
      <w:pPr>
        <w:pStyle w:val="SingleTxt"/>
        <w:ind w:firstLine="0"/>
        <w:jc w:val="left"/>
        <w:rPr>
          <w:lang w:val="de-DE"/>
        </w:rPr>
      </w:pPr>
      <w:r>
        <w:rPr>
          <w:b/>
          <w:color w:val="000000"/>
          <w:lang w:val="de-DE"/>
        </w:rPr>
        <w:t>Gesetzliche Bestimmungen § 218</w:t>
      </w:r>
      <w:r>
        <w:rPr>
          <w:b/>
          <w:color w:val="000000"/>
        </w:rPr>
        <w:br/>
      </w:r>
      <w:r>
        <w:rPr>
          <w:lang w:val="de-DE"/>
        </w:rPr>
        <w:t>Информация для женщин, семей, консультационных учреждений и врачей о Законе о поправках к Закону о помощи беременным женщинам и семьям (Schwangeren- und Familien</w:t>
      </w:r>
      <w:r>
        <w:rPr>
          <w:lang w:val="de-DE"/>
        </w:rPr>
        <w:softHyphen/>
        <w:t>hilfeänderungs</w:t>
      </w:r>
      <w:r>
        <w:rPr>
          <w:lang w:val="de-DE"/>
        </w:rPr>
        <w:softHyphen/>
        <w:t>gesetz) (SFHÄndG 1995)</w:t>
      </w:r>
    </w:p>
    <w:p w:rsidR="00000000" w:rsidRDefault="00000000">
      <w:pPr>
        <w:pStyle w:val="SingleTxt"/>
        <w:ind w:firstLine="0"/>
        <w:jc w:val="left"/>
        <w:rPr>
          <w:b/>
          <w:color w:val="000000"/>
          <w:lang w:val="de-DE"/>
        </w:rPr>
      </w:pPr>
      <w:r>
        <w:rPr>
          <w:b/>
          <w:color w:val="000000"/>
          <w:lang w:val="de-DE"/>
        </w:rPr>
        <w:t>Kindergeld 2002</w:t>
      </w:r>
    </w:p>
    <w:p w:rsidR="00000000" w:rsidRDefault="00000000">
      <w:pPr>
        <w:pStyle w:val="SingleTxt"/>
        <w:ind w:firstLine="0"/>
        <w:jc w:val="left"/>
        <w:rPr>
          <w:lang w:val="de-DE"/>
        </w:rPr>
      </w:pPr>
      <w:r>
        <w:rPr>
          <w:b/>
          <w:lang w:val="de-DE"/>
        </w:rPr>
        <w:t>Mutterschutzgesetz</w:t>
      </w:r>
      <w:r>
        <w:rPr>
          <w:b/>
        </w:rPr>
        <w:br/>
      </w:r>
      <w:r>
        <w:rPr>
          <w:lang w:val="de-DE"/>
        </w:rPr>
        <w:t>Руководство по осуществлению Закона об охране материнства</w:t>
      </w:r>
    </w:p>
    <w:p w:rsidR="00000000" w:rsidRDefault="00000000">
      <w:pPr>
        <w:pStyle w:val="SingleTxt"/>
        <w:ind w:firstLine="0"/>
        <w:jc w:val="left"/>
        <w:rPr>
          <w:b/>
          <w:lang w:val="de-DE"/>
        </w:rPr>
      </w:pPr>
      <w:bookmarkStart w:id="929" w:name="_Toc3625662"/>
      <w:r>
        <w:rPr>
          <w:b/>
          <w:lang w:val="de-DE"/>
        </w:rPr>
        <w:t>Die neue Beistandschaft</w:t>
      </w:r>
      <w:bookmarkEnd w:id="929"/>
    </w:p>
    <w:p w:rsidR="00000000" w:rsidRDefault="00000000">
      <w:pPr>
        <w:pStyle w:val="SingleTxt"/>
        <w:ind w:firstLine="0"/>
        <w:jc w:val="left"/>
        <w:rPr>
          <w:lang w:val="de-DE"/>
        </w:rPr>
      </w:pPr>
      <w:r>
        <w:rPr>
          <w:b/>
          <w:color w:val="000000"/>
          <w:lang w:val="de-DE"/>
        </w:rPr>
        <w:t>Das neue Kindschaftsrecht</w:t>
      </w:r>
      <w:r>
        <w:rPr>
          <w:b/>
          <w:color w:val="000000"/>
        </w:rPr>
        <w:br/>
      </w:r>
      <w:r>
        <w:rPr>
          <w:lang w:val="de-DE"/>
        </w:rPr>
        <w:t>Совместная брошюра, выпущенная федеральным министерством юстиции и федеральным министерством по делам семьи, престарелых, женщин и молодежи</w:t>
      </w:r>
    </w:p>
    <w:p w:rsidR="00000000" w:rsidRDefault="00000000">
      <w:pPr>
        <w:pStyle w:val="SingleTxt"/>
        <w:ind w:firstLine="0"/>
        <w:jc w:val="left"/>
        <w:rPr>
          <w:lang w:val="de-DE"/>
        </w:rPr>
      </w:pPr>
      <w:r>
        <w:rPr>
          <w:b/>
          <w:lang w:val="de-DE"/>
        </w:rPr>
        <w:t>Praxis der Kinderpsychologie und Kinderpsychiatrie</w:t>
      </w:r>
      <w:r>
        <w:rPr>
          <w:b/>
          <w:lang w:val="de-DE"/>
        </w:rPr>
        <w:br/>
      </w:r>
      <w:r>
        <w:rPr>
          <w:lang w:val="de-DE"/>
        </w:rPr>
        <w:t>Результаты психоанализа, психология и семейная терапия, ред. 9/10/01</w:t>
      </w:r>
    </w:p>
    <w:p w:rsidR="00000000" w:rsidRDefault="00000000">
      <w:pPr>
        <w:pStyle w:val="SingleTxt"/>
        <w:ind w:firstLine="0"/>
        <w:jc w:val="left"/>
        <w:rPr>
          <w:b/>
          <w:lang w:val="de-DE"/>
        </w:rPr>
      </w:pPr>
      <w:bookmarkStart w:id="930" w:name="_Toc3625660"/>
      <w:r>
        <w:rPr>
          <w:b/>
          <w:lang w:val="de-DE"/>
        </w:rPr>
        <w:t>Staatliche Hilfen für Familien – wann, wo, wie,</w:t>
      </w:r>
      <w:bookmarkEnd w:id="930"/>
    </w:p>
    <w:p w:rsidR="00000000" w:rsidRDefault="00000000">
      <w:pPr>
        <w:pStyle w:val="SingleTxt"/>
        <w:ind w:firstLine="0"/>
        <w:jc w:val="left"/>
        <w:rPr>
          <w:lang w:val="de-DE"/>
        </w:rPr>
      </w:pPr>
      <w:r>
        <w:rPr>
          <w:b/>
          <w:color w:val="000000"/>
          <w:lang w:val="de-DE"/>
        </w:rPr>
        <w:t>Mehr Respekt vor Kindern</w:t>
      </w:r>
    </w:p>
    <w:p w:rsidR="00000000" w:rsidRDefault="00000000">
      <w:pPr>
        <w:pStyle w:val="SingleTxt"/>
        <w:tabs>
          <w:tab w:val="clear" w:pos="1267"/>
          <w:tab w:val="clear" w:pos="1742"/>
          <w:tab w:val="left" w:pos="1701"/>
        </w:tabs>
        <w:ind w:left="1276" w:hanging="12"/>
        <w:jc w:val="left"/>
        <w:rPr>
          <w:lang w:val="de-DE"/>
        </w:rPr>
      </w:pPr>
      <w:r>
        <w:rPr>
          <w:b/>
          <w:lang w:val="de-DE"/>
        </w:rPr>
        <w:t>Информационная брошюра</w:t>
      </w:r>
      <w:r>
        <w:rPr>
          <w:lang w:val="de-DE"/>
        </w:rPr>
        <w:t xml:space="preserve"> по вопросам образования, свободного от насилия. </w:t>
      </w:r>
      <w:r>
        <w:t>-</w:t>
      </w:r>
      <w:r>
        <w:tab/>
      </w:r>
      <w:r>
        <w:rPr>
          <w:lang w:val="de-DE"/>
        </w:rPr>
        <w:t>Беседы с экспертами, доклады, мероприятия, помощь</w:t>
      </w:r>
    </w:p>
    <w:p w:rsidR="00000000" w:rsidRDefault="00000000">
      <w:pPr>
        <w:pStyle w:val="SingleTxt"/>
        <w:tabs>
          <w:tab w:val="clear" w:pos="1267"/>
        </w:tabs>
        <w:ind w:left="1701" w:hanging="437"/>
        <w:jc w:val="left"/>
        <w:rPr>
          <w:lang w:val="de-DE"/>
        </w:rPr>
      </w:pPr>
      <w:r>
        <w:rPr>
          <w:lang w:val="de-DE"/>
        </w:rPr>
        <w:t>-</w:t>
      </w:r>
      <w:r>
        <w:rPr>
          <w:b/>
          <w:lang w:val="de-DE"/>
        </w:rPr>
        <w:tab/>
        <w:t>Листовка</w:t>
      </w:r>
      <w:r>
        <w:rPr>
          <w:lang w:val="de-DE"/>
        </w:rPr>
        <w:t xml:space="preserve"> по вопросам образования, свободного от насилия (опубликована в сотрудничестве с федеральным министерством юстиции), с информацией для родителей по вопросам образования, свободного от насилия</w:t>
      </w:r>
    </w:p>
    <w:p w:rsidR="00000000" w:rsidRDefault="00000000">
      <w:pPr>
        <w:pStyle w:val="SingleTxt"/>
        <w:ind w:firstLine="0"/>
        <w:jc w:val="left"/>
        <w:rPr>
          <w:lang w:val="de-DE"/>
        </w:rPr>
      </w:pPr>
      <w:r>
        <w:rPr>
          <w:b/>
          <w:color w:val="000000"/>
          <w:lang w:val="de-DE"/>
        </w:rPr>
        <w:t>Gewaltfreies Erziehen in Familien – Schritte der Veränderung</w:t>
      </w:r>
      <w:r>
        <w:rPr>
          <w:b/>
          <w:color w:val="000000"/>
        </w:rPr>
        <w:br/>
      </w:r>
      <w:r>
        <w:rPr>
          <w:lang w:val="de-DE"/>
        </w:rPr>
        <w:t>Материалы специальной конференции федерального министерства по делам семьи, престарелых, женщин и молодежи и Немецкого института молодежи, состоявшейся 21-22 марта 2000 года в Берлине (№ 8/2000)</w:t>
      </w:r>
    </w:p>
    <w:p w:rsidR="00000000" w:rsidRDefault="00000000">
      <w:pPr>
        <w:pStyle w:val="SingleTxt"/>
        <w:ind w:firstLine="0"/>
        <w:jc w:val="left"/>
      </w:pPr>
      <w:r>
        <w:rPr>
          <w:b/>
          <w:color w:val="000000"/>
          <w:lang w:val="de-DE"/>
        </w:rPr>
        <w:t>Gewaltfreie Erziehung</w:t>
      </w:r>
      <w:r>
        <w:rPr>
          <w:b/>
          <w:color w:val="000000"/>
        </w:rPr>
        <w:br/>
      </w:r>
      <w:r>
        <w:rPr>
          <w:lang w:val="de-DE"/>
        </w:rPr>
        <w:t>Материалы специальной конференции отдела по делам семьи федерального министерства по делам семьи, престарелых, женщин и молодежи, состоявшейся 18-19 мая 2000 года (№ 9/2000)</w:t>
      </w:r>
    </w:p>
    <w:p w:rsidR="00000000" w:rsidRDefault="00000000">
      <w:pPr>
        <w:pStyle w:val="H4"/>
        <w:rPr>
          <w:lang w:val="de-DE"/>
        </w:rPr>
      </w:pPr>
      <w:bookmarkStart w:id="931" w:name="_Toc44113904"/>
      <w:bookmarkStart w:id="932" w:name="_Toc44114413"/>
      <w:bookmarkStart w:id="933" w:name="_Toc44116095"/>
      <w:r>
        <w:rPr>
          <w:lang w:val="de-DE"/>
        </w:rPr>
        <w:t>Одинокие родители</w:t>
      </w:r>
      <w:bookmarkEnd w:id="931"/>
      <w:bookmarkEnd w:id="932"/>
      <w:bookmarkEnd w:id="933"/>
    </w:p>
    <w:p w:rsidR="00000000" w:rsidRDefault="00000000">
      <w:pPr>
        <w:pStyle w:val="SingleTxt"/>
        <w:ind w:firstLine="0"/>
        <w:jc w:val="left"/>
        <w:rPr>
          <w:lang w:val="de-DE"/>
        </w:rPr>
      </w:pPr>
      <w:r>
        <w:rPr>
          <w:b/>
          <w:lang w:val="de-DE"/>
        </w:rPr>
        <w:t>Allein erziehend – Tipps und Informationen</w:t>
      </w:r>
      <w:r>
        <w:rPr>
          <w:b/>
        </w:rPr>
        <w:br/>
      </w:r>
      <w:r>
        <w:rPr>
          <w:lang w:val="de-DE"/>
        </w:rPr>
        <w:t>Ассоциация одиноких матерей и отцов, 14-я редакция 2002 года</w:t>
      </w:r>
    </w:p>
    <w:p w:rsidR="00000000" w:rsidRDefault="00000000">
      <w:pPr>
        <w:pStyle w:val="SingleTxt"/>
        <w:ind w:firstLine="0"/>
        <w:jc w:val="left"/>
        <w:rPr>
          <w:lang w:val="de-DE"/>
        </w:rPr>
      </w:pPr>
      <w:r>
        <w:rPr>
          <w:b/>
          <w:color w:val="000000"/>
          <w:lang w:val="de-DE"/>
        </w:rPr>
        <w:t>Alleinerziehen in Deutschland</w:t>
      </w:r>
      <w:r>
        <w:rPr>
          <w:b/>
          <w:color w:val="000000"/>
        </w:rPr>
        <w:br/>
      </w:r>
      <w:r>
        <w:rPr>
          <w:lang w:val="de-DE"/>
        </w:rPr>
        <w:t>Ресурсы и риски, связанные со стилем жизни</w:t>
      </w:r>
      <w:r>
        <w:br/>
      </w:r>
      <w:r>
        <w:rPr>
          <w:lang w:val="de-DE"/>
        </w:rPr>
        <w:t>Материалы специальной конференции, состоявшейся 23 июня 2000 года, Берлинский университет им. Гумбольдта</w:t>
      </w:r>
    </w:p>
    <w:p w:rsidR="00000000" w:rsidRDefault="00000000">
      <w:pPr>
        <w:pStyle w:val="SingleTxt"/>
        <w:ind w:firstLine="0"/>
        <w:jc w:val="left"/>
      </w:pPr>
      <w:r>
        <w:rPr>
          <w:b/>
          <w:lang w:val="de-DE"/>
        </w:rPr>
        <w:t>Der Unterhaltsvorschuss</w:t>
      </w:r>
      <w:r>
        <w:rPr>
          <w:b/>
        </w:rPr>
        <w:br/>
      </w:r>
      <w:r>
        <w:rPr>
          <w:lang w:val="de-DE"/>
        </w:rPr>
        <w:t>Информация о выплате пособий на содержание и дальнейшей помощи одиноким родителям</w:t>
      </w:r>
    </w:p>
    <w:p w:rsidR="00000000" w:rsidRDefault="00000000">
      <w:pPr>
        <w:pStyle w:val="H4"/>
        <w:rPr>
          <w:lang w:val="de-DE"/>
        </w:rPr>
      </w:pPr>
      <w:bookmarkStart w:id="934" w:name="_Toc44113905"/>
      <w:bookmarkStart w:id="935" w:name="_Toc44114414"/>
      <w:bookmarkStart w:id="936" w:name="_Toc44116096"/>
      <w:r>
        <w:rPr>
          <w:lang w:val="de-DE"/>
        </w:rPr>
        <w:t>Насилие</w:t>
      </w:r>
      <w:bookmarkEnd w:id="934"/>
      <w:bookmarkEnd w:id="935"/>
      <w:bookmarkEnd w:id="936"/>
    </w:p>
    <w:p w:rsidR="00000000" w:rsidRDefault="00000000">
      <w:pPr>
        <w:pStyle w:val="SingleTxt"/>
        <w:ind w:firstLine="0"/>
        <w:jc w:val="left"/>
        <w:rPr>
          <w:color w:val="000000"/>
          <w:lang w:val="de-DE"/>
        </w:rPr>
      </w:pPr>
      <w:r>
        <w:rPr>
          <w:b/>
          <w:color w:val="000000"/>
          <w:lang w:val="de-DE"/>
        </w:rPr>
        <w:t>Frauenhäuser in Deutschland – Handbuch</w:t>
      </w:r>
    </w:p>
    <w:p w:rsidR="00000000" w:rsidRDefault="00000000">
      <w:pPr>
        <w:pStyle w:val="SingleTxt"/>
        <w:ind w:firstLine="0"/>
        <w:jc w:val="left"/>
        <w:rPr>
          <w:lang w:val="de-DE"/>
        </w:rPr>
      </w:pPr>
      <w:r>
        <w:rPr>
          <w:b/>
          <w:color w:val="000000"/>
          <w:lang w:val="de-DE"/>
        </w:rPr>
        <w:t>Frauen handeln in Deutschland</w:t>
      </w:r>
      <w:r>
        <w:rPr>
          <w:b/>
          <w:color w:val="000000"/>
        </w:rPr>
        <w:br/>
      </w:r>
      <w:r>
        <w:rPr>
          <w:lang w:val="de-DE"/>
        </w:rPr>
        <w:t>Женские проекты в Германии, касающиеся проблем, связанных с торговлей женщинами, – материалы</w:t>
      </w:r>
    </w:p>
    <w:p w:rsidR="00000000" w:rsidRDefault="00000000">
      <w:pPr>
        <w:pStyle w:val="SingleTxt"/>
        <w:ind w:firstLine="0"/>
        <w:jc w:val="left"/>
        <w:rPr>
          <w:b/>
          <w:color w:val="000000"/>
          <w:highlight w:val="yellow"/>
          <w:lang w:val="de-DE"/>
        </w:rPr>
      </w:pPr>
      <w:r>
        <w:rPr>
          <w:b/>
          <w:color w:val="000000"/>
          <w:lang w:val="de-DE"/>
        </w:rPr>
        <w:t>Genitale Verstümmelung bei Mädchen und Frauen</w:t>
      </w:r>
    </w:p>
    <w:p w:rsidR="00000000" w:rsidRDefault="00000000">
      <w:pPr>
        <w:pStyle w:val="SingleTxt"/>
        <w:ind w:firstLine="0"/>
        <w:jc w:val="left"/>
        <w:rPr>
          <w:lang w:val="de-DE"/>
        </w:rPr>
      </w:pPr>
      <w:r>
        <w:rPr>
          <w:b/>
          <w:color w:val="000000"/>
          <w:lang w:val="de-DE"/>
        </w:rPr>
        <w:t>Mehr Mut zum Reden</w:t>
      </w:r>
      <w:r>
        <w:rPr>
          <w:b/>
          <w:color w:val="000000"/>
        </w:rPr>
        <w:br/>
      </w:r>
      <w:r>
        <w:rPr>
          <w:lang w:val="de-DE"/>
        </w:rPr>
        <w:t>О женщинах, ставших жертвами жестокого обращения, и их детях</w:t>
      </w:r>
    </w:p>
    <w:p w:rsidR="00000000" w:rsidRDefault="00000000">
      <w:pPr>
        <w:pStyle w:val="SingleTxt"/>
        <w:ind w:firstLine="0"/>
        <w:jc w:val="left"/>
        <w:rPr>
          <w:b/>
          <w:color w:val="000000"/>
          <w:lang w:val="de-DE"/>
        </w:rPr>
      </w:pPr>
      <w:r>
        <w:rPr>
          <w:b/>
          <w:color w:val="000000"/>
          <w:lang w:val="de-DE"/>
        </w:rPr>
        <w:t>Aktionsplan der Bundesregierung zur Bekämpfung von Gewalt gegen Frauen</w:t>
      </w:r>
    </w:p>
    <w:p w:rsidR="00000000" w:rsidRDefault="00000000">
      <w:pPr>
        <w:pStyle w:val="SingleTxt"/>
        <w:ind w:firstLine="0"/>
        <w:jc w:val="left"/>
        <w:rPr>
          <w:b/>
          <w:lang w:val="de-DE"/>
        </w:rPr>
      </w:pPr>
      <w:r>
        <w:rPr>
          <w:b/>
          <w:lang w:val="de-DE"/>
        </w:rPr>
        <w:t>Специальная конференция под названием</w:t>
      </w:r>
      <w:r>
        <w:rPr>
          <w:lang w:val="de-DE"/>
        </w:rPr>
        <w:t xml:space="preserve"> </w:t>
      </w:r>
      <w:r>
        <w:rPr>
          <w:b/>
          <w:lang w:val="de-DE"/>
        </w:rPr>
        <w:t>"Zivilrechtliche Schutzmöglichkeiten bei häuslicher Gewalt"</w:t>
      </w:r>
      <w:r>
        <w:rPr>
          <w:lang w:val="de-DE"/>
        </w:rPr>
        <w:t>, состоявшаяся 11 мая 1999 года в Бонне, материалы (№ 75/2000)</w:t>
      </w:r>
      <w:r>
        <w:rPr>
          <w:lang w:val="de-DE"/>
        </w:rPr>
        <w:br/>
        <w:t xml:space="preserve">Formulare für Frauen zur Beantragung zivilrechtlichen Schutzes nach dem Gewaltschutzgesetz – erstellt vom Berliner Interventionsprojekt gegen häusliche Gewalt </w:t>
      </w:r>
      <w:r>
        <w:rPr>
          <w:b/>
          <w:lang w:val="de-DE"/>
        </w:rPr>
        <w:t>(No. 80/2000))</w:t>
      </w:r>
    </w:p>
    <w:p w:rsidR="00000000" w:rsidRDefault="00000000">
      <w:pPr>
        <w:pStyle w:val="SingleTxt"/>
        <w:ind w:firstLine="0"/>
        <w:jc w:val="left"/>
        <w:rPr>
          <w:lang w:val="de-DE"/>
        </w:rPr>
      </w:pPr>
      <w:r>
        <w:rPr>
          <w:b/>
          <w:lang w:val="de-DE"/>
        </w:rPr>
        <w:t xml:space="preserve">Sorge- und Umgangsrecht bei häuslicher Gewalt: Aktuelle rechtliche Entwicklungen, wissenschaftliche Erkenntnisse und Empfehlungen </w:t>
      </w:r>
      <w:r>
        <w:rPr>
          <w:lang w:val="de-DE"/>
        </w:rPr>
        <w:t>(No. 90/2002)</w:t>
      </w:r>
    </w:p>
    <w:p w:rsidR="00000000" w:rsidRDefault="00000000">
      <w:pPr>
        <w:pStyle w:val="SingleTxt"/>
        <w:ind w:firstLine="0"/>
        <w:jc w:val="left"/>
        <w:rPr>
          <w:lang w:val="de-DE"/>
        </w:rPr>
      </w:pPr>
      <w:r>
        <w:rPr>
          <w:b/>
          <w:lang w:val="de-DE"/>
        </w:rPr>
        <w:t xml:space="preserve">Rahmenbedingungen für polizeiliche / gerichtliche Schutzmaßnahmen bei häuslicher Gewalt </w:t>
      </w:r>
      <w:r>
        <w:rPr>
          <w:lang w:val="de-DE"/>
        </w:rPr>
        <w:t>(No. 91/2002)</w:t>
      </w:r>
    </w:p>
    <w:p w:rsidR="00000000" w:rsidRDefault="00000000">
      <w:pPr>
        <w:pStyle w:val="SingleTxt"/>
        <w:ind w:firstLine="0"/>
        <w:jc w:val="left"/>
        <w:rPr>
          <w:lang w:val="de-DE"/>
        </w:rPr>
      </w:pPr>
      <w:r>
        <w:rPr>
          <w:b/>
          <w:color w:val="000000"/>
          <w:lang w:val="de-DE"/>
        </w:rPr>
        <w:t>Gewalt gegen Frauen hat viele Gesichter</w:t>
      </w:r>
    </w:p>
    <w:p w:rsidR="00000000" w:rsidRDefault="00000000">
      <w:pPr>
        <w:pStyle w:val="SingleTxt"/>
        <w:ind w:firstLine="0"/>
        <w:jc w:val="left"/>
        <w:rPr>
          <w:lang w:val="de-DE"/>
        </w:rPr>
      </w:pPr>
      <w:r>
        <w:rPr>
          <w:lang w:val="de-DE"/>
        </w:rPr>
        <w:t>Брошюра, подготовленная женщинами для женщин</w:t>
      </w:r>
    </w:p>
    <w:p w:rsidR="00000000" w:rsidRDefault="00000000">
      <w:pPr>
        <w:pStyle w:val="SingleTxt"/>
        <w:ind w:firstLine="0"/>
        <w:jc w:val="left"/>
        <w:rPr>
          <w:lang w:val="de-DE"/>
        </w:rPr>
      </w:pPr>
      <w:r>
        <w:rPr>
          <w:b/>
          <w:color w:val="000000"/>
          <w:lang w:val="de-DE"/>
        </w:rPr>
        <w:t xml:space="preserve">Gewalt in Ehe und Partnerschaft – </w:t>
      </w:r>
      <w:r>
        <w:rPr>
          <w:lang w:val="de-DE"/>
        </w:rPr>
        <w:t>Предложения и рекомендации для консультационной работы с женщинами, ставшими жертвами жестокого обращения</w:t>
      </w:r>
    </w:p>
    <w:p w:rsidR="00000000" w:rsidRDefault="00000000">
      <w:pPr>
        <w:pStyle w:val="SingleTxt"/>
        <w:ind w:firstLine="0"/>
        <w:jc w:val="left"/>
        <w:rPr>
          <w:lang w:val="de-DE"/>
        </w:rPr>
      </w:pPr>
      <w:r>
        <w:rPr>
          <w:b/>
          <w:lang w:val="de-DE"/>
        </w:rPr>
        <w:t>Mehr Schutz bei häuslicher Gewalt</w:t>
      </w:r>
      <w:r>
        <w:rPr>
          <w:lang w:val="de-DE"/>
        </w:rPr>
        <w:t> – Информация о новом Законе по защите от насилия</w:t>
      </w:r>
    </w:p>
    <w:p w:rsidR="00000000" w:rsidRDefault="00000000">
      <w:pPr>
        <w:pStyle w:val="SingleTxt"/>
        <w:tabs>
          <w:tab w:val="clear" w:pos="1267"/>
          <w:tab w:val="clear" w:pos="1742"/>
        </w:tabs>
        <w:ind w:left="1843" w:hanging="579"/>
        <w:jc w:val="left"/>
        <w:rPr>
          <w:lang w:val="de-DE"/>
        </w:rPr>
      </w:pPr>
      <w:r>
        <w:rPr>
          <w:lang w:val="de-DE"/>
        </w:rPr>
        <w:t>№ 1:</w:t>
      </w:r>
      <w:r>
        <w:rPr>
          <w:lang w:val="de-DE"/>
        </w:rPr>
        <w:tab/>
      </w:r>
      <w:r>
        <w:rPr>
          <w:b/>
          <w:lang w:val="de-DE"/>
        </w:rPr>
        <w:t xml:space="preserve">Alte Ziele – Neue Wege </w:t>
      </w:r>
      <w:r>
        <w:rPr>
          <w:lang w:val="de-DE"/>
        </w:rPr>
        <w:t>Gewalt gegen Frauen im häuslichen Bereich</w:t>
      </w:r>
      <w:r>
        <w:rPr>
          <w:lang w:val="de-DE"/>
        </w:rPr>
        <w:br/>
        <w:t>Опубликован: BIG e. V. (Берлинской инициативой по борьбе с насилием в отношении женщин), координационным учреждением берлинского проекта по борьбе с насилием в семье</w:t>
      </w:r>
    </w:p>
    <w:p w:rsidR="00000000" w:rsidRDefault="00000000">
      <w:pPr>
        <w:pStyle w:val="SingleTxt"/>
        <w:tabs>
          <w:tab w:val="clear" w:pos="1267"/>
          <w:tab w:val="clear" w:pos="1742"/>
        </w:tabs>
        <w:ind w:left="1843" w:hanging="579"/>
        <w:jc w:val="left"/>
        <w:rPr>
          <w:lang w:val="de-DE"/>
        </w:rPr>
      </w:pPr>
      <w:r>
        <w:rPr>
          <w:lang w:val="de-DE"/>
        </w:rPr>
        <w:t>№ 2:</w:t>
      </w:r>
      <w:r>
        <w:rPr>
          <w:lang w:val="de-DE"/>
        </w:rPr>
        <w:tab/>
      </w:r>
      <w:r>
        <w:rPr>
          <w:b/>
          <w:color w:val="000000"/>
          <w:lang w:val="de-DE"/>
        </w:rPr>
        <w:t>Jetzt erst Recht</w:t>
      </w:r>
      <w:r>
        <w:rPr>
          <w:color w:val="000000"/>
          <w:lang w:val="de-DE"/>
        </w:rPr>
        <w:t> – Rechtliche Rahmenbedingungen effektiver Intervention gegen häusliche Gewalt</w:t>
      </w:r>
      <w:r>
        <w:rPr>
          <w:color w:val="000000"/>
          <w:lang w:val="de-DE"/>
        </w:rPr>
        <w:br/>
      </w:r>
      <w:r>
        <w:rPr>
          <w:lang w:val="de-DE"/>
        </w:rPr>
        <w:t>Опубликован: BIG e. V. (Берлинской инициативой по борьбе с насилием в отношении женщин), координационным учреждением берлинского проекта по борьбе с насилием в семье</w:t>
      </w:r>
    </w:p>
    <w:p w:rsidR="00000000" w:rsidRDefault="00000000">
      <w:pPr>
        <w:pStyle w:val="SingleTxt"/>
        <w:tabs>
          <w:tab w:val="clear" w:pos="1267"/>
          <w:tab w:val="clear" w:pos="1742"/>
        </w:tabs>
        <w:ind w:left="1843" w:hanging="579"/>
        <w:jc w:val="left"/>
        <w:rPr>
          <w:lang w:val="de-DE"/>
        </w:rPr>
      </w:pPr>
      <w:r>
        <w:rPr>
          <w:lang w:val="de-DE"/>
        </w:rPr>
        <w:t>№ 3:</w:t>
      </w:r>
      <w:r>
        <w:rPr>
          <w:lang w:val="de-DE"/>
        </w:rPr>
        <w:tab/>
      </w:r>
      <w:r>
        <w:rPr>
          <w:b/>
          <w:color w:val="000000"/>
          <w:lang w:val="de-DE"/>
        </w:rPr>
        <w:t>Grenzen setzen – verantwortlich machen – Veränderungen ermöglichen – Die Arbeit mit Tätern im Rahmen eines Interventionsprojektes gegen häusliche Gewalt</w:t>
      </w:r>
      <w:r>
        <w:rPr>
          <w:b/>
          <w:color w:val="000000"/>
          <w:lang w:val="de-DE"/>
        </w:rPr>
        <w:br/>
      </w:r>
      <w:r>
        <w:rPr>
          <w:lang w:val="de-DE"/>
        </w:rPr>
        <w:t>Опубликован: BIG e. V. (Берлинской инициативой по борьбе с насилием в отношении женщин), координационным учреждением берлинского проекта по борьбе с насилием в семье</w:t>
      </w:r>
    </w:p>
    <w:p w:rsidR="00000000" w:rsidRDefault="00000000">
      <w:pPr>
        <w:pStyle w:val="SingleTxt"/>
        <w:ind w:firstLine="0"/>
        <w:jc w:val="left"/>
        <w:rPr>
          <w:lang w:val="de-DE"/>
        </w:rPr>
      </w:pPr>
      <w:r>
        <w:rPr>
          <w:b/>
          <w:color w:val="000000"/>
          <w:lang w:val="de-DE"/>
        </w:rPr>
        <w:t>Berliner Interventionsprojekt gegen häusliche Gewalt</w:t>
      </w:r>
      <w:r>
        <w:rPr>
          <w:b/>
          <w:color w:val="000000"/>
          <w:lang w:val="de-DE"/>
        </w:rPr>
        <w:br/>
      </w:r>
      <w:r>
        <w:rPr>
          <w:color w:val="000000"/>
          <w:lang w:val="de-DE"/>
        </w:rPr>
        <w:t xml:space="preserve">Ein neuartiges Projekt gegen Männergewalt an Frauen stellt sich vor </w:t>
      </w:r>
      <w:r>
        <w:rPr>
          <w:color w:val="000000"/>
          <w:lang w:val="de-DE"/>
        </w:rPr>
        <w:br/>
      </w:r>
      <w:r>
        <w:rPr>
          <w:lang w:val="de-DE"/>
        </w:rPr>
        <w:t>BIG e. V. (Берлинская инициатива по борьбе с насилием в отношении женщин), координационное учреждение берлинского проекта по борьбе с насилием в семье</w:t>
      </w:r>
    </w:p>
    <w:p w:rsidR="00000000" w:rsidRDefault="00000000">
      <w:pPr>
        <w:pStyle w:val="H4"/>
        <w:rPr>
          <w:lang w:val="de-DE"/>
        </w:rPr>
      </w:pPr>
      <w:bookmarkStart w:id="937" w:name="_Toc44113906"/>
      <w:bookmarkStart w:id="938" w:name="_Toc44114415"/>
      <w:bookmarkStart w:id="939" w:name="_Toc44116097"/>
      <w:r>
        <w:rPr>
          <w:lang w:val="de-DE"/>
        </w:rPr>
        <w:t>Женщины-инвалиды</w:t>
      </w:r>
      <w:bookmarkEnd w:id="937"/>
      <w:bookmarkEnd w:id="938"/>
      <w:bookmarkEnd w:id="939"/>
    </w:p>
    <w:p w:rsidR="00000000" w:rsidRDefault="00000000">
      <w:pPr>
        <w:pStyle w:val="SingleTxt"/>
        <w:ind w:firstLine="0"/>
        <w:jc w:val="left"/>
        <w:rPr>
          <w:lang w:val="de-DE"/>
        </w:rPr>
      </w:pPr>
      <w:r>
        <w:rPr>
          <w:b/>
          <w:color w:val="000000"/>
          <w:lang w:val="de-DE"/>
        </w:rPr>
        <w:t xml:space="preserve">Frauen mit Behinderung – Leben und Interessen vertreten – LIVE </w:t>
      </w:r>
      <w:r>
        <w:rPr>
          <w:b/>
          <w:color w:val="000000"/>
          <w:lang w:val="de-DE"/>
        </w:rPr>
        <w:br/>
      </w:r>
      <w:r>
        <w:rPr>
          <w:lang w:val="de-DE"/>
        </w:rPr>
        <w:t>Материалы симпозиума, состоявшегося 5-7 мая 1999 года во Фрайбурге-им-Брайсгау</w:t>
      </w:r>
    </w:p>
    <w:p w:rsidR="00000000" w:rsidRDefault="00000000">
      <w:pPr>
        <w:pStyle w:val="SingleTxt"/>
        <w:ind w:firstLine="0"/>
        <w:jc w:val="left"/>
        <w:rPr>
          <w:lang w:val="de-DE"/>
        </w:rPr>
      </w:pPr>
      <w:r>
        <w:rPr>
          <w:b/>
          <w:color w:val="000000"/>
          <w:lang w:val="de-DE"/>
        </w:rPr>
        <w:t>Mit uns ist zu rechnen</w:t>
      </w:r>
      <w:r>
        <w:rPr>
          <w:b/>
          <w:color w:val="000000"/>
          <w:lang w:val="de-DE"/>
        </w:rPr>
        <w:br/>
      </w:r>
      <w:r>
        <w:rPr>
          <w:lang w:val="de-DE"/>
        </w:rPr>
        <w:t>Брошюра с советами для женщин-инвалидов</w:t>
      </w:r>
    </w:p>
    <w:p w:rsidR="00000000" w:rsidRDefault="00000000">
      <w:pPr>
        <w:pStyle w:val="SingleTxt"/>
        <w:ind w:firstLine="0"/>
        <w:jc w:val="left"/>
        <w:rPr>
          <w:lang w:val="de-DE"/>
        </w:rPr>
      </w:pPr>
      <w:r>
        <w:rPr>
          <w:b/>
          <w:snapToGrid w:val="0"/>
          <w:lang w:val="de-DE"/>
        </w:rPr>
        <w:t>Umfrage in Berufsbildungs- und Berufsförderungswerken zur Situation von Frauen und Mädchen mit Behinderungen</w:t>
      </w:r>
      <w:r>
        <w:rPr>
          <w:b/>
          <w:snapToGrid w:val="0"/>
          <w:lang w:val="de-DE"/>
        </w:rPr>
        <w:br/>
      </w:r>
      <w:r>
        <w:rPr>
          <w:lang w:val="de-DE"/>
        </w:rPr>
        <w:t xml:space="preserve">Субпроект федеральной организации "Агентство женщин-инвалидов", осуществляемый под руководством </w:t>
      </w:r>
      <w:r>
        <w:rPr>
          <w:snapToGrid w:val="0"/>
          <w:lang w:val="de-DE"/>
        </w:rPr>
        <w:t>Leben Behinderter–BIFOS– e. V. Berlin/Kassel</w:t>
      </w:r>
    </w:p>
    <w:p w:rsidR="00000000" w:rsidRDefault="00000000">
      <w:pPr>
        <w:pStyle w:val="H4"/>
        <w:rPr>
          <w:lang w:val="de-DE"/>
        </w:rPr>
      </w:pPr>
      <w:bookmarkStart w:id="940" w:name="_Toc44113907"/>
      <w:bookmarkStart w:id="941" w:name="_Toc44114416"/>
      <w:bookmarkStart w:id="942" w:name="_Toc44116098"/>
      <w:r>
        <w:rPr>
          <w:lang w:val="de-DE"/>
        </w:rPr>
        <w:t>Женщины в особых ситуациях</w:t>
      </w:r>
      <w:bookmarkEnd w:id="940"/>
      <w:bookmarkEnd w:id="941"/>
      <w:bookmarkEnd w:id="942"/>
    </w:p>
    <w:p w:rsidR="00000000" w:rsidRDefault="00000000">
      <w:pPr>
        <w:pStyle w:val="SingleTxt"/>
        <w:ind w:firstLine="0"/>
        <w:jc w:val="left"/>
        <w:rPr>
          <w:lang w:val="de-DE"/>
        </w:rPr>
      </w:pPr>
      <w:r>
        <w:rPr>
          <w:b/>
          <w:color w:val="000000"/>
          <w:lang w:val="de-DE"/>
        </w:rPr>
        <w:t xml:space="preserve">Deutschland – ein Paradies für Frauen? – </w:t>
      </w:r>
      <w:r>
        <w:rPr>
          <w:lang w:val="de-DE"/>
        </w:rPr>
        <w:t>Информация для женщин, желающих въехать в Германию</w:t>
      </w:r>
      <w:r>
        <w:rPr>
          <w:lang w:val="de-DE"/>
        </w:rPr>
        <w:br/>
        <w:t>Имеется на немецком, английском, испанском, сербско-хорватском, турецком, румынском, чешском, болгарском, русском, тайском, португальском и польском языках</w:t>
      </w:r>
    </w:p>
    <w:p w:rsidR="00000000" w:rsidRDefault="00000000">
      <w:pPr>
        <w:pStyle w:val="SingleTxt"/>
        <w:ind w:firstLine="0"/>
        <w:jc w:val="left"/>
        <w:rPr>
          <w:lang w:val="de-DE"/>
        </w:rPr>
      </w:pPr>
      <w:r>
        <w:rPr>
          <w:rStyle w:val="Max"/>
          <w:color w:val="000000"/>
          <w:lang w:val="de-DE"/>
        </w:rPr>
        <w:t xml:space="preserve">Aber nie, nie im Leben hab' ich mir vorgestellt, dass so was möglich ist – </w:t>
      </w:r>
      <w:r>
        <w:rPr>
          <w:b/>
          <w:color w:val="000000"/>
          <w:lang w:val="de-DE"/>
        </w:rPr>
        <w:t>Kalendarium des Frauen-Konzentrationslagers Ravensbrück</w:t>
      </w:r>
      <w:r>
        <w:rPr>
          <w:lang w:val="de-DE"/>
        </w:rPr>
        <w:t xml:space="preserve"> </w:t>
      </w:r>
      <w:r>
        <w:rPr>
          <w:lang w:val="de-DE"/>
        </w:rPr>
        <w:br/>
        <w:t>Хронология и тексты по истории женского концентрационного лагеря в Равенсбрюке</w:t>
      </w:r>
      <w:r>
        <w:rPr>
          <w:lang w:val="de-DE"/>
        </w:rPr>
        <w:br/>
        <w:t xml:space="preserve">Авторы: </w:t>
      </w:r>
      <w:r>
        <w:rPr>
          <w:color w:val="000000"/>
          <w:lang w:val="de-DE"/>
        </w:rPr>
        <w:t>G. Philipp &amp; Ch. Schikorra</w:t>
      </w:r>
    </w:p>
    <w:p w:rsidR="00000000" w:rsidRDefault="00000000">
      <w:pPr>
        <w:pStyle w:val="H4"/>
        <w:rPr>
          <w:lang w:val="de-DE"/>
        </w:rPr>
      </w:pPr>
      <w:bookmarkStart w:id="943" w:name="_Toc44113908"/>
      <w:bookmarkStart w:id="944" w:name="_Toc44114417"/>
      <w:bookmarkStart w:id="945" w:name="_Toc44116099"/>
      <w:r>
        <w:rPr>
          <w:lang w:val="de-DE"/>
        </w:rPr>
        <w:t>Пожилые граждане</w:t>
      </w:r>
      <w:bookmarkEnd w:id="943"/>
      <w:bookmarkEnd w:id="944"/>
      <w:bookmarkEnd w:id="945"/>
    </w:p>
    <w:p w:rsidR="00000000" w:rsidRDefault="00000000">
      <w:pPr>
        <w:pStyle w:val="SingleTxt"/>
        <w:ind w:firstLine="0"/>
        <w:jc w:val="left"/>
        <w:rPr>
          <w:lang w:val="de-DE"/>
        </w:rPr>
      </w:pPr>
      <w:r>
        <w:rPr>
          <w:b/>
          <w:lang w:val="de-DE"/>
        </w:rPr>
        <w:t>Altenbericht, Dritter – Alter und Gesellschaft</w:t>
      </w:r>
      <w:r>
        <w:rPr>
          <w:b/>
          <w:lang w:val="de-DE"/>
        </w:rPr>
        <w:br/>
      </w:r>
      <w:r>
        <w:rPr>
          <w:lang w:val="de-DE"/>
        </w:rPr>
        <w:t>Dritter Bericht zur Lage der älteren Generation in der Bundesrepublik Deutschland: Alter und Gesellschaft und Stellungnahme der Bundesregierung, Федеральный парламент Германии, 14-й созыв, документ 14/5130 от 19 января 2001 года</w:t>
      </w:r>
    </w:p>
    <w:p w:rsidR="00000000" w:rsidRDefault="00000000">
      <w:pPr>
        <w:pStyle w:val="SingleTxt"/>
        <w:ind w:firstLine="0"/>
        <w:jc w:val="left"/>
        <w:rPr>
          <w:lang w:val="de-DE"/>
        </w:rPr>
      </w:pPr>
      <w:r>
        <w:rPr>
          <w:b/>
          <w:lang w:val="de-DE"/>
        </w:rPr>
        <w:t>Altenbericht, Vierter – Risiken, Lebensqualität und Versorgung Hochaltriger – unter b</w:t>
      </w:r>
      <w:r>
        <w:rPr>
          <w:b/>
          <w:lang w:val="de-DE"/>
        </w:rPr>
        <w:t>e</w:t>
      </w:r>
      <w:r>
        <w:rPr>
          <w:b/>
          <w:lang w:val="de-DE"/>
        </w:rPr>
        <w:t xml:space="preserve">sonderer Berücksichtigung demenzieller Erkrankungen </w:t>
      </w:r>
      <w:r>
        <w:rPr>
          <w:b/>
          <w:lang w:val="de-DE"/>
        </w:rPr>
        <w:br/>
      </w:r>
      <w:r>
        <w:rPr>
          <w:lang w:val="de-DE"/>
        </w:rPr>
        <w:t>Vierter Bericht zur Lage der älteren Generation in der Bundesrepublik Deutschland Risiken, Lebensqualität und Versorgung Hochaltriger – unter besonderer Berücksichtigung demenzieller Erkrankungen und Stellungnahme der Bundesregierung, Федеральный парламент Германии, 14-й созыв, документ 14/8822 от 18 апреля 2002 года</w:t>
      </w:r>
    </w:p>
    <w:p w:rsidR="00000000" w:rsidRDefault="00000000">
      <w:pPr>
        <w:pStyle w:val="H4"/>
        <w:rPr>
          <w:lang w:val="de-DE"/>
        </w:rPr>
      </w:pPr>
      <w:bookmarkStart w:id="946" w:name="_Toc44113909"/>
      <w:bookmarkStart w:id="947" w:name="_Toc44114418"/>
      <w:bookmarkStart w:id="948" w:name="_Toc44116100"/>
      <w:r>
        <w:rPr>
          <w:lang w:val="de-DE"/>
        </w:rPr>
        <w:t>Политика в отношении детей и молодежи</w:t>
      </w:r>
      <w:bookmarkEnd w:id="946"/>
      <w:bookmarkEnd w:id="947"/>
      <w:bookmarkEnd w:id="948"/>
    </w:p>
    <w:p w:rsidR="00000000" w:rsidRDefault="00000000">
      <w:pPr>
        <w:pStyle w:val="SingleTxt"/>
        <w:ind w:firstLine="0"/>
        <w:jc w:val="left"/>
        <w:rPr>
          <w:lang w:val="de-DE"/>
        </w:rPr>
      </w:pPr>
      <w:r>
        <w:rPr>
          <w:b/>
          <w:lang w:val="de-DE"/>
        </w:rPr>
        <w:t xml:space="preserve">Beteiligungsmöglichkeiten für Kinder und Jugendliche und Freiwilliges Engagement </w:t>
      </w:r>
      <w:r>
        <w:rPr>
          <w:b/>
          <w:lang w:val="de-DE"/>
        </w:rPr>
        <w:br/>
      </w:r>
      <w:r>
        <w:rPr>
          <w:lang w:val="de-DE"/>
        </w:rPr>
        <w:t>Выдержки из запроса парламентских коалиций в федеральном парламенте SPD and BÜNDNIS 90/DIE GRÜNEN "Zukunft gestalten – Kinder und Jugendliche stärken"</w:t>
      </w:r>
    </w:p>
    <w:p w:rsidR="00000000" w:rsidRDefault="00000000">
      <w:pPr>
        <w:pStyle w:val="SingleTxt"/>
        <w:ind w:firstLine="0"/>
        <w:jc w:val="left"/>
        <w:rPr>
          <w:lang w:val="de-DE"/>
        </w:rPr>
      </w:pPr>
      <w:r>
        <w:rPr>
          <w:b/>
          <w:lang w:val="de-DE"/>
        </w:rPr>
        <w:t>Eltern bleiben Eltern</w:t>
      </w:r>
      <w:r>
        <w:rPr>
          <w:lang w:val="de-DE"/>
        </w:rPr>
        <w:t xml:space="preserve"> </w:t>
      </w:r>
      <w:r>
        <w:rPr>
          <w:lang w:val="de-DE"/>
        </w:rPr>
        <w:br/>
        <w:t>Информационные пособия для детей, родители которых разводятся</w:t>
      </w:r>
      <w:r>
        <w:rPr>
          <w:lang w:val="de-DE"/>
        </w:rPr>
        <w:br/>
        <w:t>Опубликованы Deutsche Arbeitsgemeinschaft für Jugend und Eheberatung</w:t>
      </w:r>
    </w:p>
    <w:p w:rsidR="00000000" w:rsidRDefault="00000000">
      <w:pPr>
        <w:pStyle w:val="SingleTxt"/>
        <w:ind w:firstLine="0"/>
        <w:jc w:val="left"/>
        <w:rPr>
          <w:lang w:val="de-DE"/>
        </w:rPr>
      </w:pPr>
      <w:r>
        <w:rPr>
          <w:b/>
          <w:color w:val="000000"/>
          <w:lang w:val="de-DE"/>
        </w:rPr>
        <w:t>Frauen und Männer: Gemeinsame Aufgaben gleichberechtigt wahrnehmen</w:t>
      </w:r>
      <w:r>
        <w:rPr>
          <w:b/>
          <w:color w:val="000000"/>
          <w:lang w:val="de-DE"/>
        </w:rPr>
        <w:br/>
      </w:r>
      <w:r>
        <w:rPr>
          <w:lang w:val="de-DE"/>
        </w:rPr>
        <w:t>Педагогическая листовка</w:t>
      </w:r>
    </w:p>
    <w:p w:rsidR="00000000" w:rsidRDefault="00000000">
      <w:pPr>
        <w:pStyle w:val="SingleTxt"/>
        <w:ind w:firstLine="0"/>
        <w:jc w:val="left"/>
        <w:rPr>
          <w:lang w:val="de-DE"/>
        </w:rPr>
      </w:pPr>
      <w:r>
        <w:rPr>
          <w:b/>
          <w:color w:val="000000"/>
          <w:lang w:val="de-DE"/>
        </w:rPr>
        <w:t>Gemeinsame Aufgabe Gleichberecht</w:t>
      </w:r>
      <w:r>
        <w:rPr>
          <w:b/>
          <w:color w:val="000000"/>
          <w:lang w:val="de-DE"/>
        </w:rPr>
        <w:t>i</w:t>
      </w:r>
      <w:r>
        <w:rPr>
          <w:b/>
          <w:color w:val="000000"/>
          <w:lang w:val="de-DE"/>
        </w:rPr>
        <w:t>gung</w:t>
      </w:r>
      <w:r>
        <w:rPr>
          <w:b/>
          <w:color w:val="000000"/>
          <w:lang w:val="de-DE"/>
        </w:rPr>
        <w:br/>
      </w:r>
      <w:r>
        <w:rPr>
          <w:lang w:val="de-DE"/>
        </w:rPr>
        <w:t>Буклет для молодых людей</w:t>
      </w:r>
    </w:p>
    <w:p w:rsidR="00000000" w:rsidRDefault="00000000">
      <w:pPr>
        <w:pStyle w:val="SingleTxt"/>
        <w:ind w:firstLine="0"/>
        <w:jc w:val="left"/>
        <w:rPr>
          <w:lang w:val="de-DE"/>
        </w:rPr>
      </w:pPr>
      <w:r>
        <w:rPr>
          <w:b/>
          <w:color w:val="000000"/>
          <w:lang w:val="de-DE"/>
        </w:rPr>
        <w:t>Mädchenpolitik</w:t>
      </w:r>
      <w:r>
        <w:rPr>
          <w:b/>
          <w:color w:val="000000"/>
          <w:lang w:val="de-DE"/>
        </w:rPr>
        <w:br/>
      </w:r>
      <w:r>
        <w:rPr>
          <w:lang w:val="de-DE"/>
        </w:rPr>
        <w:t>Ответ федерального правительства на запрос парламентской коалиции Bündnis 90 / Die Grünen (документ федерального парламента)</w:t>
      </w:r>
    </w:p>
    <w:p w:rsidR="00000000" w:rsidRDefault="00000000">
      <w:pPr>
        <w:pStyle w:val="SingleTxt"/>
        <w:ind w:firstLine="0"/>
        <w:jc w:val="left"/>
        <w:rPr>
          <w:lang w:val="de-DE"/>
        </w:rPr>
      </w:pPr>
      <w:r>
        <w:rPr>
          <w:b/>
          <w:lang w:val="de-DE"/>
        </w:rPr>
        <w:t>Sexueller Kindesmissbrauch – Vorbeugen und Helfen</w:t>
      </w:r>
      <w:r>
        <w:rPr>
          <w:lang w:val="de-DE"/>
        </w:rPr>
        <w:t xml:space="preserve"> </w:t>
      </w:r>
      <w:r>
        <w:rPr>
          <w:lang w:val="de-DE"/>
        </w:rPr>
        <w:br/>
        <w:t>(видеофильм и сопутствующая книга) –программа дальнейшей подготовки при помощи различных средств для лиц, работающих с детьми на профессиональной или добровольной основе</w:t>
      </w:r>
    </w:p>
    <w:p w:rsidR="00000000" w:rsidRDefault="00000000">
      <w:pPr>
        <w:pStyle w:val="H4"/>
        <w:rPr>
          <w:lang w:val="de-DE"/>
        </w:rPr>
      </w:pPr>
      <w:bookmarkStart w:id="949" w:name="_Toc44113910"/>
      <w:bookmarkStart w:id="950" w:name="_Toc44114419"/>
      <w:bookmarkStart w:id="951" w:name="_Toc44116101"/>
      <w:r>
        <w:rPr>
          <w:lang w:val="de-DE"/>
        </w:rPr>
        <w:t>Социальное обеспечение, гражданская поддержка</w:t>
      </w:r>
      <w:bookmarkEnd w:id="949"/>
      <w:bookmarkEnd w:id="950"/>
      <w:bookmarkEnd w:id="951"/>
    </w:p>
    <w:p w:rsidR="00000000" w:rsidRDefault="00000000">
      <w:pPr>
        <w:pStyle w:val="SingleTxt"/>
        <w:ind w:firstLine="0"/>
        <w:jc w:val="left"/>
        <w:rPr>
          <w:lang w:val="de-DE"/>
        </w:rPr>
      </w:pPr>
      <w:r>
        <w:rPr>
          <w:b/>
          <w:color w:val="000000"/>
          <w:lang w:val="de-DE"/>
        </w:rPr>
        <w:t>NAKOS Grüne Adressen 1999/2000</w:t>
      </w:r>
      <w:r>
        <w:rPr>
          <w:b/>
          <w:color w:val="000000"/>
          <w:lang w:val="de-DE"/>
        </w:rPr>
        <w:br/>
      </w:r>
      <w:r>
        <w:rPr>
          <w:lang w:val="de-DE"/>
        </w:rPr>
        <w:t>Национальное контактно-информационное агентство для выработки рекомендаций и оказания поддержки группам самопомощи, общенациональные ассоциации самопомощи и соответствующие учреждения</w:t>
      </w:r>
    </w:p>
    <w:p w:rsidR="00000000" w:rsidRDefault="00000000">
      <w:pPr>
        <w:pStyle w:val="SingleTxt"/>
        <w:ind w:firstLine="0"/>
        <w:jc w:val="left"/>
        <w:rPr>
          <w:lang w:val="de-DE"/>
        </w:rPr>
      </w:pPr>
      <w:r>
        <w:rPr>
          <w:b/>
          <w:color w:val="000000"/>
          <w:lang w:val="de-DE"/>
        </w:rPr>
        <w:t>NAKOS Rote Adressen 1999/2000</w:t>
      </w:r>
      <w:r>
        <w:rPr>
          <w:b/>
          <w:color w:val="000000"/>
          <w:lang w:val="de-DE"/>
        </w:rPr>
        <w:br/>
      </w:r>
      <w:r>
        <w:rPr>
          <w:lang w:val="de-DE"/>
        </w:rPr>
        <w:t>Национальное контактно-информационное агентство для выработки рекомендаций и оказания поддержки группам самопомощи, местные/региональные группы самопомощи в Германии</w:t>
      </w:r>
    </w:p>
    <w:p w:rsidR="00000000" w:rsidRDefault="00000000">
      <w:pPr>
        <w:pStyle w:val="SingleTxt"/>
        <w:ind w:firstLine="0"/>
        <w:jc w:val="left"/>
        <w:rPr>
          <w:lang w:val="de-DE"/>
        </w:rPr>
      </w:pPr>
      <w:r>
        <w:rPr>
          <w:b/>
          <w:lang w:val="de-DE"/>
        </w:rPr>
        <w:t>Freiwilliges Engagement als Chance zur Teilhabe aus der Geschlechterperspektive – Auswertungen zu den Tätigkeitsbereichen und Potenzialen der Freiwilligenarbeit auf der Grundlage des Freiwilligensurvey 1999 </w:t>
      </w:r>
      <w:r>
        <w:rPr>
          <w:lang w:val="de-DE"/>
        </w:rPr>
        <w:t>(№ 88/2001)</w:t>
      </w:r>
    </w:p>
    <w:p w:rsidR="00000000" w:rsidRDefault="00000000">
      <w:pPr>
        <w:pStyle w:val="SingleTxt"/>
        <w:ind w:firstLine="0"/>
        <w:jc w:val="left"/>
        <w:rPr>
          <w:b/>
          <w:lang w:val="de-DE"/>
        </w:rPr>
      </w:pPr>
      <w:r>
        <w:rPr>
          <w:b/>
          <w:u w:val="single"/>
          <w:lang w:val="de-DE"/>
        </w:rPr>
        <w:t>Materialien der Bundeszentrale für gesundheitliche Aufklärung</w:t>
      </w:r>
      <w:r>
        <w:rPr>
          <w:b/>
          <w:u w:val="single"/>
          <w:lang w:val="de-DE"/>
        </w:rPr>
        <w:br/>
      </w:r>
      <w:r>
        <w:rPr>
          <w:lang w:val="de-DE"/>
        </w:rPr>
        <w:t xml:space="preserve">Опубликован от имени </w:t>
      </w:r>
      <w:r>
        <w:rPr>
          <w:b/>
          <w:lang w:val="de-DE"/>
        </w:rPr>
        <w:t>федерального министерства по делам семьи, престарелых, женщин и молодежи:</w:t>
      </w:r>
    </w:p>
    <w:p w:rsidR="00000000" w:rsidRDefault="00000000">
      <w:pPr>
        <w:pStyle w:val="SingleTxt"/>
        <w:ind w:firstLine="0"/>
        <w:jc w:val="left"/>
        <w:rPr>
          <w:lang w:val="de-DE"/>
        </w:rPr>
      </w:pPr>
      <w:r>
        <w:rPr>
          <w:lang w:val="de-DE"/>
        </w:rPr>
        <w:t>Форум Sexualaufklärung booklet 4-2001, актуализация гендерной политики</w:t>
      </w:r>
    </w:p>
    <w:p w:rsidR="00000000" w:rsidRDefault="00000000">
      <w:pPr>
        <w:pStyle w:val="H4"/>
        <w:rPr>
          <w:lang w:val="de-DE"/>
        </w:rPr>
      </w:pPr>
      <w:bookmarkStart w:id="952" w:name="_Toc44113911"/>
      <w:bookmarkStart w:id="953" w:name="_Toc44114420"/>
      <w:bookmarkStart w:id="954" w:name="_Toc44116102"/>
      <w:r>
        <w:rPr>
          <w:lang w:val="de-DE"/>
        </w:rPr>
        <w:t>Семья (планирование)</w:t>
      </w:r>
      <w:bookmarkEnd w:id="952"/>
      <w:bookmarkEnd w:id="953"/>
      <w:bookmarkEnd w:id="954"/>
    </w:p>
    <w:p w:rsidR="00000000" w:rsidRDefault="00000000">
      <w:pPr>
        <w:pStyle w:val="SingleTxt"/>
        <w:ind w:firstLine="0"/>
        <w:jc w:val="left"/>
        <w:rPr>
          <w:lang w:val="de-DE"/>
        </w:rPr>
      </w:pPr>
      <w:r>
        <w:rPr>
          <w:b/>
          <w:lang w:val="de-DE"/>
        </w:rPr>
        <w:t>Familienplanung und Lebensläufe von Frauen- Kontinuitäten und Wandel</w:t>
      </w:r>
      <w:r>
        <w:rPr>
          <w:lang w:val="de-DE"/>
        </w:rPr>
        <w:t xml:space="preserve">. </w:t>
      </w:r>
      <w:r>
        <w:rPr>
          <w:lang w:val="de-DE"/>
        </w:rPr>
        <w:br/>
        <w:t>Материалы симпозиума, организованного Федеральным центром медицинского просвещения во Фрайберге 27–29 февраля 2000 года</w:t>
      </w:r>
    </w:p>
    <w:p w:rsidR="00000000" w:rsidRDefault="00000000">
      <w:pPr>
        <w:pStyle w:val="SingleTxt"/>
        <w:ind w:firstLine="0"/>
        <w:jc w:val="left"/>
        <w:rPr>
          <w:lang w:val="de-DE"/>
        </w:rPr>
      </w:pPr>
      <w:r>
        <w:rPr>
          <w:b/>
          <w:lang w:val="de-DE"/>
        </w:rPr>
        <w:t>Wissenschaftliche Grundlagen – Familienplanung</w:t>
      </w:r>
      <w:r>
        <w:rPr>
          <w:lang w:val="de-DE"/>
        </w:rPr>
        <w:t xml:space="preserve"> </w:t>
      </w:r>
      <w:r>
        <w:rPr>
          <w:lang w:val="de-DE"/>
        </w:rPr>
        <w:br/>
        <w:t>Том 13.3 специальной серии под названием "Forschung und Praxis der Sexualaufklärung und Familienplanung"</w:t>
      </w:r>
    </w:p>
    <w:p w:rsidR="00000000" w:rsidRDefault="00000000">
      <w:pPr>
        <w:pStyle w:val="SingleTxt"/>
        <w:ind w:firstLine="0"/>
        <w:jc w:val="left"/>
        <w:rPr>
          <w:lang w:val="de-DE"/>
        </w:rPr>
      </w:pPr>
      <w:r>
        <w:rPr>
          <w:b/>
          <w:lang w:val="de-DE"/>
        </w:rPr>
        <w:t>frauen leben – Eine Studie zu Lebensläufen und Familienplanung</w:t>
      </w:r>
      <w:r>
        <w:rPr>
          <w:lang w:val="de-DE"/>
        </w:rPr>
        <w:t xml:space="preserve"> </w:t>
      </w:r>
      <w:r>
        <w:rPr>
          <w:lang w:val="de-DE"/>
        </w:rPr>
        <w:br/>
        <w:t>Том 19 серии специальных брошюр под названием "Forschung und Praxis der Sexualaufklärung und Familienplanung"</w:t>
      </w:r>
    </w:p>
    <w:p w:rsidR="00000000" w:rsidRDefault="00000000">
      <w:pPr>
        <w:pStyle w:val="SingleTxt"/>
        <w:ind w:firstLine="0"/>
        <w:jc w:val="left"/>
        <w:rPr>
          <w:lang w:val="de-DE"/>
        </w:rPr>
      </w:pPr>
      <w:r>
        <w:rPr>
          <w:lang w:val="de-DE"/>
        </w:rPr>
        <w:t>Брошюра для форума по вопросам полового воспитания и планирования семьи 1-1999 </w:t>
      </w:r>
      <w:r>
        <w:rPr>
          <w:b/>
          <w:lang w:val="de-DE"/>
        </w:rPr>
        <w:t>Familienplanung</w:t>
      </w:r>
    </w:p>
    <w:p w:rsidR="00000000" w:rsidRDefault="00000000">
      <w:pPr>
        <w:pStyle w:val="SingleTxt"/>
        <w:ind w:firstLine="0"/>
        <w:jc w:val="left"/>
        <w:rPr>
          <w:lang w:val="de-DE"/>
        </w:rPr>
      </w:pPr>
      <w:r>
        <w:rPr>
          <w:lang w:val="de-DE"/>
        </w:rPr>
        <w:t>Брошюра для форума по вопросам полового воспитания 1-2001 </w:t>
      </w:r>
      <w:r>
        <w:rPr>
          <w:b/>
          <w:lang w:val="de-DE"/>
        </w:rPr>
        <w:t>Jugendliche Schwangere und Mütter</w:t>
      </w:r>
    </w:p>
    <w:p w:rsidR="00000000" w:rsidRDefault="00000000">
      <w:pPr>
        <w:pStyle w:val="SingleTxt"/>
        <w:ind w:firstLine="0"/>
        <w:jc w:val="left"/>
        <w:rPr>
          <w:lang w:val="de-DE"/>
        </w:rPr>
      </w:pPr>
      <w:r>
        <w:rPr>
          <w:lang w:val="de-DE"/>
        </w:rPr>
        <w:t>Брошюра для форума по вопросам полового воспитания и планирования семьи 1/2 2001 </w:t>
      </w:r>
      <w:r>
        <w:rPr>
          <w:b/>
          <w:lang w:val="de-DE"/>
        </w:rPr>
        <w:t>Reproduktionsmedizin Gentechnologie</w:t>
      </w:r>
    </w:p>
    <w:p w:rsidR="00000000" w:rsidRDefault="00000000">
      <w:pPr>
        <w:pStyle w:val="SingleTxt"/>
        <w:ind w:firstLine="0"/>
        <w:jc w:val="left"/>
        <w:rPr>
          <w:lang w:val="de-DE"/>
        </w:rPr>
      </w:pPr>
      <w:r>
        <w:rPr>
          <w:b/>
          <w:lang w:val="de-DE"/>
        </w:rPr>
        <w:t>Schwanger? – Informationen für Migrantinnen in Deutschland</w:t>
      </w:r>
      <w:r>
        <w:rPr>
          <w:lang w:val="de-DE"/>
        </w:rPr>
        <w:t xml:space="preserve"> (на немецком/арабском, немецком/английском, немецком/французском, немецком/сербско-хорватском, немецком/турецком языках)</w:t>
      </w:r>
    </w:p>
    <w:p w:rsidR="00000000" w:rsidRDefault="00000000">
      <w:pPr>
        <w:pStyle w:val="SingleTxt"/>
        <w:ind w:firstLine="0"/>
        <w:jc w:val="left"/>
        <w:rPr>
          <w:lang w:val="de-DE"/>
        </w:rPr>
      </w:pPr>
      <w:r>
        <w:rPr>
          <w:b/>
          <w:lang w:val="de-DE"/>
        </w:rPr>
        <w:t xml:space="preserve">Pränataldiagnostik </w:t>
      </w:r>
      <w:r>
        <w:rPr>
          <w:lang w:val="de-DE"/>
        </w:rPr>
        <w:t>Beratung, Methoden, Hilfen листовка, содержащая вводную информацию</w:t>
      </w:r>
    </w:p>
    <w:p w:rsidR="00000000" w:rsidRDefault="00000000">
      <w:pPr>
        <w:pStyle w:val="SingleTxt"/>
        <w:ind w:firstLine="0"/>
        <w:jc w:val="left"/>
        <w:rPr>
          <w:lang w:val="de-DE"/>
        </w:rPr>
      </w:pPr>
      <w:r>
        <w:rPr>
          <w:b/>
          <w:lang w:val="de-DE"/>
        </w:rPr>
        <w:t>Medienset unerfüllter Kinderwunsch</w:t>
      </w:r>
      <w:r>
        <w:rPr>
          <w:lang w:val="de-DE"/>
        </w:rPr>
        <w:t xml:space="preserve"> </w:t>
      </w:r>
    </w:p>
    <w:p w:rsidR="00000000" w:rsidRDefault="00000000">
      <w:pPr>
        <w:pStyle w:val="dot"/>
        <w:tabs>
          <w:tab w:val="clear" w:pos="1685"/>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spacing w:after="0"/>
        <w:ind w:left="5670" w:hanging="4406"/>
        <w:jc w:val="left"/>
        <w:rPr>
          <w:lang w:val="de-DE"/>
        </w:rPr>
      </w:pPr>
      <w:r>
        <w:rPr>
          <w:spacing w:val="-2"/>
          <w:lang w:val="de-DE"/>
        </w:rPr>
        <w:tab/>
      </w:r>
      <w:r>
        <w:rPr>
          <w:lang w:val="de-DE"/>
        </w:rPr>
        <w:t>•</w:t>
      </w:r>
      <w:r>
        <w:rPr>
          <w:lang w:val="de-DE"/>
        </w:rPr>
        <w:tab/>
        <w:t>Ein "kleines Wunder": Die Fortpflanzung</w:t>
      </w:r>
      <w:r>
        <w:rPr>
          <w:lang w:val="de-DE"/>
        </w:rPr>
        <w:tab/>
        <w:t>брошюра на немецком/турецком языках</w:t>
      </w:r>
    </w:p>
    <w:p w:rsidR="00000000" w:rsidRDefault="00000000">
      <w:pPr>
        <w:pStyle w:val="dot"/>
        <w:tabs>
          <w:tab w:val="clear" w:pos="1685"/>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ind w:left="5670" w:hanging="4406"/>
        <w:jc w:val="left"/>
        <w:rPr>
          <w:lang w:val="de-DE"/>
        </w:rPr>
      </w:pPr>
      <w:r>
        <w:rPr>
          <w:lang w:val="de-DE"/>
        </w:rPr>
        <w:tab/>
      </w:r>
      <w:r>
        <w:rPr>
          <w:lang w:val="de-DE"/>
        </w:rPr>
        <w:tab/>
      </w:r>
      <w:r>
        <w:rPr>
          <w:lang w:val="de-DE"/>
        </w:rPr>
        <w:tab/>
        <w:t>видеофильм на немецком/турецком языках</w:t>
      </w:r>
    </w:p>
    <w:p w:rsidR="00000000" w:rsidRDefault="00000000">
      <w:pPr>
        <w:pStyle w:val="dot"/>
        <w:tabs>
          <w:tab w:val="clear" w:pos="1685"/>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spacing w:after="0"/>
        <w:ind w:left="5670" w:hanging="4406"/>
        <w:jc w:val="left"/>
        <w:rPr>
          <w:lang w:val="de-DE"/>
        </w:rPr>
      </w:pPr>
      <w:r>
        <w:rPr>
          <w:lang w:val="de-DE"/>
        </w:rPr>
        <w:tab/>
        <w:t>•</w:t>
      </w:r>
      <w:r>
        <w:rPr>
          <w:lang w:val="de-DE"/>
        </w:rPr>
        <w:tab/>
        <w:t>Wenn ein Traum nicht in Erfüllung geht...</w:t>
      </w:r>
      <w:r>
        <w:rPr>
          <w:lang w:val="de-DE"/>
        </w:rPr>
        <w:tab/>
        <w:t>брошюра на немецком/турецком языках</w:t>
      </w:r>
    </w:p>
    <w:p w:rsidR="00000000" w:rsidRDefault="00000000">
      <w:pPr>
        <w:pStyle w:val="dot"/>
        <w:tabs>
          <w:tab w:val="clear" w:pos="1685"/>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ind w:left="5670" w:hanging="4406"/>
        <w:jc w:val="left"/>
        <w:rPr>
          <w:lang w:val="de-DE"/>
        </w:rPr>
      </w:pPr>
      <w:r>
        <w:rPr>
          <w:lang w:val="de-DE"/>
        </w:rPr>
        <w:tab/>
      </w:r>
      <w:r>
        <w:rPr>
          <w:lang w:val="de-DE"/>
        </w:rPr>
        <w:tab/>
      </w:r>
      <w:r>
        <w:rPr>
          <w:lang w:val="de-DE"/>
        </w:rPr>
        <w:tab/>
        <w:t>видеофильм на немецком/турецком языках</w:t>
      </w:r>
    </w:p>
    <w:p w:rsidR="00000000" w:rsidRDefault="00000000">
      <w:pPr>
        <w:pStyle w:val="dot"/>
        <w:tabs>
          <w:tab w:val="clear" w:pos="1685"/>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spacing w:after="0"/>
        <w:ind w:left="5670" w:hanging="4406"/>
        <w:jc w:val="left"/>
        <w:rPr>
          <w:lang w:val="de-DE"/>
        </w:rPr>
      </w:pPr>
      <w:r>
        <w:tab/>
        <w:t>•</w:t>
      </w:r>
      <w:r>
        <w:tab/>
      </w:r>
      <w:r>
        <w:rPr>
          <w:lang w:val="de-DE"/>
        </w:rPr>
        <w:t>Sehnsucht nach einem Kind</w:t>
      </w:r>
      <w:r>
        <w:rPr>
          <w:lang w:val="de-DE"/>
        </w:rPr>
        <w:tab/>
        <w:t>брошюра на немецком/турецком языках</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ind w:left="5670" w:hanging="4406"/>
        <w:jc w:val="left"/>
        <w:rPr>
          <w:lang w:val="de-DE"/>
        </w:rPr>
      </w:pPr>
      <w:r>
        <w:rPr>
          <w:lang w:val="de-DE"/>
        </w:rPr>
        <w:tab/>
      </w:r>
      <w:r>
        <w:rPr>
          <w:lang w:val="de-DE"/>
        </w:rPr>
        <w:tab/>
      </w:r>
      <w:r>
        <w:rPr>
          <w:lang w:val="de-DE"/>
        </w:rPr>
        <w:tab/>
        <w:t>видеофильм на немецком/турецком языках</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1418"/>
          <w:tab w:val="left" w:pos="5670"/>
        </w:tabs>
        <w:ind w:left="5670" w:hanging="4406"/>
        <w:jc w:val="left"/>
        <w:rPr>
          <w:lang w:val="de-DE"/>
        </w:rPr>
      </w:pPr>
      <w:r>
        <w:tab/>
        <w:t>•</w:t>
      </w:r>
      <w:r>
        <w:tab/>
      </w:r>
      <w:r>
        <w:rPr>
          <w:lang w:val="de-DE"/>
        </w:rPr>
        <w:t>"Warum gerade wir?"</w:t>
      </w:r>
      <w:r>
        <w:rPr>
          <w:lang w:val="de-DE"/>
        </w:rPr>
        <w:tab/>
        <w:t>брошюра на немецком/видеофильм на немецком языке</w:t>
      </w:r>
    </w:p>
    <w:p w:rsidR="00000000" w:rsidRDefault="00000000">
      <w:pPr>
        <w:pStyle w:val="SingleTxt"/>
        <w:ind w:firstLine="0"/>
        <w:jc w:val="left"/>
        <w:rPr>
          <w:lang w:val="de-DE"/>
        </w:rPr>
      </w:pPr>
      <w:r>
        <w:rPr>
          <w:b/>
          <w:lang w:val="de-DE"/>
        </w:rPr>
        <w:t>Sichergehn</w:t>
      </w:r>
      <w:r>
        <w:rPr>
          <w:lang w:val="de-DE"/>
        </w:rPr>
        <w:t xml:space="preserve"> Verhütung für sie und ihn</w:t>
      </w:r>
    </w:p>
    <w:p w:rsidR="00000000" w:rsidRDefault="00000000">
      <w:pPr>
        <w:pStyle w:val="SingleTxt"/>
        <w:ind w:firstLine="0"/>
        <w:jc w:val="left"/>
        <w:rPr>
          <w:lang w:val="de-DE"/>
        </w:rPr>
      </w:pPr>
      <w:r>
        <w:rPr>
          <w:b/>
          <w:lang w:val="de-DE"/>
        </w:rPr>
        <w:t>Partnerschaftlich handeln</w:t>
      </w:r>
      <w:r>
        <w:rPr>
          <w:b/>
          <w:lang w:val="de-DE"/>
        </w:rPr>
        <w:br/>
      </w:r>
      <w:r>
        <w:rPr>
          <w:lang w:val="de-DE"/>
        </w:rPr>
        <w:t>Учебное пособие для инструкторов, используемое в процессе подготовки без отрыва от производства</w:t>
      </w:r>
    </w:p>
    <w:p w:rsidR="00000000" w:rsidRDefault="00000000">
      <w:pPr>
        <w:pStyle w:val="H4"/>
        <w:rPr>
          <w:lang w:val="de-DE"/>
        </w:rPr>
      </w:pPr>
      <w:bookmarkStart w:id="955" w:name="_Toc44113912"/>
      <w:bookmarkStart w:id="956" w:name="_Toc44114421"/>
      <w:bookmarkStart w:id="957" w:name="_Toc44116103"/>
      <w:r>
        <w:rPr>
          <w:lang w:val="de-DE"/>
        </w:rPr>
        <w:t>Девушки</w:t>
      </w:r>
      <w:bookmarkEnd w:id="955"/>
      <w:bookmarkEnd w:id="956"/>
      <w:bookmarkEnd w:id="957"/>
    </w:p>
    <w:p w:rsidR="00000000" w:rsidRDefault="00000000">
      <w:pPr>
        <w:pStyle w:val="SingleTxt"/>
        <w:ind w:firstLine="0"/>
        <w:jc w:val="left"/>
        <w:rPr>
          <w:lang w:val="de-DE"/>
        </w:rPr>
      </w:pPr>
      <w:r>
        <w:rPr>
          <w:lang w:val="de-DE"/>
        </w:rPr>
        <w:t xml:space="preserve">Форум по вопросам полового воспитания, том 3-2000, </w:t>
      </w:r>
      <w:r>
        <w:rPr>
          <w:b/>
          <w:lang w:val="de-DE"/>
        </w:rPr>
        <w:t>Mädchen und Frauen</w:t>
      </w:r>
    </w:p>
    <w:p w:rsidR="00000000" w:rsidRDefault="00000000">
      <w:pPr>
        <w:pStyle w:val="SingleTxt"/>
        <w:ind w:firstLine="0"/>
        <w:jc w:val="left"/>
        <w:rPr>
          <w:lang w:val="de-DE"/>
        </w:rPr>
      </w:pPr>
      <w:r>
        <w:rPr>
          <w:b/>
          <w:lang w:val="de-DE"/>
        </w:rPr>
        <w:t>"meine Sache"</w:t>
      </w:r>
      <w:r>
        <w:rPr>
          <w:lang w:val="de-DE"/>
        </w:rPr>
        <w:t> – Материалы специальной конференции по вопросам полового воспитания девушек</w:t>
      </w:r>
    </w:p>
    <w:p w:rsidR="00000000" w:rsidRDefault="00000000">
      <w:pPr>
        <w:pStyle w:val="SingleTxt"/>
        <w:ind w:firstLine="0"/>
        <w:jc w:val="left"/>
        <w:rPr>
          <w:lang w:val="de-DE"/>
        </w:rPr>
      </w:pPr>
      <w:r>
        <w:rPr>
          <w:b/>
          <w:lang w:val="de-DE"/>
        </w:rPr>
        <w:t xml:space="preserve">Sexualpädagogische Mädchenarbeit – </w:t>
      </w:r>
      <w:r>
        <w:rPr>
          <w:lang w:val="de-DE"/>
        </w:rPr>
        <w:t>серия специальных брошюр: "Forschung und Praxis der Sexualau</w:t>
      </w:r>
      <w:r>
        <w:rPr>
          <w:lang w:val="de-DE"/>
        </w:rPr>
        <w:t>f</w:t>
      </w:r>
      <w:r>
        <w:rPr>
          <w:lang w:val="de-DE"/>
        </w:rPr>
        <w:t>klärung und Familienplanung", том 17.</w:t>
      </w:r>
    </w:p>
    <w:p w:rsidR="00000000" w:rsidRDefault="00000000">
      <w:pPr>
        <w:pStyle w:val="H23"/>
        <w:rPr>
          <w:lang w:val="de-DE"/>
        </w:rPr>
      </w:pPr>
      <w:bookmarkStart w:id="958" w:name="_Toc44113579"/>
      <w:bookmarkStart w:id="959" w:name="_Toc44113913"/>
      <w:bookmarkStart w:id="960" w:name="_Toc44114422"/>
      <w:bookmarkStart w:id="961" w:name="_Toc44115639"/>
      <w:bookmarkStart w:id="962" w:name="_Toc44116104"/>
      <w:r>
        <w:rPr>
          <w:lang w:val="de-DE"/>
        </w:rPr>
        <w:t>5.</w:t>
      </w:r>
      <w:r>
        <w:rPr>
          <w:lang w:val="de-DE"/>
        </w:rPr>
        <w:tab/>
        <w:t>Публикации других федеральных министерств и учреждений по вопросам равенства</w:t>
      </w:r>
      <w:bookmarkEnd w:id="958"/>
      <w:bookmarkEnd w:id="959"/>
      <w:bookmarkEnd w:id="960"/>
      <w:bookmarkEnd w:id="961"/>
      <w:bookmarkEnd w:id="962"/>
    </w:p>
    <w:p w:rsidR="00000000" w:rsidRDefault="00000000">
      <w:pPr>
        <w:pStyle w:val="H4"/>
        <w:rPr>
          <w:lang w:val="de-DE"/>
        </w:rPr>
      </w:pPr>
      <w:bookmarkStart w:id="963" w:name="_Toc44113914"/>
      <w:bookmarkStart w:id="964" w:name="_Toc44114423"/>
      <w:bookmarkStart w:id="965" w:name="_Toc44116105"/>
      <w:r>
        <w:rPr>
          <w:lang w:val="de-DE"/>
        </w:rPr>
        <w:t>Министерство иностранных дел</w:t>
      </w:r>
      <w:bookmarkEnd w:id="963"/>
      <w:bookmarkEnd w:id="964"/>
      <w:bookmarkEnd w:id="965"/>
    </w:p>
    <w:p w:rsidR="00000000" w:rsidRDefault="00000000">
      <w:pPr>
        <w:pStyle w:val="SingleTxt"/>
        <w:ind w:firstLine="0"/>
        <w:jc w:val="left"/>
        <w:rPr>
          <w:lang w:val="de-DE"/>
        </w:rPr>
      </w:pPr>
      <w:r>
        <w:rPr>
          <w:lang w:val="de-DE"/>
        </w:rPr>
        <w:t>Публикуется: министерством иностранных дел, отдел публикаций Werderscher Markt 1, 10117 Berlin,</w:t>
      </w:r>
      <w:r>
        <w:rPr>
          <w:lang w:val="de-DE"/>
        </w:rPr>
        <w:br/>
      </w:r>
      <w:hyperlink r:id="rId33" w:history="1">
        <w:r>
          <w:rPr>
            <w:rStyle w:val="Hyperlink"/>
            <w:lang w:val="de-DE"/>
          </w:rPr>
          <w:t>www.auswaertige</w:t>
        </w:r>
        <w:bookmarkStart w:id="966" w:name="_Hlt5507333"/>
        <w:r>
          <w:rPr>
            <w:rStyle w:val="Hyperlink"/>
            <w:lang w:val="de-DE"/>
          </w:rPr>
          <w:t>s</w:t>
        </w:r>
        <w:bookmarkEnd w:id="966"/>
        <w:r>
          <w:rPr>
            <w:rStyle w:val="Hyperlink"/>
            <w:lang w:val="de-DE"/>
          </w:rPr>
          <w:t>-amt.de</w:t>
        </w:r>
      </w:hyperlink>
      <w:r>
        <w:rPr>
          <w:lang w:val="de-DE"/>
        </w:rPr>
        <w:t xml:space="preserve"> </w:t>
      </w:r>
    </w:p>
    <w:p w:rsidR="00000000" w:rsidRDefault="00000000">
      <w:pPr>
        <w:pStyle w:val="SingleTxt"/>
        <w:ind w:firstLine="0"/>
        <w:jc w:val="left"/>
        <w:rPr>
          <w:lang w:val="de-DE"/>
        </w:rPr>
      </w:pPr>
      <w:r>
        <w:rPr>
          <w:b/>
          <w:lang w:val="de-DE"/>
        </w:rPr>
        <w:t>Drittes Forum Globale Fragen</w:t>
      </w:r>
      <w:r>
        <w:rPr>
          <w:b/>
          <w:lang w:val="de-DE"/>
        </w:rPr>
        <w:br/>
      </w:r>
      <w:r>
        <w:rPr>
          <w:lang w:val="de-DE"/>
        </w:rPr>
        <w:t>Gleichstellung in Politik, Gesellschaft und Wirtschaft, Berlin, 8-9 May 2000</w:t>
      </w:r>
    </w:p>
    <w:p w:rsidR="00000000" w:rsidRDefault="00000000">
      <w:pPr>
        <w:pStyle w:val="SingleTxt"/>
        <w:ind w:firstLine="0"/>
        <w:jc w:val="left"/>
        <w:rPr>
          <w:lang w:val="de-DE"/>
        </w:rPr>
      </w:pPr>
      <w:r>
        <w:rPr>
          <w:b/>
          <w:lang w:val="de-DE"/>
        </w:rPr>
        <w:t>Kinderrechte sind Menschenrechte – Kinder in Europa und Zentralasien</w:t>
      </w:r>
      <w:r>
        <w:rPr>
          <w:b/>
          <w:lang w:val="de-DE"/>
        </w:rPr>
        <w:br/>
      </w:r>
      <w:r>
        <w:rPr>
          <w:lang w:val="de-DE"/>
        </w:rPr>
        <w:t>Материалы конференции, состоявшейся 16-18 мая 2001 года в Берлине</w:t>
      </w:r>
    </w:p>
    <w:p w:rsidR="00000000" w:rsidRDefault="00000000">
      <w:pPr>
        <w:pStyle w:val="SingleTxt"/>
        <w:ind w:firstLine="0"/>
        <w:jc w:val="left"/>
        <w:rPr>
          <w:lang w:val="de-DE"/>
        </w:rPr>
      </w:pPr>
      <w:r>
        <w:rPr>
          <w:b/>
          <w:lang w:val="de-DE"/>
        </w:rPr>
        <w:t>Europa gegen Menschenhandel</w:t>
      </w:r>
      <w:r>
        <w:rPr>
          <w:b/>
          <w:lang w:val="de-DE"/>
        </w:rPr>
        <w:br/>
      </w:r>
      <w:r>
        <w:rPr>
          <w:lang w:val="de-DE"/>
        </w:rPr>
        <w:t>Материалы конференции, состоявшейся 15-16 октября 2001 года в Берлине в сотрудничестве с OSCE BMRDI</w:t>
      </w:r>
    </w:p>
    <w:p w:rsidR="00000000" w:rsidRDefault="00000000">
      <w:pPr>
        <w:pStyle w:val="SingleTxt"/>
        <w:ind w:firstLine="0"/>
        <w:jc w:val="left"/>
        <w:rPr>
          <w:lang w:val="de-DE"/>
        </w:rPr>
      </w:pPr>
      <w:r>
        <w:rPr>
          <w:b/>
          <w:lang w:val="de-DE"/>
        </w:rPr>
        <w:t>Fünfter Menschenrechtsbericht der Bundesregierung</w:t>
      </w:r>
      <w:r>
        <w:rPr>
          <w:lang w:val="de-DE"/>
        </w:rPr>
        <w:t>, 2000</w:t>
      </w:r>
    </w:p>
    <w:p w:rsidR="00000000" w:rsidRDefault="00000000">
      <w:pPr>
        <w:pStyle w:val="SingleTxt"/>
        <w:ind w:firstLine="0"/>
        <w:jc w:val="left"/>
        <w:rPr>
          <w:lang w:val="de-DE"/>
        </w:rPr>
      </w:pPr>
      <w:r>
        <w:rPr>
          <w:b/>
          <w:lang w:val="de-DE"/>
        </w:rPr>
        <w:t>Sechster Menschenrechtsbericht der Bundesregierung</w:t>
      </w:r>
      <w:r>
        <w:rPr>
          <w:lang w:val="de-DE"/>
        </w:rPr>
        <w:t>, 2001</w:t>
      </w:r>
    </w:p>
    <w:p w:rsidR="00000000" w:rsidRDefault="00000000">
      <w:pPr>
        <w:pStyle w:val="H4"/>
        <w:rPr>
          <w:lang w:val="de-DE"/>
        </w:rPr>
      </w:pPr>
      <w:bookmarkStart w:id="967" w:name="_Toc44113915"/>
      <w:bookmarkStart w:id="968" w:name="_Toc44114424"/>
      <w:bookmarkStart w:id="969" w:name="_Toc44116106"/>
      <w:r>
        <w:rPr>
          <w:lang w:val="de-DE"/>
        </w:rPr>
        <w:t>Федеральное министерство труда и социальных вопросов</w:t>
      </w:r>
      <w:bookmarkEnd w:id="967"/>
      <w:bookmarkEnd w:id="968"/>
      <w:bookmarkEnd w:id="969"/>
    </w:p>
    <w:p w:rsidR="00000000" w:rsidRDefault="00000000">
      <w:pPr>
        <w:pStyle w:val="SingleTxt"/>
        <w:ind w:firstLine="0"/>
        <w:jc w:val="left"/>
        <w:rPr>
          <w:lang w:val="de-DE"/>
        </w:rPr>
      </w:pPr>
      <w:r>
        <w:rPr>
          <w:lang w:val="de-DE"/>
        </w:rPr>
        <w:t xml:space="preserve">Публикуется: федеральным министерством труда и социальных дел, секция по связям с общественностью, </w:t>
      </w:r>
      <w:r>
        <w:rPr>
          <w:color w:val="000000"/>
          <w:lang w:val="de-DE"/>
        </w:rPr>
        <w:t>Postfach 500, 53105 Bonn,</w:t>
      </w:r>
      <w:r>
        <w:rPr>
          <w:color w:val="000000"/>
          <w:lang w:val="de-DE"/>
        </w:rPr>
        <w:br/>
      </w:r>
      <w:hyperlink r:id="rId34" w:history="1">
        <w:r>
          <w:rPr>
            <w:rStyle w:val="Hyperlink"/>
            <w:lang w:val="de-DE"/>
          </w:rPr>
          <w:t>www</w:t>
        </w:r>
        <w:bookmarkStart w:id="970" w:name="_Hlt5507347"/>
        <w:r>
          <w:rPr>
            <w:rStyle w:val="Hyperlink"/>
            <w:lang w:val="de-DE"/>
          </w:rPr>
          <w:t>.</w:t>
        </w:r>
        <w:bookmarkEnd w:id="970"/>
        <w:r>
          <w:rPr>
            <w:rStyle w:val="Hyperlink"/>
            <w:lang w:val="de-DE"/>
          </w:rPr>
          <w:t>bma.de</w:t>
        </w:r>
      </w:hyperlink>
    </w:p>
    <w:p w:rsidR="00000000" w:rsidRDefault="00000000">
      <w:pPr>
        <w:pStyle w:val="SingleTxt"/>
        <w:ind w:firstLine="0"/>
        <w:jc w:val="left"/>
        <w:rPr>
          <w:lang w:val="de-DE"/>
        </w:rPr>
      </w:pPr>
      <w:r>
        <w:rPr>
          <w:b/>
          <w:lang w:val="de-DE"/>
        </w:rPr>
        <w:t>Alterssicherung von Frauen in der Europäischen Union und der Schweiz, Regelungen und aktuelle Reformen</w:t>
      </w:r>
      <w:r>
        <w:rPr>
          <w:lang w:val="de-DE"/>
        </w:rPr>
        <w:t>, исследовательский доклад</w:t>
      </w:r>
    </w:p>
    <w:p w:rsidR="00000000" w:rsidRDefault="00000000">
      <w:pPr>
        <w:pStyle w:val="SingleTxt"/>
        <w:ind w:firstLine="0"/>
        <w:jc w:val="left"/>
        <w:rPr>
          <w:lang w:val="de-DE"/>
        </w:rPr>
      </w:pPr>
      <w:r>
        <w:rPr>
          <w:b/>
          <w:lang w:val="de-DE"/>
        </w:rPr>
        <w:t xml:space="preserve">Arbeitsplatz Haushalt, </w:t>
      </w:r>
      <w:r>
        <w:rPr>
          <w:lang w:val="de-DE"/>
        </w:rPr>
        <w:t>справочная брошюра</w:t>
      </w:r>
    </w:p>
    <w:p w:rsidR="00000000" w:rsidRDefault="00000000">
      <w:pPr>
        <w:pStyle w:val="SingleTxt"/>
        <w:ind w:firstLine="0"/>
        <w:jc w:val="left"/>
        <w:rPr>
          <w:lang w:val="de-DE"/>
        </w:rPr>
      </w:pPr>
      <w:r>
        <w:rPr>
          <w:b/>
          <w:lang w:val="de-DE"/>
        </w:rPr>
        <w:t>Der Bildschirm-Arbeitsplatz</w:t>
      </w:r>
    </w:p>
    <w:p w:rsidR="00000000" w:rsidRDefault="00000000">
      <w:pPr>
        <w:pStyle w:val="SingleTxt"/>
        <w:ind w:firstLine="0"/>
        <w:jc w:val="left"/>
        <w:rPr>
          <w:lang w:val="en-US"/>
        </w:rPr>
      </w:pPr>
      <w:r>
        <w:rPr>
          <w:b/>
          <w:lang w:val="en-US"/>
        </w:rPr>
        <w:t>Bericht der Bundesregierung über die soziale Lage der Künstlerinnen und Künstler in Deutschland</w:t>
      </w:r>
    </w:p>
    <w:p w:rsidR="00000000" w:rsidRDefault="00000000">
      <w:pPr>
        <w:pStyle w:val="SingleTxt"/>
        <w:ind w:firstLine="0"/>
        <w:jc w:val="left"/>
        <w:rPr>
          <w:lang w:val="de-DE"/>
        </w:rPr>
      </w:pPr>
      <w:r>
        <w:rPr>
          <w:b/>
          <w:lang w:val="de-DE"/>
        </w:rPr>
        <w:t>Hilfe für Opfer von Gewalttaten</w:t>
      </w:r>
    </w:p>
    <w:p w:rsidR="00000000" w:rsidRDefault="00000000">
      <w:pPr>
        <w:pStyle w:val="SingleTxt"/>
        <w:ind w:firstLine="0"/>
        <w:jc w:val="left"/>
        <w:rPr>
          <w:lang w:val="de-DE"/>
        </w:rPr>
      </w:pPr>
      <w:r>
        <w:rPr>
          <w:b/>
          <w:lang w:val="de-DE"/>
        </w:rPr>
        <w:t xml:space="preserve">Lebenslagen in Deutschland. </w:t>
      </w:r>
      <w:r>
        <w:rPr>
          <w:lang w:val="de-DE"/>
        </w:rPr>
        <w:t>Первый доклад федерального правительства о бедности и богатстве, данные и факты</w:t>
      </w:r>
    </w:p>
    <w:p w:rsidR="00000000" w:rsidRDefault="00000000">
      <w:pPr>
        <w:pStyle w:val="SingleTxt"/>
        <w:ind w:firstLine="0"/>
        <w:jc w:val="left"/>
        <w:rPr>
          <w:lang w:val="de-DE"/>
        </w:rPr>
      </w:pPr>
      <w:r>
        <w:rPr>
          <w:b/>
          <w:lang w:val="de-DE"/>
        </w:rPr>
        <w:t>Leben, lernen, arbeiten in Europa</w:t>
      </w:r>
    </w:p>
    <w:p w:rsidR="00000000" w:rsidRDefault="00000000">
      <w:pPr>
        <w:pStyle w:val="SingleTxt"/>
        <w:ind w:firstLine="0"/>
        <w:jc w:val="left"/>
        <w:rPr>
          <w:lang w:val="de-DE"/>
        </w:rPr>
      </w:pPr>
      <w:r>
        <w:rPr>
          <w:b/>
          <w:lang w:val="de-DE"/>
        </w:rPr>
        <w:t>Ratgeber für behinderte Menschen</w:t>
      </w:r>
    </w:p>
    <w:p w:rsidR="00000000" w:rsidRDefault="00000000">
      <w:pPr>
        <w:pStyle w:val="SingleTxt"/>
        <w:ind w:firstLine="0"/>
        <w:jc w:val="left"/>
        <w:rPr>
          <w:lang w:val="de-DE"/>
        </w:rPr>
      </w:pPr>
      <w:bookmarkStart w:id="971" w:name="_Toc3625655"/>
      <w:r>
        <w:rPr>
          <w:b/>
          <w:lang w:val="de-DE"/>
        </w:rPr>
        <w:t>Sozialhilfe</w:t>
      </w:r>
      <w:bookmarkEnd w:id="971"/>
    </w:p>
    <w:p w:rsidR="00000000" w:rsidRDefault="00000000">
      <w:pPr>
        <w:pStyle w:val="SingleTxt"/>
        <w:ind w:firstLine="0"/>
        <w:jc w:val="left"/>
        <w:rPr>
          <w:lang w:val="de-DE"/>
        </w:rPr>
      </w:pPr>
      <w:r>
        <w:rPr>
          <w:b/>
          <w:lang w:val="de-DE"/>
        </w:rPr>
        <w:t>Soziale Sicherung im Überblick</w:t>
      </w:r>
      <w:r>
        <w:rPr>
          <w:b/>
          <w:lang w:val="de-DE"/>
        </w:rPr>
        <w:br/>
      </w:r>
      <w:r>
        <w:rPr>
          <w:lang w:val="de-DE"/>
        </w:rPr>
        <w:t xml:space="preserve">(имеется также: </w:t>
      </w:r>
      <w:r>
        <w:rPr>
          <w:b/>
          <w:lang w:val="de-DE"/>
        </w:rPr>
        <w:t>Социальное обеспечение</w:t>
      </w:r>
      <w:r>
        <w:rPr>
          <w:lang w:val="de-DE"/>
        </w:rPr>
        <w:t>)</w:t>
      </w:r>
    </w:p>
    <w:p w:rsidR="00000000" w:rsidRDefault="00000000">
      <w:pPr>
        <w:pStyle w:val="SingleTxt"/>
        <w:ind w:firstLine="0"/>
        <w:jc w:val="left"/>
        <w:rPr>
          <w:lang w:val="de-DE"/>
        </w:rPr>
      </w:pPr>
      <w:bookmarkStart w:id="972" w:name="_Toc3625656"/>
      <w:r>
        <w:rPr>
          <w:b/>
          <w:lang w:val="de-DE"/>
        </w:rPr>
        <w:t>Teilzeit – Neue Perspektiven</w:t>
      </w:r>
      <w:bookmarkEnd w:id="972"/>
      <w:r>
        <w:rPr>
          <w:b/>
          <w:lang w:val="de-DE"/>
        </w:rPr>
        <w:t> – Menschen, Motive, Modelle</w:t>
      </w:r>
    </w:p>
    <w:p w:rsidR="00000000" w:rsidRDefault="00000000">
      <w:pPr>
        <w:pStyle w:val="SingleTxt"/>
        <w:ind w:firstLine="0"/>
        <w:jc w:val="left"/>
        <w:rPr>
          <w:b/>
          <w:lang w:val="de-DE"/>
        </w:rPr>
      </w:pPr>
      <w:r>
        <w:rPr>
          <w:b/>
          <w:lang w:val="de-DE"/>
        </w:rPr>
        <w:t>Telearbeit – Ein Leitfaden für flexibles Arbeiten in der Praxis</w:t>
      </w:r>
    </w:p>
    <w:p w:rsidR="00000000" w:rsidRDefault="00000000">
      <w:pPr>
        <w:pStyle w:val="SingleTxt"/>
        <w:ind w:firstLine="0"/>
        <w:jc w:val="left"/>
        <w:rPr>
          <w:lang w:val="de-DE"/>
        </w:rPr>
      </w:pPr>
      <w:r>
        <w:rPr>
          <w:b/>
          <w:lang w:val="de-DE"/>
        </w:rPr>
        <w:t xml:space="preserve">Teilzeit- alles was Recht ist. </w:t>
      </w:r>
      <w:r>
        <w:rPr>
          <w:b/>
          <w:lang w:val="de-DE"/>
        </w:rPr>
        <w:br/>
      </w:r>
      <w:r>
        <w:rPr>
          <w:lang w:val="de-DE"/>
        </w:rPr>
        <w:t>Правовые положения, касающиеся работников и работодателей</w:t>
      </w:r>
    </w:p>
    <w:p w:rsidR="00000000" w:rsidRDefault="00000000">
      <w:pPr>
        <w:pStyle w:val="H4"/>
        <w:rPr>
          <w:lang w:val="de-DE"/>
        </w:rPr>
      </w:pPr>
      <w:bookmarkStart w:id="973" w:name="_Toc44113916"/>
      <w:bookmarkStart w:id="974" w:name="_Toc44114425"/>
      <w:bookmarkStart w:id="975" w:name="_Toc44116107"/>
      <w:r>
        <w:rPr>
          <w:lang w:val="de-DE"/>
        </w:rPr>
        <w:t>Федеральное министерство образования и научных исследований</w:t>
      </w:r>
      <w:bookmarkEnd w:id="973"/>
      <w:bookmarkEnd w:id="974"/>
      <w:bookmarkEnd w:id="975"/>
    </w:p>
    <w:p w:rsidR="00000000" w:rsidRDefault="00000000">
      <w:pPr>
        <w:pStyle w:val="SingleTxt"/>
        <w:ind w:firstLine="0"/>
        <w:jc w:val="left"/>
        <w:rPr>
          <w:lang w:val="de-DE"/>
        </w:rPr>
      </w:pPr>
      <w:r>
        <w:rPr>
          <w:lang w:val="de-DE"/>
        </w:rPr>
        <w:t>Публикуется: федеральным министерством образования и научных исследований, Postfach 300 235, 53182 Bonn</w:t>
      </w:r>
      <w:r>
        <w:rPr>
          <w:lang w:val="de-DE"/>
        </w:rPr>
        <w:br/>
      </w:r>
      <w:hyperlink r:id="rId35" w:history="1">
        <w:r>
          <w:rPr>
            <w:rStyle w:val="Hyperlink"/>
            <w:lang w:val="de-DE"/>
          </w:rPr>
          <w:t>ww</w:t>
        </w:r>
        <w:bookmarkStart w:id="976" w:name="_Hlt5507368"/>
        <w:r>
          <w:rPr>
            <w:rStyle w:val="Hyperlink"/>
            <w:lang w:val="de-DE"/>
          </w:rPr>
          <w:t>w</w:t>
        </w:r>
        <w:bookmarkEnd w:id="976"/>
        <w:r>
          <w:rPr>
            <w:rStyle w:val="Hyperlink"/>
            <w:lang w:val="de-DE"/>
          </w:rPr>
          <w:t>.bmbf.de</w:t>
        </w:r>
      </w:hyperlink>
      <w:r>
        <w:rPr>
          <w:lang w:val="de-DE"/>
        </w:rPr>
        <w:t xml:space="preserve"> </w:t>
      </w:r>
    </w:p>
    <w:p w:rsidR="00000000" w:rsidRDefault="00000000">
      <w:pPr>
        <w:pStyle w:val="SingleTxt"/>
        <w:ind w:firstLine="0"/>
        <w:jc w:val="left"/>
        <w:rPr>
          <w:lang w:val="de-DE"/>
        </w:rPr>
      </w:pPr>
      <w:r>
        <w:rPr>
          <w:b/>
          <w:lang w:val="de-DE"/>
        </w:rPr>
        <w:t>Beruf</w:t>
      </w:r>
      <w:r>
        <w:rPr>
          <w:lang w:val="de-DE"/>
        </w:rPr>
        <w:t xml:space="preserve"> Informatikerin – be.it. </w:t>
      </w:r>
    </w:p>
    <w:p w:rsidR="00000000" w:rsidRDefault="00000000">
      <w:pPr>
        <w:pStyle w:val="SingleTxt"/>
        <w:ind w:firstLine="0"/>
        <w:jc w:val="left"/>
        <w:rPr>
          <w:lang w:val="de-DE"/>
        </w:rPr>
      </w:pPr>
      <w:r>
        <w:rPr>
          <w:b/>
          <w:lang w:val="de-DE"/>
        </w:rPr>
        <w:t>Beruf</w:t>
      </w:r>
      <w:r>
        <w:rPr>
          <w:lang w:val="de-DE"/>
        </w:rPr>
        <w:t xml:space="preserve"> Ingenieurin – be.ing. </w:t>
      </w:r>
    </w:p>
    <w:p w:rsidR="00000000" w:rsidRDefault="00000000">
      <w:pPr>
        <w:pStyle w:val="SingleTxt"/>
        <w:ind w:firstLine="0"/>
        <w:jc w:val="left"/>
        <w:rPr>
          <w:lang w:val="de-DE"/>
        </w:rPr>
      </w:pPr>
      <w:r>
        <w:rPr>
          <w:b/>
          <w:lang w:val="de-DE"/>
        </w:rPr>
        <w:t>Berufliche Chancen für Frauen in unserer Informationsgesellschaft</w:t>
      </w:r>
      <w:r>
        <w:rPr>
          <w:lang w:val="de-DE"/>
        </w:rPr>
        <w:t> – листовка</w:t>
      </w:r>
    </w:p>
    <w:p w:rsidR="00000000" w:rsidRDefault="00000000">
      <w:pPr>
        <w:pStyle w:val="SingleTxt"/>
        <w:ind w:firstLine="0"/>
        <w:jc w:val="left"/>
        <w:rPr>
          <w:lang w:val="de-DE"/>
        </w:rPr>
      </w:pPr>
      <w:r>
        <w:rPr>
          <w:b/>
          <w:lang w:val="de-DE"/>
        </w:rPr>
        <w:t>Europäischer Bildungsraum</w:t>
      </w:r>
      <w:r>
        <w:rPr>
          <w:lang w:val="de-DE"/>
        </w:rPr>
        <w:t> – Grenzenlos Lernen und Arbeiten</w:t>
      </w:r>
    </w:p>
    <w:p w:rsidR="00000000" w:rsidRDefault="00000000">
      <w:pPr>
        <w:pStyle w:val="SingleTxt"/>
        <w:ind w:firstLine="0"/>
        <w:jc w:val="left"/>
        <w:rPr>
          <w:lang w:val="de-DE"/>
        </w:rPr>
      </w:pPr>
      <w:r>
        <w:rPr>
          <w:b/>
          <w:lang w:val="de-DE"/>
        </w:rPr>
        <w:t>EXIST:</w:t>
      </w:r>
      <w:r>
        <w:rPr>
          <w:lang w:val="de-DE"/>
        </w:rPr>
        <w:t xml:space="preserve"> Existenzgründer aus Hochschulen – Stand und Perspektiven</w:t>
      </w:r>
    </w:p>
    <w:p w:rsidR="00000000" w:rsidRDefault="00000000">
      <w:pPr>
        <w:pStyle w:val="SingleTxt"/>
        <w:ind w:firstLine="0"/>
        <w:jc w:val="left"/>
        <w:rPr>
          <w:b/>
          <w:lang w:val="de-DE"/>
        </w:rPr>
      </w:pPr>
      <w:r>
        <w:rPr>
          <w:b/>
          <w:lang w:val="de-DE"/>
        </w:rPr>
        <w:t>Frauen in Bildung und Forschung – Gender Mainstreaming</w:t>
      </w:r>
      <w:r>
        <w:rPr>
          <w:b/>
          <w:lang w:val="de-DE"/>
        </w:rPr>
        <w:br/>
      </w:r>
      <w:r>
        <w:rPr>
          <w:lang w:val="de-DE"/>
        </w:rPr>
        <w:t xml:space="preserve">(имеется также: </w:t>
      </w:r>
      <w:r>
        <w:rPr>
          <w:b/>
          <w:lang w:val="de-DE"/>
        </w:rPr>
        <w:t>Больше женщин на руководящих должностях! Актуализация гендерной проблематики в научно-исследовательских учреждениях)</w:t>
      </w:r>
    </w:p>
    <w:p w:rsidR="00000000" w:rsidRDefault="00000000">
      <w:pPr>
        <w:pStyle w:val="H4"/>
        <w:rPr>
          <w:lang w:val="de-DE"/>
        </w:rPr>
      </w:pPr>
      <w:bookmarkStart w:id="977" w:name="_Toc44113917"/>
      <w:bookmarkStart w:id="978" w:name="_Toc44114426"/>
      <w:bookmarkStart w:id="979" w:name="_Toc44116108"/>
      <w:r>
        <w:rPr>
          <w:lang w:val="de-DE"/>
        </w:rPr>
        <w:t>Федеральное министерство финансов</w:t>
      </w:r>
      <w:bookmarkEnd w:id="977"/>
      <w:bookmarkEnd w:id="978"/>
      <w:bookmarkEnd w:id="979"/>
    </w:p>
    <w:p w:rsidR="00000000" w:rsidRDefault="00000000">
      <w:pPr>
        <w:pStyle w:val="SingleTxt"/>
        <w:ind w:firstLine="0"/>
        <w:jc w:val="left"/>
      </w:pPr>
      <w:r>
        <w:t>Публикуется: федеральным министерством финансов, Wilhelmstr. 97, 10117 Berlin,</w:t>
      </w:r>
      <w:r>
        <w:br/>
      </w:r>
      <w:hyperlink r:id="rId36" w:history="1">
        <w:r>
          <w:rPr>
            <w:rStyle w:val="Hyperlink"/>
          </w:rPr>
          <w:t>www.bund</w:t>
        </w:r>
        <w:bookmarkStart w:id="980" w:name="_Hlt5507479"/>
        <w:r>
          <w:rPr>
            <w:rStyle w:val="Hyperlink"/>
          </w:rPr>
          <w:t>e</w:t>
        </w:r>
        <w:bookmarkEnd w:id="980"/>
        <w:r>
          <w:rPr>
            <w:rStyle w:val="Hyperlink"/>
          </w:rPr>
          <w:t>sfinanzministerium.de</w:t>
        </w:r>
      </w:hyperlink>
      <w:r>
        <w:t xml:space="preserve"> </w:t>
      </w:r>
    </w:p>
    <w:p w:rsidR="00000000" w:rsidRDefault="00000000">
      <w:pPr>
        <w:pStyle w:val="SingleTxt"/>
        <w:ind w:firstLine="0"/>
        <w:jc w:val="left"/>
        <w:rPr>
          <w:b/>
          <w:lang w:val="de-DE"/>
        </w:rPr>
      </w:pPr>
      <w:r>
        <w:rPr>
          <w:b/>
          <w:lang w:val="de-DE"/>
        </w:rPr>
        <w:t>Die neue Familienförderung</w:t>
      </w:r>
    </w:p>
    <w:p w:rsidR="00000000" w:rsidRDefault="00000000">
      <w:pPr>
        <w:pStyle w:val="H4"/>
        <w:rPr>
          <w:lang w:val="de-DE"/>
        </w:rPr>
      </w:pPr>
      <w:bookmarkStart w:id="981" w:name="_Toc44113918"/>
      <w:bookmarkStart w:id="982" w:name="_Toc44114427"/>
      <w:bookmarkStart w:id="983" w:name="_Toc44116109"/>
      <w:r>
        <w:rPr>
          <w:lang w:val="de-DE"/>
        </w:rPr>
        <w:t>Федеральное министерство здравоохранения</w:t>
      </w:r>
      <w:bookmarkEnd w:id="981"/>
      <w:bookmarkEnd w:id="982"/>
      <w:bookmarkEnd w:id="983"/>
    </w:p>
    <w:p w:rsidR="00000000" w:rsidRDefault="00000000">
      <w:pPr>
        <w:pStyle w:val="SingleTxt"/>
        <w:ind w:firstLine="0"/>
        <w:jc w:val="left"/>
        <w:rPr>
          <w:lang w:val="de-DE"/>
        </w:rPr>
      </w:pPr>
      <w:r>
        <w:rPr>
          <w:lang w:val="de-DE"/>
        </w:rPr>
        <w:t>Публикуется: федеральным министерством здравоохранения Am Probsthof 78 a, 53121 Bonn</w:t>
      </w:r>
      <w:r>
        <w:rPr>
          <w:lang w:val="de-DE"/>
        </w:rPr>
        <w:br/>
      </w:r>
      <w:hyperlink r:id="rId37" w:history="1">
        <w:r>
          <w:rPr>
            <w:rStyle w:val="Hyperlink"/>
            <w:lang w:val="de-DE"/>
          </w:rPr>
          <w:t>www.bmgesundh</w:t>
        </w:r>
        <w:bookmarkStart w:id="984" w:name="_Hlt5507523"/>
        <w:r>
          <w:rPr>
            <w:rStyle w:val="Hyperlink"/>
            <w:lang w:val="de-DE"/>
          </w:rPr>
          <w:t>e</w:t>
        </w:r>
        <w:bookmarkEnd w:id="984"/>
        <w:r>
          <w:rPr>
            <w:rStyle w:val="Hyperlink"/>
            <w:lang w:val="de-DE"/>
          </w:rPr>
          <w:t>it.</w:t>
        </w:r>
        <w:bookmarkStart w:id="985" w:name="_Hlt5507519"/>
        <w:r>
          <w:rPr>
            <w:rStyle w:val="Hyperlink"/>
            <w:lang w:val="de-DE"/>
          </w:rPr>
          <w:t>d</w:t>
        </w:r>
        <w:bookmarkEnd w:id="985"/>
        <w:r>
          <w:rPr>
            <w:rStyle w:val="Hyperlink"/>
            <w:lang w:val="de-DE"/>
          </w:rPr>
          <w:t>e</w:t>
        </w:r>
      </w:hyperlink>
      <w:r>
        <w:rPr>
          <w:lang w:val="de-DE"/>
        </w:rPr>
        <w:t xml:space="preserve"> </w:t>
      </w:r>
    </w:p>
    <w:p w:rsidR="00000000" w:rsidRDefault="00000000">
      <w:pPr>
        <w:pStyle w:val="SingleTxt"/>
        <w:ind w:firstLine="0"/>
        <w:jc w:val="left"/>
        <w:rPr>
          <w:lang w:val="de-DE"/>
        </w:rPr>
      </w:pPr>
      <w:r>
        <w:rPr>
          <w:b/>
          <w:lang w:val="de-DE"/>
        </w:rPr>
        <w:t>Fortpflanzungsmedizin in Deutschland, т</w:t>
      </w:r>
      <w:r>
        <w:rPr>
          <w:lang w:val="de-DE"/>
        </w:rPr>
        <w:t>ом 92 серии публикаций за 2000 год</w:t>
      </w:r>
      <w:r>
        <w:rPr>
          <w:lang w:val="de-DE"/>
        </w:rPr>
        <w:br/>
        <w:t>Следующие материалы опубликованы Федеральным центром медицинского просвещения /по ориг/ от имени федерального министерства здравоохранения:</w:t>
      </w:r>
    </w:p>
    <w:p w:rsidR="00000000" w:rsidRDefault="00000000">
      <w:pPr>
        <w:pStyle w:val="H56"/>
        <w:rPr>
          <w:lang w:val="de-DE"/>
        </w:rPr>
      </w:pPr>
      <w:r>
        <w:rPr>
          <w:lang w:val="de-DE"/>
        </w:rPr>
        <w:t>Сексуальность</w:t>
      </w:r>
    </w:p>
    <w:p w:rsidR="00000000" w:rsidRDefault="00000000">
      <w:pPr>
        <w:pStyle w:val="SingleTxt"/>
        <w:ind w:firstLine="0"/>
        <w:jc w:val="left"/>
        <w:rPr>
          <w:lang w:val="de-DE"/>
        </w:rPr>
      </w:pPr>
      <w:r>
        <w:rPr>
          <w:b/>
          <w:lang w:val="de-DE"/>
        </w:rPr>
        <w:t>Frauenmacht</w:t>
      </w:r>
      <w:r>
        <w:rPr>
          <w:lang w:val="de-DE"/>
        </w:rPr>
        <w:t> – брошюра под названием "Liebe, Treue, Sex, Moral, Kinder, AIDS...."</w:t>
      </w:r>
    </w:p>
    <w:p w:rsidR="00000000" w:rsidRDefault="00000000">
      <w:pPr>
        <w:pStyle w:val="SingleTxt"/>
        <w:ind w:firstLine="0"/>
        <w:jc w:val="left"/>
        <w:rPr>
          <w:lang w:val="de-DE"/>
        </w:rPr>
      </w:pPr>
      <w:r>
        <w:rPr>
          <w:b/>
          <w:lang w:val="de-DE"/>
        </w:rPr>
        <w:t>Es gibt etwas, das Du vor Deiner Ehe wissen musst</w:t>
      </w:r>
      <w:r>
        <w:rPr>
          <w:lang w:val="de-DE"/>
        </w:rPr>
        <w:t> – брошюра для молодых турецких женщин с информацией о СПИДе</w:t>
      </w:r>
    </w:p>
    <w:p w:rsidR="00000000" w:rsidRDefault="00000000">
      <w:pPr>
        <w:pStyle w:val="H56"/>
        <w:rPr>
          <w:lang w:val="de-DE"/>
        </w:rPr>
      </w:pPr>
      <w:r>
        <w:rPr>
          <w:lang w:val="de-DE"/>
        </w:rPr>
        <w:t>Наркомания</w:t>
      </w:r>
    </w:p>
    <w:p w:rsidR="00000000" w:rsidRDefault="00000000">
      <w:pPr>
        <w:pStyle w:val="SingleTxt"/>
        <w:ind w:firstLine="0"/>
        <w:jc w:val="left"/>
        <w:rPr>
          <w:lang w:val="de-DE"/>
        </w:rPr>
      </w:pPr>
      <w:r>
        <w:rPr>
          <w:b/>
          <w:lang w:val="de-DE"/>
        </w:rPr>
        <w:t>Alkohol und Schwangerschaft</w:t>
      </w:r>
      <w:r>
        <w:rPr>
          <w:lang w:val="de-DE"/>
        </w:rPr>
        <w:t> – Немецкий совет по проблемам наркомании (ДГС)</w:t>
      </w:r>
    </w:p>
    <w:p w:rsidR="00000000" w:rsidRDefault="00000000">
      <w:pPr>
        <w:pStyle w:val="SingleTxt"/>
        <w:ind w:firstLine="0"/>
        <w:jc w:val="left"/>
        <w:rPr>
          <w:lang w:val="de-DE"/>
        </w:rPr>
      </w:pPr>
      <w:r>
        <w:rPr>
          <w:b/>
          <w:lang w:val="de-DE"/>
        </w:rPr>
        <w:t>Frau Sucht Gesundheit</w:t>
      </w:r>
      <w:r>
        <w:rPr>
          <w:lang w:val="de-DE"/>
        </w:rPr>
        <w:t xml:space="preserve"> – </w:t>
      </w:r>
      <w:r>
        <w:rPr>
          <w:b/>
          <w:lang w:val="de-DE"/>
        </w:rPr>
        <w:t xml:space="preserve">Ich will da raus! </w:t>
      </w:r>
      <w:r>
        <w:rPr>
          <w:b/>
          <w:lang w:val="de-DE"/>
        </w:rPr>
        <w:br/>
      </w:r>
      <w:r>
        <w:rPr>
          <w:lang w:val="de-DE"/>
        </w:rPr>
        <w:t>Отношение к наркомании как к заболеванию</w:t>
      </w:r>
    </w:p>
    <w:p w:rsidR="00000000" w:rsidRDefault="00000000">
      <w:pPr>
        <w:pStyle w:val="SingleTxt"/>
        <w:ind w:firstLine="0"/>
        <w:jc w:val="left"/>
        <w:rPr>
          <w:lang w:val="de-DE"/>
        </w:rPr>
      </w:pPr>
      <w:r>
        <w:rPr>
          <w:b/>
          <w:lang w:val="de-DE"/>
        </w:rPr>
        <w:t>Frau Sucht Gesundheit</w:t>
      </w:r>
      <w:r>
        <w:rPr>
          <w:lang w:val="de-DE"/>
        </w:rPr>
        <w:t xml:space="preserve"> –</w:t>
      </w:r>
      <w:r>
        <w:rPr>
          <w:b/>
          <w:lang w:val="de-DE"/>
        </w:rPr>
        <w:t>Statt Risiken und Abhängigkeit-</w:t>
      </w:r>
      <w:r>
        <w:rPr>
          <w:b/>
          <w:lang w:val="de-DE"/>
        </w:rPr>
        <w:br/>
      </w:r>
      <w:r>
        <w:rPr>
          <w:lang w:val="de-DE"/>
        </w:rPr>
        <w:t>Как женщины могут узнать, правильно ли они пользуются психотропными лекарственными препаратами (ДГС)</w:t>
      </w:r>
    </w:p>
    <w:p w:rsidR="00000000" w:rsidRDefault="00000000">
      <w:pPr>
        <w:pStyle w:val="SingleTxt"/>
        <w:ind w:firstLine="0"/>
        <w:jc w:val="left"/>
        <w:rPr>
          <w:lang w:val="de-DE"/>
        </w:rPr>
      </w:pPr>
      <w:r>
        <w:rPr>
          <w:b/>
          <w:lang w:val="de-DE"/>
        </w:rPr>
        <w:t>Frau Sucht Gesundheit</w:t>
      </w:r>
      <w:r>
        <w:rPr>
          <w:lang w:val="de-DE"/>
        </w:rPr>
        <w:t xml:space="preserve"> – </w:t>
      </w:r>
      <w:r>
        <w:rPr>
          <w:b/>
          <w:lang w:val="de-DE"/>
        </w:rPr>
        <w:t>Mit Vorsicht genießen</w:t>
      </w:r>
      <w:r>
        <w:rPr>
          <w:lang w:val="de-DE"/>
        </w:rPr>
        <w:t xml:space="preserve"> – </w:t>
      </w:r>
      <w:r>
        <w:rPr>
          <w:lang w:val="de-DE"/>
        </w:rPr>
        <w:br/>
        <w:t>Информация и рекомендации для женщин по проблеме алкоголизма (ДГС)</w:t>
      </w:r>
    </w:p>
    <w:p w:rsidR="00000000" w:rsidRDefault="00000000">
      <w:pPr>
        <w:pStyle w:val="SingleTxt"/>
        <w:ind w:firstLine="0"/>
        <w:jc w:val="left"/>
        <w:rPr>
          <w:lang w:val="de-DE"/>
        </w:rPr>
      </w:pPr>
      <w:r>
        <w:rPr>
          <w:b/>
          <w:lang w:val="de-DE"/>
        </w:rPr>
        <w:t>Frau Sucht Gesundheit</w:t>
      </w:r>
      <w:r>
        <w:rPr>
          <w:lang w:val="de-DE"/>
        </w:rPr>
        <w:t xml:space="preserve"> – </w:t>
      </w:r>
      <w:r>
        <w:rPr>
          <w:b/>
          <w:lang w:val="de-DE"/>
        </w:rPr>
        <w:t>Die Luft anhalten – oder: Warum rauchen Frauen</w:t>
      </w:r>
    </w:p>
    <w:p w:rsidR="00000000" w:rsidRDefault="00000000">
      <w:pPr>
        <w:pStyle w:val="SingleTxt"/>
        <w:ind w:firstLine="0"/>
        <w:jc w:val="left"/>
        <w:rPr>
          <w:b/>
          <w:lang w:val="de-DE"/>
        </w:rPr>
      </w:pPr>
      <w:r>
        <w:rPr>
          <w:b/>
          <w:lang w:val="de-DE"/>
        </w:rPr>
        <w:t>Frau Sucht Liebe</w:t>
      </w:r>
      <w:r>
        <w:rPr>
          <w:lang w:val="de-DE"/>
        </w:rPr>
        <w:t xml:space="preserve"> – </w:t>
      </w:r>
      <w:r>
        <w:rPr>
          <w:b/>
          <w:lang w:val="de-DE"/>
        </w:rPr>
        <w:t>Co-Abhängigkeit und Beziehungssucht</w:t>
      </w:r>
    </w:p>
    <w:p w:rsidR="00000000" w:rsidRDefault="00000000">
      <w:pPr>
        <w:pStyle w:val="SingleTxt"/>
        <w:ind w:firstLine="0"/>
        <w:jc w:val="left"/>
        <w:rPr>
          <w:lang w:val="de-DE"/>
        </w:rPr>
      </w:pPr>
      <w:r>
        <w:rPr>
          <w:b/>
          <w:lang w:val="de-DE"/>
        </w:rPr>
        <w:t>Auf dein Wohl, mein Kind!</w:t>
      </w:r>
      <w:r>
        <w:rPr>
          <w:lang w:val="de-DE"/>
        </w:rPr>
        <w:t xml:space="preserve"> </w:t>
      </w:r>
      <w:r>
        <w:rPr>
          <w:lang w:val="de-DE"/>
        </w:rPr>
        <w:br/>
        <w:t>Брошюра с рекомендациями по проблеме алкоголизма для будущих родителей</w:t>
      </w:r>
    </w:p>
    <w:p w:rsidR="00000000" w:rsidRDefault="00000000">
      <w:pPr>
        <w:pStyle w:val="SingleTxt"/>
        <w:ind w:firstLine="0"/>
        <w:jc w:val="left"/>
        <w:rPr>
          <w:lang w:val="de-DE"/>
        </w:rPr>
      </w:pPr>
      <w:r>
        <w:rPr>
          <w:b/>
          <w:lang w:val="de-DE"/>
        </w:rPr>
        <w:t>Ich bekomme ein Baby – rauchfrei</w:t>
      </w:r>
      <w:r>
        <w:rPr>
          <w:b/>
          <w:lang w:val="de-DE"/>
        </w:rPr>
        <w:br/>
      </w:r>
      <w:r>
        <w:rPr>
          <w:lang w:val="de-DE"/>
        </w:rPr>
        <w:t>Брошюра с рекомендациями для беременных женщин и их партнеров</w:t>
      </w:r>
    </w:p>
    <w:p w:rsidR="00000000" w:rsidRDefault="00000000">
      <w:pPr>
        <w:pStyle w:val="SingleTxt"/>
        <w:ind w:firstLine="0"/>
        <w:jc w:val="left"/>
        <w:rPr>
          <w:lang w:val="de-DE"/>
        </w:rPr>
      </w:pPr>
      <w:r>
        <w:rPr>
          <w:b/>
          <w:lang w:val="de-DE"/>
        </w:rPr>
        <w:t>Das Baby ist da – rauchfrei</w:t>
      </w:r>
      <w:r>
        <w:rPr>
          <w:b/>
          <w:lang w:val="de-DE"/>
        </w:rPr>
        <w:br/>
      </w:r>
      <w:r>
        <w:rPr>
          <w:lang w:val="de-DE"/>
        </w:rPr>
        <w:t>Брошюра с рекомендациями для молодых родителей, как укрепиться в своем решении бросить курить</w:t>
      </w:r>
    </w:p>
    <w:p w:rsidR="00000000" w:rsidRDefault="00000000">
      <w:pPr>
        <w:pStyle w:val="SingleTxt"/>
        <w:ind w:firstLine="0"/>
        <w:jc w:val="left"/>
        <w:rPr>
          <w:lang w:val="de-DE"/>
        </w:rPr>
      </w:pPr>
      <w:r>
        <w:rPr>
          <w:b/>
          <w:lang w:val="de-DE"/>
        </w:rPr>
        <w:t>Geschlechtsbezogene Suchtprävention. Praxisansätze–Theorieentwicklung–Definitionen</w:t>
      </w:r>
      <w:r>
        <w:rPr>
          <w:lang w:val="de-DE"/>
        </w:rPr>
        <w:t xml:space="preserve"> Vol. 2 of the series Том 2 серии под названием Forschung und Praxis der Gesundheitsförderung</w:t>
      </w:r>
    </w:p>
    <w:p w:rsidR="00000000" w:rsidRDefault="00000000">
      <w:pPr>
        <w:pStyle w:val="H56"/>
        <w:rPr>
          <w:lang w:val="de-DE"/>
        </w:rPr>
      </w:pPr>
      <w:r>
        <w:rPr>
          <w:lang w:val="de-DE"/>
        </w:rPr>
        <w:t>Mädchen</w:t>
      </w:r>
    </w:p>
    <w:p w:rsidR="00000000" w:rsidRDefault="00000000">
      <w:pPr>
        <w:pStyle w:val="SingleTxt"/>
        <w:ind w:firstLine="0"/>
        <w:jc w:val="left"/>
        <w:rPr>
          <w:lang w:val="de-DE"/>
        </w:rPr>
      </w:pPr>
      <w:r>
        <w:rPr>
          <w:b/>
          <w:lang w:val="de-DE"/>
        </w:rPr>
        <w:t>Starke Mädchen</w:t>
      </w:r>
      <w:r>
        <w:rPr>
          <w:lang w:val="de-DE"/>
        </w:rPr>
        <w:t> – журнал для девушек о вожделении и разочаровании, подлинной любви и дружбе</w:t>
      </w:r>
    </w:p>
    <w:p w:rsidR="00000000" w:rsidRDefault="00000000">
      <w:pPr>
        <w:pStyle w:val="H4"/>
        <w:rPr>
          <w:lang w:val="de-DE"/>
        </w:rPr>
      </w:pPr>
      <w:bookmarkStart w:id="986" w:name="_Toc44113919"/>
      <w:bookmarkStart w:id="987" w:name="_Toc44114428"/>
      <w:bookmarkStart w:id="988" w:name="_Toc44116110"/>
      <w:r>
        <w:rPr>
          <w:lang w:val="de-DE"/>
        </w:rPr>
        <w:t>Федеральное министерство внутренних дел</w:t>
      </w:r>
      <w:bookmarkEnd w:id="986"/>
      <w:bookmarkEnd w:id="987"/>
      <w:bookmarkEnd w:id="988"/>
    </w:p>
    <w:p w:rsidR="00000000" w:rsidRDefault="00000000">
      <w:pPr>
        <w:pStyle w:val="SingleTxt"/>
        <w:ind w:firstLine="0"/>
        <w:jc w:val="left"/>
        <w:rPr>
          <w:lang w:val="de-DE"/>
        </w:rPr>
      </w:pPr>
      <w:r>
        <w:rPr>
          <w:lang w:val="de-DE"/>
        </w:rPr>
        <w:t>Публикуется: федеральным министерством внутренних дел, Alt Moabit 101d, 10559 Berlin</w:t>
      </w:r>
      <w:r>
        <w:rPr>
          <w:lang w:val="de-DE"/>
        </w:rPr>
        <w:br/>
      </w:r>
      <w:hyperlink r:id="rId38" w:history="1">
        <w:r>
          <w:rPr>
            <w:rStyle w:val="Hyperlink"/>
            <w:lang w:val="de-DE"/>
          </w:rPr>
          <w:t>w</w:t>
        </w:r>
        <w:bookmarkStart w:id="989" w:name="_Hlt5507532"/>
        <w:r>
          <w:rPr>
            <w:rStyle w:val="Hyperlink"/>
            <w:lang w:val="de-DE"/>
          </w:rPr>
          <w:t>w</w:t>
        </w:r>
        <w:bookmarkEnd w:id="989"/>
        <w:r>
          <w:rPr>
            <w:rStyle w:val="Hyperlink"/>
            <w:lang w:val="de-DE"/>
          </w:rPr>
          <w:t>w.bmi.bund.de</w:t>
        </w:r>
      </w:hyperlink>
    </w:p>
    <w:p w:rsidR="00000000" w:rsidRDefault="00000000">
      <w:pPr>
        <w:pStyle w:val="SingleTxt"/>
        <w:ind w:firstLine="0"/>
        <w:jc w:val="left"/>
        <w:rPr>
          <w:lang w:val="de-DE"/>
        </w:rPr>
      </w:pPr>
      <w:r>
        <w:rPr>
          <w:b/>
          <w:lang w:val="de-DE"/>
        </w:rPr>
        <w:t>Asylpraxis</w:t>
      </w:r>
      <w:r>
        <w:rPr>
          <w:lang w:val="de-DE"/>
        </w:rPr>
        <w:t> – Том VI</w:t>
      </w:r>
    </w:p>
    <w:p w:rsidR="00000000" w:rsidRDefault="00000000">
      <w:pPr>
        <w:pStyle w:val="SingleTxt"/>
        <w:ind w:firstLine="0"/>
        <w:jc w:val="left"/>
        <w:rPr>
          <w:lang w:val="de-DE"/>
        </w:rPr>
      </w:pPr>
      <w:r>
        <w:rPr>
          <w:b/>
          <w:lang w:val="de-DE"/>
        </w:rPr>
        <w:t>Das neue Staatsangehörigkeitsrecht – Einbürgerung: fair, gerecht, tolerant</w:t>
      </w:r>
      <w:r>
        <w:rPr>
          <w:lang w:val="de-DE"/>
        </w:rPr>
        <w:t xml:space="preserve">, </w:t>
      </w:r>
    </w:p>
    <w:p w:rsidR="00000000" w:rsidRDefault="00000000">
      <w:pPr>
        <w:pStyle w:val="SingleTxt"/>
        <w:ind w:firstLine="0"/>
        <w:jc w:val="left"/>
        <w:rPr>
          <w:lang w:val="de-DE"/>
        </w:rPr>
      </w:pPr>
      <w:r>
        <w:rPr>
          <w:b/>
          <w:lang w:val="de-DE"/>
        </w:rPr>
        <w:t>Teilzeitbeschäftigung im öffentlichen Dienst</w:t>
      </w:r>
    </w:p>
    <w:p w:rsidR="00000000" w:rsidRDefault="00000000">
      <w:pPr>
        <w:pStyle w:val="H4"/>
        <w:rPr>
          <w:lang w:val="de-DE"/>
        </w:rPr>
      </w:pPr>
      <w:bookmarkStart w:id="990" w:name="_Toc44113920"/>
      <w:bookmarkStart w:id="991" w:name="_Toc44114429"/>
      <w:bookmarkStart w:id="992" w:name="_Toc44116111"/>
      <w:r>
        <w:rPr>
          <w:lang w:val="de-DE"/>
        </w:rPr>
        <w:t>Федеральное министерство юстиции</w:t>
      </w:r>
      <w:bookmarkEnd w:id="990"/>
      <w:bookmarkEnd w:id="991"/>
      <w:bookmarkEnd w:id="992"/>
    </w:p>
    <w:p w:rsidR="00000000" w:rsidRDefault="00000000">
      <w:pPr>
        <w:pStyle w:val="SingleTxt"/>
        <w:ind w:firstLine="0"/>
        <w:jc w:val="left"/>
        <w:rPr>
          <w:lang w:val="de-DE"/>
        </w:rPr>
      </w:pPr>
      <w:r>
        <w:rPr>
          <w:lang w:val="de-DE"/>
        </w:rPr>
        <w:t>Публикуется: BMJ, Mohrenstr. 37, 10117 Berlin</w:t>
      </w:r>
      <w:r>
        <w:rPr>
          <w:lang w:val="de-DE"/>
        </w:rPr>
        <w:br/>
      </w:r>
      <w:hyperlink r:id="rId39" w:history="1">
        <w:r>
          <w:rPr>
            <w:rStyle w:val="Hyperlink"/>
            <w:lang w:val="de-DE"/>
          </w:rPr>
          <w:t>www.b</w:t>
        </w:r>
        <w:bookmarkStart w:id="993" w:name="_Hlt5507553"/>
        <w:r>
          <w:rPr>
            <w:rStyle w:val="Hyperlink"/>
            <w:lang w:val="de-DE"/>
          </w:rPr>
          <w:t>m</w:t>
        </w:r>
        <w:bookmarkEnd w:id="993"/>
        <w:r>
          <w:rPr>
            <w:rStyle w:val="Hyperlink"/>
            <w:lang w:val="de-DE"/>
          </w:rPr>
          <w:t>j.de</w:t>
        </w:r>
      </w:hyperlink>
    </w:p>
    <w:p w:rsidR="00000000" w:rsidRDefault="00000000">
      <w:pPr>
        <w:pStyle w:val="H56"/>
        <w:rPr>
          <w:lang w:val="de-DE"/>
        </w:rPr>
      </w:pPr>
      <w:r>
        <w:rPr>
          <w:lang w:val="de-DE"/>
        </w:rPr>
        <w:t>Брак и семья</w:t>
      </w:r>
    </w:p>
    <w:p w:rsidR="00000000" w:rsidRDefault="00000000">
      <w:pPr>
        <w:pStyle w:val="SingleTxt"/>
        <w:ind w:firstLine="0"/>
        <w:jc w:val="left"/>
        <w:rPr>
          <w:lang w:val="de-DE"/>
        </w:rPr>
      </w:pPr>
      <w:r>
        <w:rPr>
          <w:b/>
          <w:lang w:val="de-DE"/>
        </w:rPr>
        <w:t>Ehe- und</w:t>
      </w:r>
      <w:r>
        <w:rPr>
          <w:lang w:val="de-DE"/>
        </w:rPr>
        <w:t xml:space="preserve"> </w:t>
      </w:r>
      <w:r>
        <w:rPr>
          <w:b/>
          <w:lang w:val="de-DE"/>
        </w:rPr>
        <w:t>Familienrecht,</w:t>
      </w:r>
      <w:r>
        <w:rPr>
          <w:lang w:val="de-DE"/>
        </w:rPr>
        <w:t xml:space="preserve"> Информация о законодательстве о браке и разводе, алиментах, режимах собственности и корректировке пенсионных прав</w:t>
      </w:r>
    </w:p>
    <w:p w:rsidR="00000000" w:rsidRDefault="00000000">
      <w:pPr>
        <w:pStyle w:val="H56"/>
        <w:rPr>
          <w:lang w:val="de-DE"/>
        </w:rPr>
      </w:pPr>
      <w:r>
        <w:rPr>
          <w:lang w:val="de-DE"/>
        </w:rPr>
        <w:t>Насилие</w:t>
      </w:r>
    </w:p>
    <w:p w:rsidR="00000000" w:rsidRDefault="00000000">
      <w:pPr>
        <w:pStyle w:val="SingleTxt"/>
        <w:ind w:firstLine="0"/>
        <w:jc w:val="left"/>
        <w:rPr>
          <w:lang w:val="de-DE"/>
        </w:rPr>
      </w:pPr>
      <w:r>
        <w:rPr>
          <w:b/>
          <w:lang w:val="de-DE"/>
        </w:rPr>
        <w:t xml:space="preserve">Kinderpornographie, </w:t>
      </w:r>
      <w:r>
        <w:rPr>
          <w:lang w:val="de-DE"/>
        </w:rPr>
        <w:t>Защита молодежи и ответственность Интернет-провайдеров. Сравнительное обследование уголовных законов, форум Verlag Godesberg</w:t>
      </w:r>
    </w:p>
    <w:p w:rsidR="00000000" w:rsidRDefault="00000000">
      <w:pPr>
        <w:pStyle w:val="SingleTxt"/>
        <w:ind w:firstLine="0"/>
        <w:jc w:val="left"/>
      </w:pPr>
      <w:r>
        <w:rPr>
          <w:b/>
        </w:rPr>
        <w:t>Opferfibel – Rechtswegweiser für Opfer einer Straftat</w:t>
      </w:r>
      <w:r>
        <w:t xml:space="preserve"> </w:t>
      </w:r>
    </w:p>
    <w:p w:rsidR="00000000" w:rsidRDefault="00000000">
      <w:pPr>
        <w:pStyle w:val="H56"/>
        <w:rPr>
          <w:lang w:val="de-DE"/>
        </w:rPr>
      </w:pPr>
      <w:r>
        <w:rPr>
          <w:lang w:val="de-DE"/>
        </w:rPr>
        <w:t>Дети</w:t>
      </w:r>
    </w:p>
    <w:p w:rsidR="00000000" w:rsidRDefault="00000000">
      <w:pPr>
        <w:pStyle w:val="SingleTxt"/>
        <w:ind w:firstLine="0"/>
        <w:jc w:val="left"/>
        <w:rPr>
          <w:lang w:val="de-DE"/>
        </w:rPr>
      </w:pPr>
      <w:r>
        <w:rPr>
          <w:b/>
          <w:lang w:val="de-DE"/>
        </w:rPr>
        <w:t>Kinder suchen Eltern, Eltern suchen Kinder.</w:t>
      </w:r>
      <w:r>
        <w:rPr>
          <w:b/>
          <w:lang w:val="de-DE"/>
        </w:rPr>
        <w:br/>
      </w:r>
      <w:r>
        <w:rPr>
          <w:lang w:val="de-DE"/>
        </w:rPr>
        <w:t>Информация о законе об усыновлении и о разрешении на усыновление</w:t>
      </w:r>
    </w:p>
    <w:p w:rsidR="00000000" w:rsidRDefault="00000000">
      <w:pPr>
        <w:pStyle w:val="SingleTxt"/>
        <w:ind w:firstLine="0"/>
        <w:jc w:val="left"/>
        <w:rPr>
          <w:lang w:val="de-DE"/>
        </w:rPr>
      </w:pPr>
      <w:r>
        <w:rPr>
          <w:b/>
          <w:lang w:val="de-DE"/>
        </w:rPr>
        <w:t>Das neue Kindschaftsrecht.</w:t>
      </w:r>
      <w:r>
        <w:rPr>
          <w:lang w:val="de-DE"/>
        </w:rPr>
        <w:t xml:space="preserve"> Вопросы и ответы в связи с законом о родителях, законом о родительской опеке, законом о доступе, законом, касающимся фамилий, и новыми правилами судопроизводства</w:t>
      </w:r>
    </w:p>
    <w:p w:rsidR="00000000" w:rsidRDefault="00000000">
      <w:pPr>
        <w:pStyle w:val="H4"/>
        <w:rPr>
          <w:lang w:val="de-DE"/>
        </w:rPr>
      </w:pPr>
      <w:bookmarkStart w:id="994" w:name="_Toc44113921"/>
      <w:bookmarkStart w:id="995" w:name="_Toc44114430"/>
      <w:bookmarkStart w:id="996" w:name="_Toc44116112"/>
      <w:r>
        <w:rPr>
          <w:lang w:val="de-DE"/>
        </w:rPr>
        <w:t>Федеральное министерство обороны</w:t>
      </w:r>
      <w:bookmarkEnd w:id="994"/>
      <w:bookmarkEnd w:id="995"/>
      <w:bookmarkEnd w:id="996"/>
    </w:p>
    <w:p w:rsidR="00000000" w:rsidRDefault="00000000">
      <w:pPr>
        <w:pStyle w:val="SingleTxt"/>
        <w:ind w:firstLine="0"/>
        <w:jc w:val="left"/>
        <w:rPr>
          <w:lang w:val="de-DE"/>
        </w:rPr>
      </w:pPr>
      <w:r>
        <w:rPr>
          <w:lang w:val="de-DE"/>
        </w:rPr>
        <w:t>Публикуется: федеральным министерством обороны, информационная служба, InfoService, Rochusstr. 32, 53123 Bonn</w:t>
      </w:r>
      <w:r>
        <w:rPr>
          <w:lang w:val="de-DE"/>
        </w:rPr>
        <w:br/>
      </w:r>
      <w:hyperlink r:id="rId40" w:history="1">
        <w:r>
          <w:rPr>
            <w:rStyle w:val="Hyperlink"/>
            <w:lang w:val="de-DE"/>
          </w:rPr>
          <w:t>www.bundes</w:t>
        </w:r>
        <w:bookmarkStart w:id="997" w:name="_Hlt5507588"/>
        <w:r>
          <w:rPr>
            <w:rStyle w:val="Hyperlink"/>
            <w:lang w:val="de-DE"/>
          </w:rPr>
          <w:t>w</w:t>
        </w:r>
        <w:bookmarkEnd w:id="997"/>
        <w:r>
          <w:rPr>
            <w:rStyle w:val="Hyperlink"/>
            <w:lang w:val="de-DE"/>
          </w:rPr>
          <w:t>ehr.de</w:t>
        </w:r>
      </w:hyperlink>
    </w:p>
    <w:p w:rsidR="00000000" w:rsidRDefault="00000000">
      <w:pPr>
        <w:pStyle w:val="SingleTxt"/>
        <w:ind w:firstLine="0"/>
        <w:jc w:val="left"/>
        <w:rPr>
          <w:lang w:val="de-DE"/>
        </w:rPr>
      </w:pPr>
      <w:r>
        <w:rPr>
          <w:b/>
          <w:lang w:val="de-DE"/>
        </w:rPr>
        <w:t>Stichworte: „Frauen in der Bundeswehr"</w:t>
      </w:r>
    </w:p>
    <w:p w:rsidR="00000000" w:rsidRDefault="00000000">
      <w:pPr>
        <w:pStyle w:val="SingleTxt"/>
        <w:ind w:firstLine="0"/>
        <w:jc w:val="left"/>
        <w:rPr>
          <w:b/>
          <w:lang w:val="de-DE"/>
        </w:rPr>
      </w:pPr>
      <w:r>
        <w:rPr>
          <w:b/>
          <w:lang w:val="de-DE"/>
        </w:rPr>
        <w:t>Info zur sozialen Absicherung für Soldatinnen</w:t>
      </w:r>
    </w:p>
    <w:p w:rsidR="00000000" w:rsidRDefault="00000000">
      <w:pPr>
        <w:pStyle w:val="H4"/>
        <w:rPr>
          <w:lang w:val="de-DE"/>
        </w:rPr>
      </w:pPr>
      <w:bookmarkStart w:id="998" w:name="_Toc44113922"/>
      <w:bookmarkStart w:id="999" w:name="_Toc44114431"/>
      <w:bookmarkStart w:id="1000" w:name="_Toc44116113"/>
      <w:r>
        <w:rPr>
          <w:lang w:val="de-DE"/>
        </w:rPr>
        <w:t>Федеральное министерство экономики и технологии</w:t>
      </w:r>
      <w:bookmarkEnd w:id="998"/>
      <w:bookmarkEnd w:id="999"/>
      <w:bookmarkEnd w:id="1000"/>
    </w:p>
    <w:p w:rsidR="00000000" w:rsidRDefault="00000000">
      <w:pPr>
        <w:pStyle w:val="SingleTxt"/>
        <w:ind w:firstLine="0"/>
        <w:jc w:val="left"/>
        <w:rPr>
          <w:lang w:val="de-DE"/>
        </w:rPr>
      </w:pPr>
      <w:r>
        <w:rPr>
          <w:lang w:val="de-DE"/>
        </w:rPr>
        <w:t>Публикуется: федеральным министерством экономики и технологии, Scharnhorststr. 34-37, 10115 Berlin</w:t>
      </w:r>
      <w:r>
        <w:rPr>
          <w:lang w:val="de-DE"/>
        </w:rPr>
        <w:br/>
      </w:r>
      <w:hyperlink r:id="rId41" w:history="1">
        <w:r>
          <w:rPr>
            <w:rStyle w:val="Hyperlink"/>
            <w:lang w:val="de-DE"/>
          </w:rPr>
          <w:t>www.b</w:t>
        </w:r>
        <w:bookmarkStart w:id="1001" w:name="_Hlt5507602"/>
        <w:r>
          <w:rPr>
            <w:rStyle w:val="Hyperlink"/>
            <w:lang w:val="de-DE"/>
          </w:rPr>
          <w:t>m</w:t>
        </w:r>
        <w:bookmarkEnd w:id="1001"/>
        <w:r>
          <w:rPr>
            <w:rStyle w:val="Hyperlink"/>
            <w:lang w:val="de-DE"/>
          </w:rPr>
          <w:t>wi.de</w:t>
        </w:r>
      </w:hyperlink>
    </w:p>
    <w:p w:rsidR="00000000" w:rsidRDefault="00000000">
      <w:pPr>
        <w:pStyle w:val="SingleTxt"/>
        <w:ind w:firstLine="0"/>
        <w:jc w:val="left"/>
        <w:rPr>
          <w:lang w:val="de-DE"/>
        </w:rPr>
      </w:pPr>
      <w:r>
        <w:rPr>
          <w:b/>
          <w:lang w:val="de-DE"/>
        </w:rPr>
        <w:t>Starthilfe – Der erfolgreiche Weg in die Selbständigkeit</w:t>
      </w:r>
    </w:p>
    <w:p w:rsidR="00000000" w:rsidRDefault="00000000">
      <w:pPr>
        <w:pStyle w:val="SingleTxt"/>
        <w:ind w:firstLine="0"/>
        <w:jc w:val="left"/>
        <w:rPr>
          <w:lang w:val="de-DE"/>
        </w:rPr>
      </w:pPr>
      <w:r>
        <w:rPr>
          <w:b/>
          <w:lang w:val="de-DE"/>
        </w:rPr>
        <w:t xml:space="preserve">Erfolgreich selbständig. Frauen unternehmen was! </w:t>
      </w:r>
      <w:r>
        <w:rPr>
          <w:lang w:val="de-DE"/>
        </w:rPr>
        <w:t>-</w:t>
      </w:r>
      <w:r>
        <w:rPr>
          <w:lang w:val="de-DE"/>
        </w:rPr>
        <w:br/>
        <w:t>Рекомендуется для женщин, открывающих собственное дело</w:t>
      </w:r>
    </w:p>
    <w:p w:rsidR="00000000" w:rsidRDefault="00000000">
      <w:pPr>
        <w:pStyle w:val="H4"/>
        <w:ind w:left="1264" w:firstLine="0"/>
        <w:rPr>
          <w:lang w:val="de-DE"/>
        </w:rPr>
      </w:pPr>
      <w:bookmarkStart w:id="1002" w:name="_Toc44113923"/>
      <w:bookmarkStart w:id="1003" w:name="_Toc44114432"/>
      <w:bookmarkStart w:id="1004" w:name="_Toc44116114"/>
      <w:r>
        <w:rPr>
          <w:lang w:val="de-DE"/>
        </w:rPr>
        <w:t>Федеральное министерство по вопросам экономического сотрудничества и развития</w:t>
      </w:r>
      <w:bookmarkEnd w:id="1002"/>
      <w:bookmarkEnd w:id="1003"/>
      <w:bookmarkEnd w:id="1004"/>
    </w:p>
    <w:p w:rsidR="00000000" w:rsidRDefault="00000000">
      <w:pPr>
        <w:pStyle w:val="SingleTxt"/>
        <w:ind w:firstLine="0"/>
        <w:jc w:val="left"/>
        <w:rPr>
          <w:lang w:val="de-DE"/>
        </w:rPr>
      </w:pPr>
      <w:r>
        <w:rPr>
          <w:lang w:val="de-DE"/>
        </w:rPr>
        <w:t>Публикуется: федеральным министерством по вопросам экономического сотрудничества и развития, секция по связям с общественностью Friedrich-Ebert-Allee 40, 53113 Bonn,</w:t>
      </w:r>
      <w:r>
        <w:rPr>
          <w:lang w:val="de-DE"/>
        </w:rPr>
        <w:br/>
      </w:r>
      <w:hyperlink r:id="rId42" w:history="1">
        <w:r>
          <w:rPr>
            <w:rStyle w:val="Hyperlink"/>
            <w:lang w:val="de-DE"/>
          </w:rPr>
          <w:t>www.bm</w:t>
        </w:r>
        <w:bookmarkStart w:id="1005" w:name="_Hlt5507652"/>
        <w:r>
          <w:rPr>
            <w:rStyle w:val="Hyperlink"/>
            <w:lang w:val="de-DE"/>
          </w:rPr>
          <w:t>z</w:t>
        </w:r>
        <w:bookmarkEnd w:id="1005"/>
        <w:r>
          <w:rPr>
            <w:rStyle w:val="Hyperlink"/>
            <w:lang w:val="de-DE"/>
          </w:rPr>
          <w:t>.de</w:t>
        </w:r>
      </w:hyperlink>
    </w:p>
    <w:p w:rsidR="00000000" w:rsidRDefault="00000000">
      <w:pPr>
        <w:pStyle w:val="SingleTxt"/>
        <w:ind w:firstLine="0"/>
        <w:jc w:val="left"/>
        <w:rPr>
          <w:lang w:val="de-DE"/>
        </w:rPr>
      </w:pPr>
      <w:r>
        <w:rPr>
          <w:b/>
          <w:lang w:val="de-DE"/>
        </w:rPr>
        <w:t>"Расширение прав" von Frauen in der entwicklungspolitischen Praxis</w:t>
      </w:r>
    </w:p>
    <w:p w:rsidR="00000000" w:rsidRDefault="00000000">
      <w:pPr>
        <w:pStyle w:val="SingleTxt"/>
        <w:ind w:firstLine="0"/>
        <w:jc w:val="left"/>
        <w:rPr>
          <w:lang w:val="de-DE"/>
        </w:rPr>
      </w:pPr>
      <w:r>
        <w:rPr>
          <w:b/>
          <w:lang w:val="de-DE"/>
        </w:rPr>
        <w:t xml:space="preserve">Für globale soziale Gerechtigkeit – </w:t>
      </w:r>
      <w:r>
        <w:rPr>
          <w:lang w:val="de-DE"/>
        </w:rPr>
        <w:t>BMZ Special No. 034</w:t>
      </w:r>
    </w:p>
    <w:p w:rsidR="00000000" w:rsidRDefault="00000000">
      <w:pPr>
        <w:pStyle w:val="SingleTxt"/>
        <w:ind w:firstLine="0"/>
        <w:jc w:val="left"/>
        <w:rPr>
          <w:b/>
          <w:lang w:val="de-DE"/>
        </w:rPr>
      </w:pPr>
      <w:r>
        <w:rPr>
          <w:b/>
          <w:lang w:val="de-DE"/>
        </w:rPr>
        <w:t>Frauen bewegen die Welt</w:t>
      </w:r>
    </w:p>
    <w:p w:rsidR="00000000" w:rsidRDefault="00000000">
      <w:pPr>
        <w:pStyle w:val="SingleTxt"/>
        <w:ind w:firstLine="0"/>
        <w:jc w:val="left"/>
        <w:rPr>
          <w:lang w:val="de-DE"/>
        </w:rPr>
      </w:pPr>
      <w:r>
        <w:rPr>
          <w:b/>
          <w:lang w:val="de-DE"/>
        </w:rPr>
        <w:t xml:space="preserve">Gleichberechtigungskonzept </w:t>
      </w:r>
      <w:r>
        <w:rPr>
          <w:lang w:val="de-DE"/>
        </w:rPr>
        <w:t>"Konzept für die Förderung der gleichberechtigten Beteiligung von Frauen und Männern am Entwicklungsprozess"</w:t>
      </w:r>
    </w:p>
    <w:p w:rsidR="00000000" w:rsidRDefault="00000000">
      <w:pPr>
        <w:pStyle w:val="SingleTxt"/>
        <w:ind w:firstLine="0"/>
        <w:jc w:val="left"/>
        <w:rPr>
          <w:lang w:val="de-DE"/>
        </w:rPr>
      </w:pPr>
      <w:r>
        <w:rPr>
          <w:b/>
          <w:lang w:val="de-DE"/>
        </w:rPr>
        <w:t>Umsetzung des Aktionsprogramms der Weltbevölkerungskonferenz,</w:t>
      </w:r>
      <w:r>
        <w:rPr>
          <w:lang w:val="de-DE"/>
        </w:rPr>
        <w:t xml:space="preserve"> BMZ Special No. 095</w:t>
      </w:r>
    </w:p>
    <w:p w:rsidR="00000000" w:rsidRDefault="00000000">
      <w:pPr>
        <w:pStyle w:val="SingleTxt"/>
        <w:ind w:firstLine="0"/>
        <w:jc w:val="left"/>
        <w:rPr>
          <w:b/>
          <w:lang w:val="de-DE"/>
        </w:rPr>
      </w:pPr>
      <w:r>
        <w:rPr>
          <w:b/>
          <w:lang w:val="de-DE"/>
        </w:rPr>
        <w:t>Entwicklung ist weiblich</w:t>
      </w:r>
      <w:r>
        <w:rPr>
          <w:lang w:val="de-DE"/>
        </w:rPr>
        <w:t>,</w:t>
      </w:r>
      <w:r>
        <w:rPr>
          <w:b/>
          <w:lang w:val="de-DE"/>
        </w:rPr>
        <w:t xml:space="preserve"> </w:t>
      </w:r>
      <w:r>
        <w:rPr>
          <w:lang w:val="de-DE"/>
        </w:rPr>
        <w:t>video</w:t>
      </w:r>
    </w:p>
    <w:p w:rsidR="00000000" w:rsidRDefault="00000000">
      <w:pPr>
        <w:pStyle w:val="H4"/>
        <w:rPr>
          <w:lang w:val="de-DE"/>
        </w:rPr>
      </w:pPr>
      <w:bookmarkStart w:id="1006" w:name="_Toc44113924"/>
      <w:bookmarkStart w:id="1007" w:name="_Toc44114433"/>
      <w:bookmarkStart w:id="1008" w:name="_Toc44116115"/>
      <w:r>
        <w:rPr>
          <w:lang w:val="de-DE"/>
        </w:rPr>
        <w:t>Федеральная пресс- и информационная служба</w:t>
      </w:r>
      <w:bookmarkEnd w:id="1006"/>
      <w:bookmarkEnd w:id="1007"/>
      <w:bookmarkEnd w:id="1008"/>
    </w:p>
    <w:p w:rsidR="00000000" w:rsidRDefault="00000000">
      <w:pPr>
        <w:pStyle w:val="SingleTxt"/>
        <w:ind w:firstLine="0"/>
        <w:jc w:val="left"/>
        <w:rPr>
          <w:lang w:val="de-DE"/>
        </w:rPr>
      </w:pPr>
      <w:r>
        <w:rPr>
          <w:lang w:val="de-DE"/>
        </w:rPr>
        <w:t>Публикуется: федеральной пресс- и информационной службой 11044 Berlin</w:t>
      </w:r>
      <w:r>
        <w:rPr>
          <w:lang w:val="de-DE"/>
        </w:rPr>
        <w:br/>
      </w:r>
      <w:hyperlink r:id="rId43" w:history="1">
        <w:r>
          <w:rPr>
            <w:rStyle w:val="Hyperlink"/>
            <w:lang w:val="de-DE"/>
          </w:rPr>
          <w:t>www.bundes</w:t>
        </w:r>
        <w:bookmarkStart w:id="1009" w:name="_Hlt5507668"/>
        <w:r>
          <w:rPr>
            <w:rStyle w:val="Hyperlink"/>
            <w:lang w:val="de-DE"/>
          </w:rPr>
          <w:t>r</w:t>
        </w:r>
        <w:bookmarkEnd w:id="1009"/>
        <w:r>
          <w:rPr>
            <w:rStyle w:val="Hyperlink"/>
            <w:lang w:val="de-DE"/>
          </w:rPr>
          <w:t>egierung.de</w:t>
        </w:r>
      </w:hyperlink>
    </w:p>
    <w:p w:rsidR="00000000" w:rsidRDefault="00000000">
      <w:pPr>
        <w:pStyle w:val="SingleTxt"/>
        <w:ind w:firstLine="0"/>
        <w:jc w:val="left"/>
        <w:rPr>
          <w:b/>
          <w:lang w:val="de-DE"/>
        </w:rPr>
      </w:pPr>
      <w:r>
        <w:rPr>
          <w:b/>
          <w:lang w:val="de-DE"/>
        </w:rPr>
        <w:t>Familie Deutschland. Mehr Chancen, mehr Rechte, mehr Sicherheit</w:t>
      </w:r>
    </w:p>
    <w:p w:rsidR="00000000" w:rsidRDefault="00000000">
      <w:pPr>
        <w:pStyle w:val="SingleTxt"/>
        <w:ind w:firstLine="0"/>
        <w:jc w:val="left"/>
        <w:rPr>
          <w:lang w:val="de-DE"/>
        </w:rPr>
      </w:pPr>
      <w:r>
        <w:rPr>
          <w:b/>
          <w:lang w:val="de-DE"/>
        </w:rPr>
        <w:t>Frauen in Europa</w:t>
      </w:r>
    </w:p>
    <w:p w:rsidR="00000000" w:rsidRDefault="00000000">
      <w:pPr>
        <w:pStyle w:val="H4"/>
        <w:rPr>
          <w:lang w:val="de-DE"/>
        </w:rPr>
      </w:pPr>
      <w:bookmarkStart w:id="1010" w:name="_Toc44113925"/>
      <w:bookmarkStart w:id="1011" w:name="_Toc44114434"/>
      <w:bookmarkStart w:id="1012" w:name="_Toc44116116"/>
      <w:r>
        <w:rPr>
          <w:lang w:val="de-DE"/>
        </w:rPr>
        <w:t>Федеральная служба занятости</w:t>
      </w:r>
      <w:bookmarkEnd w:id="1010"/>
      <w:bookmarkEnd w:id="1011"/>
      <w:bookmarkEnd w:id="1012"/>
    </w:p>
    <w:p w:rsidR="00000000" w:rsidRDefault="00000000">
      <w:pPr>
        <w:pStyle w:val="SingleTxt"/>
        <w:ind w:firstLine="0"/>
        <w:jc w:val="left"/>
        <w:rPr>
          <w:lang w:val="de-DE"/>
        </w:rPr>
      </w:pPr>
      <w:r>
        <w:rPr>
          <w:lang w:val="de-DE"/>
        </w:rPr>
        <w:t xml:space="preserve">Публикуется: Федеральной службой занятости, группа публикаций Postfach, 90327 Nürnberg, </w:t>
      </w:r>
      <w:hyperlink r:id="rId44" w:history="1">
        <w:r>
          <w:rPr>
            <w:rStyle w:val="Hyperlink"/>
            <w:lang w:val="de-DE"/>
          </w:rPr>
          <w:t>www.arbeitsamt.de</w:t>
        </w:r>
      </w:hyperlink>
    </w:p>
    <w:p w:rsidR="00000000" w:rsidRDefault="00000000">
      <w:pPr>
        <w:pStyle w:val="SingleTxt"/>
        <w:ind w:firstLine="0"/>
        <w:jc w:val="left"/>
        <w:rPr>
          <w:b/>
          <w:lang w:val="de-DE"/>
        </w:rPr>
      </w:pPr>
      <w:r>
        <w:rPr>
          <w:b/>
          <w:lang w:val="de-DE"/>
        </w:rPr>
        <w:t>Auswirkungen der Informationstechnik auf die Frauenerwerbstätigkeit – insbesondere in den Büroberufen</w:t>
      </w:r>
    </w:p>
    <w:p w:rsidR="00000000" w:rsidRDefault="00000000">
      <w:pPr>
        <w:pStyle w:val="SingleTxt"/>
        <w:ind w:firstLine="0"/>
        <w:jc w:val="left"/>
        <w:rPr>
          <w:b/>
          <w:lang w:val="de-DE"/>
        </w:rPr>
      </w:pPr>
      <w:r>
        <w:rPr>
          <w:b/>
          <w:lang w:val="de-DE"/>
        </w:rPr>
        <w:t>Frauenerwerbstätigkeit – Literatur und Forschungsprojekte</w:t>
      </w:r>
      <w:r>
        <w:rPr>
          <w:b/>
          <w:lang w:val="de-DE"/>
        </w:rPr>
        <w:br/>
      </w:r>
      <w:r>
        <w:rPr>
          <w:lang w:val="de-DE"/>
        </w:rPr>
        <w:t>Документация по имеющимся материалам исследований ситуации на рынке труда и профессий</w:t>
      </w:r>
    </w:p>
    <w:p w:rsidR="00000000" w:rsidRDefault="00000000">
      <w:pPr>
        <w:pStyle w:val="SingleTxt"/>
        <w:ind w:firstLine="0"/>
        <w:jc w:val="left"/>
        <w:rPr>
          <w:lang w:val="de-DE"/>
        </w:rPr>
      </w:pPr>
      <w:r>
        <w:rPr>
          <w:b/>
          <w:lang w:val="de-DE"/>
        </w:rPr>
        <w:t>Beschäftigungsprojekte für Frauen auf dem Lande in Ostdeutschland</w:t>
      </w:r>
      <w:r>
        <w:rPr>
          <w:b/>
          <w:lang w:val="de-DE"/>
        </w:rPr>
        <w:br/>
      </w:r>
      <w:r>
        <w:rPr>
          <w:lang w:val="de-DE"/>
        </w:rPr>
        <w:t>(Институт исследований рынка труда и профессий Федеральной службы занятости)</w:t>
      </w:r>
    </w:p>
    <w:p w:rsidR="00000000" w:rsidRDefault="00000000">
      <w:pPr>
        <w:pStyle w:val="SingleTxt"/>
        <w:ind w:firstLine="0"/>
        <w:jc w:val="left"/>
        <w:rPr>
          <w:lang w:val="de-DE"/>
        </w:rPr>
      </w:pPr>
      <w:r>
        <w:rPr>
          <w:b/>
          <w:lang w:val="de-DE"/>
        </w:rPr>
        <w:t>Informationen für die Beratungs- und Vermittlungsdienste der Bundesanstalt für Arbeit (IBV</w:t>
      </w:r>
      <w:r>
        <w:rPr>
          <w:lang w:val="de-DE"/>
        </w:rPr>
        <w:t xml:space="preserve">); </w:t>
      </w:r>
      <w:r>
        <w:rPr>
          <w:lang w:val="de-DE"/>
        </w:rPr>
        <w:br/>
        <w:t>регулярные специальные брошюры по женской проблематике, например актуализация гендерной политики, Frauen und IT, Teilzeitausbildung für Mütter und Väter, Wege zur Chancengleichheit, Weiter geht’s mit Job-AQTIV</w:t>
      </w:r>
    </w:p>
    <w:p w:rsidR="00000000" w:rsidRDefault="00000000">
      <w:pPr>
        <w:pStyle w:val="SingleTxt"/>
        <w:ind w:firstLine="0"/>
        <w:jc w:val="left"/>
        <w:rPr>
          <w:lang w:val="de-DE"/>
        </w:rPr>
      </w:pPr>
      <w:r>
        <w:rPr>
          <w:b/>
          <w:lang w:val="de-DE"/>
        </w:rPr>
        <w:t>Arbeitsmarktchancen für Frauen – Beiträge zur Arbeitsmarkt- und Berufsforschung</w:t>
      </w:r>
      <w:r>
        <w:rPr>
          <w:b/>
          <w:lang w:val="de-DE"/>
        </w:rPr>
        <w:br/>
      </w:r>
      <w:r>
        <w:rPr>
          <w:lang w:val="de-DE"/>
        </w:rPr>
        <w:t>Gerhard Engelbrech (ed.), BeitrAB 258, Nuremberg 2002</w:t>
      </w:r>
    </w:p>
    <w:p w:rsidR="00000000" w:rsidRDefault="00000000">
      <w:pPr>
        <w:pStyle w:val="SingleTxt"/>
        <w:ind w:firstLine="0"/>
        <w:jc w:val="left"/>
        <w:rPr>
          <w:lang w:val="en-US"/>
        </w:rPr>
      </w:pPr>
      <w:r>
        <w:rPr>
          <w:noProof/>
          <w:w w:val="100"/>
        </w:rPr>
        <w:pict>
          <v:line id="_x0000_s2173" style="position:absolute;left:0;text-align:left;z-index:1;mso-position-horizontal:absolute;mso-position-horizontal-relative:text;mso-position-vertical:absolute;mso-position-vertical-relative:text" from="197.9pt,34.05pt" to="269.9pt,34.05pt" o:allowincell="f" strokeweight=".25pt"/>
        </w:pict>
      </w:r>
    </w:p>
    <w:sectPr w:rsidR="00000000">
      <w:headerReference w:type="even" r:id="rId45"/>
      <w:headerReference w:type="default" r:id="rId46"/>
      <w:footerReference w:type="even" r:id="rId47"/>
      <w:footerReference w:type="default" r:id="rId48"/>
      <w:endnotePr>
        <w:numFmt w:val="decimal"/>
      </w:endnotePr>
      <w:pgSz w:w="12240" w:h="15840" w:code="1"/>
      <w:pgMar w:top="1741" w:right="1196" w:bottom="1899" w:left="1196" w:header="578" w:footer="1038"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w:t>
      </w:r>
      <w:r>
        <w:rPr>
          <w:lang w:val="en-US"/>
        </w:rPr>
        <w:t>25052</w:t>
      </w:r>
      <w:r>
        <w:t>R&lt;&lt;ODS JOB NO&gt;&gt;</w:t>
      </w:r>
    </w:p>
    <w:p w:rsidR="00000000" w:rsidRDefault="00000000">
      <w:pPr>
        <w:pStyle w:val="CommentText"/>
      </w:pPr>
      <w:r>
        <w:t>&lt;&lt;ODS DOC SYMBOL1&gt;&gt;</w:t>
      </w:r>
      <w:r>
        <w:rPr>
          <w:lang w:val="en-US"/>
        </w:rPr>
        <w:t>CEDAW/C/DEU/5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232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b w:val="0"/>
        <w:sz w:val="20"/>
      </w:rPr>
    </w:pPr>
    <w:r>
      <w:rPr>
        <w:b w:val="0"/>
        <w:sz w:val="20"/>
      </w:rPr>
      <w:t>03-25052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*0325052*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147</w:t>
          </w:r>
          <w: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236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237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pPr>
      <w:r>
        <w:rPr>
          <w:rStyle w:val="FootnoteReference"/>
        </w:rPr>
        <w:t>*</w:t>
      </w:r>
      <w:r>
        <w:t xml:space="preserve"> </w:t>
      </w:r>
      <w:r>
        <w:tab/>
        <w:t xml:space="preserve">Первоначальный доклад, представленный правительством Германии, см. в документах </w:t>
      </w:r>
      <w:r>
        <w:rPr>
          <w:lang w:val="en-US"/>
        </w:rPr>
        <w:t>CEDAW</w:t>
      </w:r>
      <w:r>
        <w:t>/</w:t>
      </w:r>
      <w:r>
        <w:rPr>
          <w:lang w:val="en-US"/>
        </w:rPr>
        <w:t>C</w:t>
      </w:r>
      <w:r>
        <w:t>/5/</w:t>
      </w:r>
      <w:r>
        <w:rPr>
          <w:lang w:val="en-US"/>
        </w:rPr>
        <w:t>Add</w:t>
      </w:r>
      <w:r>
        <w:t xml:space="preserve">. 59 и </w:t>
      </w:r>
      <w:r>
        <w:rPr>
          <w:lang w:val="en-US"/>
        </w:rPr>
        <w:t>Add</w:t>
      </w:r>
      <w:r>
        <w:t>.59/</w:t>
      </w:r>
      <w:r>
        <w:rPr>
          <w:lang w:val="en-US"/>
        </w:rPr>
        <w:t>Corr</w:t>
      </w:r>
      <w:r>
        <w:t>. 1; отчет о его рассмотрении Комитетом см. в док</w:t>
      </w:r>
      <w:r>
        <w:t>у</w:t>
      </w:r>
      <w:r>
        <w:t xml:space="preserve">ментах </w:t>
      </w:r>
      <w:r>
        <w:rPr>
          <w:lang w:val="en-US"/>
        </w:rPr>
        <w:t>CEDAW</w:t>
      </w:r>
      <w:r>
        <w:t>/</w:t>
      </w:r>
      <w:r>
        <w:rPr>
          <w:lang w:val="en-US"/>
        </w:rPr>
        <w:t>C</w:t>
      </w:r>
      <w:r>
        <w:t>/</w:t>
      </w:r>
      <w:r>
        <w:rPr>
          <w:lang w:val="en-US"/>
        </w:rPr>
        <w:t>SR</w:t>
      </w:r>
      <w:r>
        <w:t xml:space="preserve">.152, </w:t>
      </w:r>
      <w:r>
        <w:rPr>
          <w:lang w:val="en-US"/>
        </w:rPr>
        <w:t>CEDAW</w:t>
      </w:r>
      <w:r>
        <w:t>/</w:t>
      </w:r>
      <w:r>
        <w:rPr>
          <w:lang w:val="en-US"/>
        </w:rPr>
        <w:t>C</w:t>
      </w:r>
      <w:r>
        <w:t>/</w:t>
      </w:r>
      <w:r>
        <w:rPr>
          <w:lang w:val="en-US"/>
        </w:rPr>
        <w:t>SR</w:t>
      </w:r>
      <w:r>
        <w:t xml:space="preserve">.157 и </w:t>
      </w:r>
      <w:r>
        <w:rPr>
          <w:i/>
        </w:rPr>
        <w:t>Официальные отчеты Генеральной А</w:t>
      </w:r>
      <w:r>
        <w:rPr>
          <w:i/>
        </w:rPr>
        <w:t>с</w:t>
      </w:r>
      <w:r>
        <w:rPr>
          <w:i/>
        </w:rPr>
        <w:t>самблеи, сорок пятая сессия, Дополнение № 38 </w:t>
      </w:r>
      <w:r>
        <w:t>(А/45/38), пункты 51–92. Объедине</w:t>
      </w:r>
      <w:r>
        <w:t>н</w:t>
      </w:r>
      <w:r>
        <w:t>ные второй и третий и четвертый периодические доклады, представленные правител</w:t>
      </w:r>
      <w:r>
        <w:t>ь</w:t>
      </w:r>
      <w:r>
        <w:t xml:space="preserve">ством Германии, см. в документах </w:t>
      </w:r>
      <w:r>
        <w:rPr>
          <w:lang w:val="en-US"/>
        </w:rPr>
        <w:t>CEDAW</w:t>
      </w:r>
      <w:r>
        <w:t>/</w:t>
      </w:r>
      <w:r>
        <w:rPr>
          <w:lang w:val="en-US"/>
        </w:rPr>
        <w:t>C</w:t>
      </w:r>
      <w:r>
        <w:t>/</w:t>
      </w:r>
      <w:r>
        <w:rPr>
          <w:lang w:val="en-US"/>
        </w:rPr>
        <w:t>DEU</w:t>
      </w:r>
      <w:r>
        <w:t xml:space="preserve">/2-3 и </w:t>
      </w:r>
      <w:r>
        <w:rPr>
          <w:lang w:val="en-US"/>
        </w:rPr>
        <w:t>CEDAW</w:t>
      </w:r>
      <w:r>
        <w:t>/</w:t>
      </w:r>
      <w:r>
        <w:rPr>
          <w:lang w:val="en-US"/>
        </w:rPr>
        <w:t>C</w:t>
      </w:r>
      <w:r>
        <w:t>/</w:t>
      </w:r>
      <w:r>
        <w:rPr>
          <w:lang w:val="en-US"/>
        </w:rPr>
        <w:t>DEU</w:t>
      </w:r>
      <w:r>
        <w:t xml:space="preserve">/4; отчет об их рассмотрении Комитетом см. в документах </w:t>
      </w:r>
      <w:r>
        <w:rPr>
          <w:lang w:val="en-US"/>
        </w:rPr>
        <w:t>CEDAW</w:t>
      </w:r>
      <w:r>
        <w:t>/</w:t>
      </w:r>
      <w:r>
        <w:rPr>
          <w:lang w:val="en-US"/>
        </w:rPr>
        <w:t>C</w:t>
      </w:r>
      <w:r>
        <w:t>/</w:t>
      </w:r>
      <w:r>
        <w:rPr>
          <w:lang w:val="en-US"/>
        </w:rPr>
        <w:t>SR</w:t>
      </w:r>
      <w:r>
        <w:t xml:space="preserve">.464 и 465 и </w:t>
      </w:r>
      <w:r>
        <w:rPr>
          <w:i/>
        </w:rPr>
        <w:t>Официальные отчеты Генеральной Ассамблеи, пятьдесят пятая сессия, Дополнение № 38 </w:t>
      </w:r>
      <w:r>
        <w:t>(А/55/38).</w:t>
      </w:r>
    </w:p>
  </w:footnote>
  <w:footnote w:id="2">
    <w:p w:rsidR="00000000" w:rsidRDefault="00000000">
      <w:pPr>
        <w:pStyle w:val="FootnoteText"/>
      </w:pPr>
      <w:r>
        <w:rPr>
          <w:rStyle w:val="FootnoteReference"/>
        </w:rPr>
        <w:t>**</w:t>
      </w:r>
      <w:r>
        <w:t xml:space="preserve"> </w:t>
      </w:r>
      <w:r>
        <w:tab/>
        <w:t>Настоящий документ издается без официального редактирования.</w:t>
      </w:r>
    </w:p>
  </w:footnote>
  <w:footnote w:id="3">
    <w:p w:rsidR="00000000" w:rsidRDefault="00000000">
      <w:pPr>
        <w:pStyle w:val="FootnoteText"/>
      </w:pPr>
      <w:r>
        <w:rPr>
          <w:rStyle w:val="FootnoteReference"/>
        </w:rPr>
        <w:footnoteRef/>
      </w:r>
      <w:r>
        <w:t xml:space="preserve"> </w:t>
      </w:r>
      <w:r>
        <w:tab/>
        <w:t xml:space="preserve">Текст этого приложения содержится в документе </w:t>
      </w:r>
      <w:r>
        <w:rPr>
          <w:lang w:val="en-US"/>
        </w:rPr>
        <w:t>A</w:t>
      </w:r>
      <w:r>
        <w:t>/55/38/</w:t>
      </w:r>
      <w:r>
        <w:rPr>
          <w:lang w:val="en-US"/>
        </w:rPr>
        <w:t>Rev</w:t>
      </w:r>
      <w:r>
        <w:t xml:space="preserve">.1. С ним также можно ознакомиться по адресу </w:t>
      </w:r>
      <w:r>
        <w:rPr>
          <w:lang w:val="en-US"/>
        </w:rPr>
        <w:t>http</w:t>
      </w:r>
      <w:r>
        <w:t>:/</w:t>
      </w:r>
      <w:r>
        <w:rPr>
          <w:lang w:val="en-US"/>
        </w:rPr>
        <w:t>www</w:t>
      </w:r>
      <w:r>
        <w:t>.</w:t>
      </w:r>
      <w:r>
        <w:rPr>
          <w:lang w:val="en-US"/>
        </w:rPr>
        <w:t>un</w:t>
      </w:r>
      <w:r>
        <w:t>.</w:t>
      </w:r>
      <w:r>
        <w:rPr>
          <w:lang w:val="en-US"/>
        </w:rPr>
        <w:t>org</w:t>
      </w:r>
      <w:r>
        <w:t>/</w:t>
      </w:r>
      <w:r>
        <w:rPr>
          <w:lang w:val="en-US"/>
        </w:rPr>
        <w:t>womenwatch</w:t>
      </w:r>
      <w:r>
        <w:t>/</w:t>
      </w:r>
      <w:r>
        <w:rPr>
          <w:lang w:val="en-US"/>
        </w:rPr>
        <w:t>daw</w:t>
      </w:r>
      <w:r>
        <w:t>/</w:t>
      </w:r>
      <w:r>
        <w:rPr>
          <w:lang w:val="en-US"/>
        </w:rPr>
        <w:t>cedaw</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3;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2;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/C/DEU/5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всех форм дискриминации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18 Decembery 2002</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1" type="#_x0000_t202" style="position:absolute;margin-left:-2pt;margin-top:-1.25pt;width:495pt;height:50.4pt;z-index:5;mso-position-horizontal:absolute;mso-position-horizontal-relative:text;mso-position-vertical:absolute;mso-position-vertical-relative:text" o:allowincell="f" stroked="f">
          <v:textbox style="mso-next-textbox:#_x0000_s1111;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5172"/>
                  <w:gridCol w:w="4743"/>
                </w:tblGrid>
                <w:tr w:rsidR="00000000">
                  <w:tblPrEx>
                    <w:tblCellMar>
                      <w:top w:w="0" w:type="dxa"/>
                      <w:left w:w="0" w:type="dxa"/>
                      <w:bottom w:w="0" w:type="dxa"/>
                      <w:right w:w="0" w:type="dxa"/>
                    </w:tblCellMar>
                  </w:tblPrEx>
                  <w:trPr>
                    <w:trHeight w:hRule="exact" w:val="864"/>
                  </w:trPr>
                  <w:tc>
                    <w:tcPr>
                      <w:tcW w:w="5172" w:type="dxa"/>
                      <w:vAlign w:val="bottom"/>
                    </w:tcPr>
                    <w:p w:rsidR="00000000" w:rsidRDefault="00000000">
                      <w:pPr>
                        <w:pStyle w:val="Header"/>
                        <w:spacing w:after="80"/>
                        <w:rPr>
                          <w:b/>
                        </w:rPr>
                      </w:pPr>
                      <w:r>
                        <w:rPr>
                          <w:b/>
                        </w:rPr>
                        <w:t>CEDAW/C/DEU/5</w:t>
                      </w:r>
                    </w:p>
                  </w:tc>
                  <w:tc>
                    <w:tcPr>
                      <w:tcW w:w="4743"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93.5pt;height:50.25pt" fillcolor="window">
            <v:imagedata croptop="-65520f" cropbottom="65520f"/>
            <o:lock v:ext="edit" rotation="t" position="t"/>
          </v:shape>
        </w:pict>
      </w:r>
    </w:fldSimple>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119" type="#_x0000_t202" style="position:absolute;margin-left:-29.4pt;margin-top:30.15pt;width:25.8pt;height:477.9pt;z-index:9;mso-position-horizontal:absolute;mso-position-horizontal-relative:text;mso-position-vertical:absolute;mso-position-vertical-relative:text" o:allowincell="f" stroked="f">
          <v:textbox style="layout-flow:vertical;mso-next-textbox:#_x0000_s1119;mso-rotate-with-shape:t" inset="0,0,0,0">
            <w:txbxContent>
              <w:p w:rsidR="00000000" w:rsidRDefault="00000000">
                <w:pPr>
                  <w:spacing w:before="120"/>
                  <w:rPr>
                    <w:sz w:val="17"/>
                    <w:lang w:val="en-US"/>
                  </w:rPr>
                </w:pPr>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Pr>
                    <w:rStyle w:val="PageNumber"/>
                    <w:b/>
                    <w:noProof/>
                    <w:spacing w:val="0"/>
                    <w:w w:val="100"/>
                    <w:kern w:val="0"/>
                    <w:sz w:val="17"/>
                  </w:rPr>
                  <w:t>232</w:t>
                </w:r>
                <w:r>
                  <w:rPr>
                    <w:rStyle w:val="PageNumber"/>
                    <w:b/>
                    <w:noProof/>
                    <w:spacing w:val="0"/>
                    <w:w w:val="100"/>
                    <w:kern w:val="0"/>
                    <w:sz w:val="17"/>
                  </w:rPr>
                  <w:fldChar w:fldCharType="end"/>
                </w:r>
              </w:p>
            </w:txbxContent>
          </v:textbox>
        </v:shape>
      </w:pict>
    </w:r>
    <w:r>
      <w:pict>
        <v:shape id="_x0000_s1112" type="#_x0000_t202" style="position:absolute;margin-left:618pt;margin-top:30.15pt;width:25.8pt;height:477.9pt;z-index:6;mso-position-horizontal:absolute;mso-position-horizontal-relative:text;mso-position-vertical:absolute;mso-position-vertical-relative:text" o:allowincell="f" stroked="f">
          <v:textbox style="layout-flow:vertical;mso-next-textbox:#_x0000_s1112;mso-rotate-with-shape:t" inset="0,0,0,0">
            <w:txbxContent>
              <w:p w:rsidR="00000000" w:rsidRDefault="00000000">
                <w:pPr>
                  <w:pBdr>
                    <w:bottom w:val="single" w:sz="4" w:space="1" w:color="auto"/>
                  </w:pBdr>
                  <w:spacing w:before="240"/>
                  <w:rPr>
                    <w:sz w:val="17"/>
                    <w:lang w:val="en-US"/>
                  </w:rPr>
                </w:pPr>
                <w:r>
                  <w:rPr>
                    <w:b/>
                    <w:sz w:val="17"/>
                    <w:lang w:val="en-US"/>
                  </w:rPr>
                  <w:t>CEDAW/C/DEU/5</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117" type="#_x0000_t202" style="position:absolute;margin-left:618pt;margin-top:30.75pt;width:25.8pt;height:487.8pt;z-index:7;mso-position-horizontal:absolute;mso-position-horizontal-relative:text;mso-position-vertical:absolute;mso-position-vertical-relative:text" o:allowincell="f" stroked="f">
          <v:textbox style="layout-flow:vertical;mso-next-textbox:#_x0000_s1117;mso-rotate-with-shape:t" inset="0,0,0,0">
            <w:txbxContent>
              <w:p w:rsidR="00000000" w:rsidRDefault="00000000">
                <w:pPr>
                  <w:pBdr>
                    <w:bottom w:val="single" w:sz="4" w:space="1" w:color="auto"/>
                  </w:pBdr>
                  <w:spacing w:before="240"/>
                  <w:jc w:val="right"/>
                  <w:rPr>
                    <w:sz w:val="17"/>
                    <w:lang w:val="en-US"/>
                  </w:rPr>
                </w:pPr>
                <w:r>
                  <w:rPr>
                    <w:b/>
                    <w:sz w:val="17"/>
                    <w:lang w:val="en-US"/>
                  </w:rPr>
                  <w:t>CEDAW/C/DEU/5</w:t>
                </w:r>
              </w:p>
            </w:txbxContent>
          </v:textbox>
        </v:shape>
      </w:pict>
    </w:r>
    <w:r>
      <w:rPr>
        <w:sz w:val="20"/>
      </w:rPr>
      <w:pict>
        <v:shape id="_x0000_s1118" type="#_x0000_t202" style="position:absolute;margin-left:-25.2pt;margin-top:40.65pt;width:25.8pt;height:477.9pt;z-index:8;mso-position-horizontal:absolute;mso-position-horizontal-relative:text;mso-position-vertical:absolute;mso-position-vertical-relative:text" o:allowincell="f" stroked="f">
          <v:textbox style="layout-flow:vertical;mso-next-textbox:#_x0000_s1118;mso-rotate-with-shape:t" inset="0,0,0,0">
            <w:txbxContent>
              <w:p w:rsidR="00000000" w:rsidRDefault="00000000">
                <w:pPr>
                  <w:spacing w:before="120"/>
                  <w:jc w:val="right"/>
                  <w:rPr>
                    <w:sz w:val="17"/>
                    <w:lang w:val="en-US"/>
                  </w:rPr>
                </w:pPr>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Pr>
                    <w:rStyle w:val="PageNumber"/>
                    <w:b/>
                    <w:noProof/>
                    <w:spacing w:val="0"/>
                    <w:w w:val="100"/>
                    <w:kern w:val="0"/>
                    <w:sz w:val="17"/>
                  </w:rPr>
                  <w:t>143</w:t>
                </w:r>
                <w:r>
                  <w:rPr>
                    <w:rStyle w:val="PageNumber"/>
                    <w:b/>
                    <w:noProof/>
                    <w:spacing w:val="0"/>
                    <w:w w:val="100"/>
                    <w:kern w:val="0"/>
                    <w:sz w:val="17"/>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93.5pt;height:50.25pt" fillcolor="window">
            <v:imagedata croptop="-65520f" cropbottom="65520f"/>
            <o:lock v:ext="edit" rotation="t" position="t"/>
          </v:shape>
        </w:pict>
      </w:r>
    </w:fldSimple>
    <w:r>
      <w:pict>
        <v:shapetype id="_x0000_t202" coordsize="21600,21600" o:spt="202" path="m,l,21600r21600,l21600,xe">
          <v:stroke joinstyle="miter"/>
          <v:path gradientshapeok="t" o:connecttype="rect"/>
        </v:shapetype>
        <v:shape id="_x0000_s1126" type="#_x0000_t202" style="position:absolute;margin-left:618pt;margin-top:30.15pt;width:25.8pt;height:477.9pt;z-index:14;mso-position-horizontal:absolute;mso-position-horizontal-relative:text;mso-position-vertical:absolute;mso-position-vertical-relative:text" o:allowincell="f" stroked="f">
          <v:textbox style="layout-flow:vertical;mso-next-textbox:#_x0000_s1126;mso-rotate-with-shape:t" inset="0,0,0,0">
            <w:txbxContent>
              <w:p w:rsidR="00000000" w:rsidRDefault="00000000">
                <w:pPr>
                  <w:pBdr>
                    <w:bottom w:val="single" w:sz="4" w:space="1" w:color="auto"/>
                  </w:pBdr>
                  <w:spacing w:before="240"/>
                  <w:rPr>
                    <w:sz w:val="17"/>
                    <w:lang w:val="en-US"/>
                  </w:rPr>
                </w:pPr>
                <w:r>
                  <w:rPr>
                    <w:b/>
                    <w:sz w:val="17"/>
                    <w:lang w:val="en-US"/>
                  </w:rPr>
                  <w:t>CEDAW/C/DEU/5</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93.5pt;height:50.25pt" fillcolor="window">
            <v:imagedata croptop="-65520f" cropbottom="65520f"/>
            <o:lock v:ext="edit" rotation="t" position="t"/>
          </v:shape>
        </w:pict>
      </w:r>
    </w:fldSimple>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120" type="#_x0000_t202" style="position:absolute;margin-left:-30pt;margin-top:30.15pt;width:25.8pt;height:477.9pt;z-index:10;mso-position-horizontal:absolute;mso-position-horizontal-relative:text;mso-position-vertical:absolute;mso-position-vertical-relative:text" o:allowincell="f" stroked="f">
          <v:textbox style="layout-flow:vertical;mso-next-textbox:#_x0000_s1120;mso-rotate-with-shape:t" inset="0,0,0,0">
            <w:txbxContent>
              <w:p w:rsidR="00000000" w:rsidRDefault="00000000">
                <w:pPr>
                  <w:spacing w:before="120"/>
                  <w:rPr>
                    <w:sz w:val="17"/>
                    <w:lang w:val="en-US"/>
                  </w:rPr>
                </w:pPr>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Pr>
                    <w:rStyle w:val="PageNumber"/>
                    <w:b/>
                    <w:noProof/>
                    <w:spacing w:val="0"/>
                    <w:w w:val="100"/>
                    <w:kern w:val="0"/>
                    <w:sz w:val="17"/>
                  </w:rPr>
                  <w:t>160</w:t>
                </w:r>
                <w:r>
                  <w:rPr>
                    <w:rStyle w:val="PageNumber"/>
                    <w:b/>
                    <w:noProof/>
                    <w:spacing w:val="0"/>
                    <w:w w:val="100"/>
                    <w:kern w:val="0"/>
                    <w:sz w:val="17"/>
                  </w:rPr>
                  <w:fldChar w:fldCharType="end"/>
                </w:r>
              </w:p>
            </w:txbxContent>
          </v:textbox>
        </v:shape>
      </w:pict>
    </w:r>
    <w:r>
      <w:rPr>
        <w:sz w:val="20"/>
      </w:rPr>
      <w:pict>
        <v:shape id="_x0000_s1121" type="#_x0000_t202" style="position:absolute;margin-left:613.5pt;margin-top:30.15pt;width:25.8pt;height:488.4pt;z-index:11;mso-position-horizontal:absolute;mso-position-horizontal-relative:text;mso-position-vertical:absolute;mso-position-vertical-relative:text" o:allowincell="f" stroked="f">
          <v:textbox style="layout-flow:vertical;mso-next-textbox:#_x0000_s1121;mso-rotate-with-shape:t" inset="0,0,0,0">
            <w:txbxContent>
              <w:p w:rsidR="00000000" w:rsidRDefault="00000000">
                <w:pPr>
                  <w:pBdr>
                    <w:bottom w:val="single" w:sz="4" w:space="1" w:color="auto"/>
                  </w:pBdr>
                  <w:spacing w:before="240"/>
                  <w:rPr>
                    <w:sz w:val="17"/>
                    <w:lang w:val="en-US"/>
                  </w:rPr>
                </w:pPr>
                <w:r>
                  <w:rPr>
                    <w:b/>
                    <w:sz w:val="17"/>
                    <w:lang w:val="en-US"/>
                  </w:rPr>
                  <w:t>CEDAW/C/DEU/5</w:t>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124" type="#_x0000_t202" style="position:absolute;margin-left:-25.2pt;margin-top:40.65pt;width:25.8pt;height:477.9pt;z-index:12;mso-position-horizontal:absolute;mso-position-horizontal-relative:text;mso-position-vertical:absolute;mso-position-vertical-relative:text" o:allowincell="f" stroked="f">
          <v:textbox style="layout-flow:vertical;mso-next-textbox:#_x0000_s1124;mso-rotate-with-shape:t" inset="0,0,0,0">
            <w:txbxContent>
              <w:p w:rsidR="00000000" w:rsidRDefault="00000000">
                <w:pPr>
                  <w:spacing w:before="120"/>
                  <w:jc w:val="right"/>
                  <w:rPr>
                    <w:sz w:val="17"/>
                    <w:lang w:val="en-US"/>
                  </w:rPr>
                </w:pPr>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Pr>
                    <w:rStyle w:val="PageNumber"/>
                    <w:b/>
                    <w:noProof/>
                    <w:spacing w:val="0"/>
                    <w:w w:val="100"/>
                    <w:kern w:val="0"/>
                    <w:sz w:val="17"/>
                  </w:rPr>
                  <w:t>159</w:t>
                </w:r>
                <w:r>
                  <w:rPr>
                    <w:rStyle w:val="PageNumber"/>
                    <w:b/>
                    <w:noProof/>
                    <w:spacing w:val="0"/>
                    <w:w w:val="100"/>
                    <w:kern w:val="0"/>
                    <w:sz w:val="17"/>
                  </w:rPr>
                  <w:fldChar w:fldCharType="end"/>
                </w:r>
              </w:p>
            </w:txbxContent>
          </v:textbox>
        </v:shape>
      </w:pict>
    </w:r>
    <w:r>
      <w:rPr>
        <w:sz w:val="20"/>
      </w:rPr>
      <w:pict>
        <v:shape id="_x0000_s1125" type="#_x0000_t202" style="position:absolute;margin-left:612pt;margin-top:30.15pt;width:25.8pt;height:488.4pt;z-index:13;mso-position-horizontal:absolute;mso-position-horizontal-relative:text;mso-position-vertical:absolute;mso-position-vertical-relative:text" o:allowincell="f" stroked="f">
          <v:textbox style="layout-flow:vertical;mso-next-textbox:#_x0000_s1125;mso-rotate-with-shape:t" inset="0,0,0,0">
            <w:txbxContent>
              <w:p w:rsidR="00000000" w:rsidRDefault="00000000">
                <w:pPr>
                  <w:pBdr>
                    <w:bottom w:val="single" w:sz="4" w:space="1" w:color="auto"/>
                  </w:pBdr>
                  <w:spacing w:before="240"/>
                  <w:jc w:val="right"/>
                  <w:rPr>
                    <w:sz w:val="17"/>
                    <w:lang w:val="en-US"/>
                  </w:rPr>
                </w:pPr>
                <w:r>
                  <w:rPr>
                    <w:b/>
                    <w:sz w:val="17"/>
                    <w:lang w:val="en-US"/>
                  </w:rPr>
                  <w:t>CEDAW/C/DEU/5</w:t>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93.5pt;height:50.25pt" fillcolor="window">
            <v:imagedata croptop="-65520f" cropbottom="65520f"/>
            <o:lock v:ext="edit" rotation="t" position="t"/>
          </v:shape>
        </w:pict>
      </w:r>
    </w:fldSimple>
    <w:r>
      <w:pict>
        <v:shapetype id="_x0000_t202" coordsize="21600,21600" o:spt="202" path="m,l,21600r21600,l21600,xe">
          <v:stroke joinstyle="miter"/>
          <v:path gradientshapeok="t" o:connecttype="rect"/>
        </v:shapetype>
        <v:shape id="_x0000_s1130" type="#_x0000_t202" style="position:absolute;margin-left:613.5pt;margin-top:30.15pt;width:25.8pt;height:488.4pt;z-index:16;mso-position-horizontal:absolute;mso-position-horizontal-relative:text;mso-position-vertical:absolute;mso-position-vertical-relative:text" o:allowincell="f" stroked="f">
          <v:textbox style="layout-flow:vertical;mso-next-textbox:#_x0000_s1130;mso-rotate-with-shape:t" inset="0,0,0,0">
            <w:txbxContent>
              <w:p w:rsidR="00000000" w:rsidRDefault="00000000">
                <w:pPr>
                  <w:pBdr>
                    <w:bottom w:val="single" w:sz="4" w:space="1" w:color="auto"/>
                  </w:pBdr>
                  <w:spacing w:before="240"/>
                  <w:rPr>
                    <w:sz w:val="17"/>
                    <w:lang w:val="en-US"/>
                  </w:rPr>
                </w:pPr>
                <w:r>
                  <w:rPr>
                    <w:b/>
                    <w:sz w:val="17"/>
                    <w:lang w:val="en-US"/>
                  </w:rPr>
                  <w:t>CEDAW/C/DEU/5</w:t>
                </w: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93.5pt;height:50.25pt" fillcolor="window">
            <v:imagedata croptop="-65520f" cropbottom="65520f"/>
            <o:lock v:ext="edit" rotation="t" position="t"/>
          </v:shape>
        </w:pict>
      </w:r>
    </w:fldSimple>
    <w:r>
      <w:rPr>
        <w:sz w:val="20"/>
      </w:rPr>
      <w:pict>
        <v:shapetype id="_x0000_t202" coordsize="21600,21600" o:spt="202" path="m,l,21600r21600,l21600,xe">
          <v:stroke joinstyle="miter"/>
          <v:path gradientshapeok="t" o:connecttype="rect"/>
        </v:shapetype>
        <v:shape id="_x0000_s1132" type="#_x0000_t202" style="position:absolute;margin-left:612pt;margin-top:30.15pt;width:25.8pt;height:488.4pt;z-index:17;mso-position-horizontal:absolute;mso-position-horizontal-relative:text;mso-position-vertical:absolute;mso-position-vertical-relative:text" o:allowincell="f" stroked="f">
          <v:textbox style="layout-flow:vertical;mso-next-textbox:#_x0000_s1132;mso-rotate-with-shape:t" inset="0,0,0,0">
            <w:txbxContent>
              <w:p w:rsidR="00000000" w:rsidRDefault="00000000">
                <w:pPr>
                  <w:pBdr>
                    <w:bottom w:val="single" w:sz="4" w:space="1" w:color="auto"/>
                  </w:pBdr>
                  <w:spacing w:before="240"/>
                  <w:jc w:val="right"/>
                  <w:rPr>
                    <w:sz w:val="17"/>
                    <w:lang w:val="en-US"/>
                  </w:rPr>
                </w:pPr>
                <w:r>
                  <w:rPr>
                    <w:b/>
                    <w:sz w:val="17"/>
                    <w:lang w:val="en-US"/>
                  </w:rPr>
                  <w:t>CEDAW/C/DEU/5</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lvlText w:val="%1."/>
      <w:lvlJc w:val="left"/>
      <w:pPr>
        <w:tabs>
          <w:tab w:val="num" w:pos="1492"/>
        </w:tabs>
        <w:ind w:left="1492" w:hanging="360"/>
      </w:pPr>
    </w:lvl>
  </w:abstractNum>
  <w:abstractNum w:abstractNumId="1">
    <w:nsid w:val="FFFFFF7D"/>
    <w:multiLevelType w:val="singleLevel"/>
    <w:tmpl w:val="8E70E744"/>
    <w:lvl w:ilvl="0">
      <w:start w:val="1"/>
      <w:numFmt w:val="decimal"/>
      <w:lvlText w:val="%1."/>
      <w:lvlJc w:val="left"/>
      <w:pPr>
        <w:tabs>
          <w:tab w:val="num" w:pos="1209"/>
        </w:tabs>
        <w:ind w:left="1209" w:hanging="360"/>
      </w:pPr>
    </w:lvl>
  </w:abstractNum>
  <w:abstractNum w:abstractNumId="2">
    <w:nsid w:val="FFFFFF7E"/>
    <w:multiLevelType w:val="singleLevel"/>
    <w:tmpl w:val="8154F592"/>
    <w:lvl w:ilvl="0">
      <w:start w:val="1"/>
      <w:numFmt w:val="decimal"/>
      <w:lvlText w:val="%1."/>
      <w:lvlJc w:val="left"/>
      <w:pPr>
        <w:tabs>
          <w:tab w:val="num" w:pos="926"/>
        </w:tabs>
        <w:ind w:left="926" w:hanging="360"/>
      </w:pPr>
    </w:lvl>
  </w:abstractNum>
  <w:abstractNum w:abstractNumId="3">
    <w:nsid w:val="FFFFFF7F"/>
    <w:multiLevelType w:val="singleLevel"/>
    <w:tmpl w:val="9D1474D4"/>
    <w:lvl w:ilvl="0">
      <w:start w:val="1"/>
      <w:numFmt w:val="decimal"/>
      <w:lvlText w:val="%1."/>
      <w:lvlJc w:val="left"/>
      <w:pPr>
        <w:tabs>
          <w:tab w:val="num" w:pos="643"/>
        </w:tabs>
        <w:ind w:left="643" w:hanging="360"/>
      </w:pPr>
    </w:lvl>
  </w:abstractNum>
  <w:abstractNum w:abstractNumId="4">
    <w:nsid w:val="FFFFFF82"/>
    <w:multiLevelType w:val="singleLevel"/>
    <w:tmpl w:val="2DC09848"/>
    <w:lvl w:ilvl="0">
      <w:start w:val="1"/>
      <w:numFmt w:val="bullet"/>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lvlText w:val="%1."/>
      <w:lvlJc w:val="left"/>
      <w:pPr>
        <w:tabs>
          <w:tab w:val="num" w:pos="360"/>
        </w:tabs>
        <w:ind w:left="360" w:hanging="360"/>
      </w:pPr>
    </w:lvl>
  </w:abstractNum>
  <w:abstractNum w:abstractNumId="6">
    <w:nsid w:val="FFFFFF89"/>
    <w:multiLevelType w:val="singleLevel"/>
    <w:tmpl w:val="98C07790"/>
    <w:lvl w:ilvl="0">
      <w:start w:val="1"/>
      <w:numFmt w:val="bullet"/>
      <w:lvlText w:val=""/>
      <w:lvlJc w:val="left"/>
      <w:pPr>
        <w:tabs>
          <w:tab w:val="num" w:pos="360"/>
        </w:tabs>
        <w:ind w:left="360" w:hanging="360"/>
      </w:pPr>
      <w:rPr>
        <w:rFonts w:ascii="Symbol" w:hAnsi="Symbol" w:hint="default"/>
      </w:rPr>
    </w:lvl>
  </w:abstractNum>
  <w:abstractNum w:abstractNumId="7">
    <w:nsid w:val="FFFFFFFE"/>
    <w:multiLevelType w:val="singleLevel"/>
    <w:tmpl w:val="FFFFFFFF"/>
    <w:lvl w:ilvl="0">
      <w:numFmt w:val="decimal"/>
      <w:lvlText w:val="*"/>
      <w:lvlJc w:val="left"/>
    </w:lvl>
  </w:abstractNum>
  <w:abstractNum w:abstractNumId="8">
    <w:nsid w:val="005C0354"/>
    <w:multiLevelType w:val="multilevel"/>
    <w:tmpl w:val="9B72DD2A"/>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00736C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01B64A01"/>
    <w:multiLevelType w:val="hybridMultilevel"/>
    <w:tmpl w:val="88301A70"/>
    <w:lvl w:ilvl="0">
      <w:start w:val="1"/>
      <w:numFmt w:val="lowerLetter"/>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3562D33"/>
    <w:multiLevelType w:val="singleLevel"/>
    <w:tmpl w:val="04190011"/>
    <w:lvl w:ilvl="0">
      <w:start w:val="1"/>
      <w:numFmt w:val="decimal"/>
      <w:lvlText w:val="%1)"/>
      <w:lvlJc w:val="left"/>
      <w:pPr>
        <w:tabs>
          <w:tab w:val="num" w:pos="360"/>
        </w:tabs>
        <w:ind w:left="360" w:hanging="360"/>
      </w:pPr>
      <w:rPr>
        <w:rFonts w:hint="default"/>
        <w:b w:val="0"/>
      </w:rPr>
    </w:lvl>
  </w:abstractNum>
  <w:abstractNum w:abstractNumId="12">
    <w:nsid w:val="035A3137"/>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3">
    <w:nsid w:val="0379700B"/>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14">
    <w:nsid w:val="0382334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03BA31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05302EA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061B5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
    <w:nsid w:val="062621BA"/>
    <w:multiLevelType w:val="hybridMultilevel"/>
    <w:tmpl w:val="112AF3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62B54E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06D427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06F33D7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
    <w:nsid w:val="070C17B8"/>
    <w:multiLevelType w:val="singleLevel"/>
    <w:tmpl w:val="81D66F38"/>
    <w:lvl w:ilvl="0">
      <w:start w:val="1"/>
      <w:numFmt w:val="bullet"/>
      <w:lvlText w:val=""/>
      <w:lvlJc w:val="left"/>
      <w:pPr>
        <w:tabs>
          <w:tab w:val="num" w:pos="360"/>
        </w:tabs>
        <w:ind w:left="360" w:hanging="360"/>
      </w:pPr>
      <w:rPr>
        <w:rFonts w:ascii="Symbol" w:hAnsi="Symbol" w:hint="default"/>
      </w:rPr>
    </w:lvl>
  </w:abstractNum>
  <w:abstractNum w:abstractNumId="23">
    <w:nsid w:val="07A1632A"/>
    <w:multiLevelType w:val="multilevel"/>
    <w:tmpl w:val="068C8A00"/>
    <w:lvl w:ilvl="0">
      <w:start w:val="16"/>
      <w:numFmt w:val="decimal"/>
      <w:lvlText w:val="%1"/>
      <w:lvlJc w:val="left"/>
      <w:pPr>
        <w:tabs>
          <w:tab w:val="num" w:pos="705"/>
        </w:tabs>
        <w:ind w:left="705" w:hanging="705"/>
      </w:pPr>
      <w:rPr>
        <w:rFonts w:hint="default"/>
      </w:rPr>
    </w:lvl>
    <w:lvl w:ilvl="1">
      <w:start w:val="1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07C120B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25">
    <w:nsid w:val="07CC3B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nsid w:val="08915664"/>
    <w:multiLevelType w:val="singleLevel"/>
    <w:tmpl w:val="AF109E4A"/>
    <w:lvl w:ilvl="0">
      <w:start w:val="7"/>
      <w:numFmt w:val="bullet"/>
      <w:lvlText w:val="-"/>
      <w:lvlJc w:val="left"/>
      <w:pPr>
        <w:tabs>
          <w:tab w:val="num" w:pos="720"/>
        </w:tabs>
        <w:ind w:left="720" w:hanging="720"/>
      </w:pPr>
      <w:rPr>
        <w:rFonts w:hint="default"/>
      </w:rPr>
    </w:lvl>
  </w:abstractNum>
  <w:abstractNum w:abstractNumId="27">
    <w:nsid w:val="08C770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0B1A047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nsid w:val="0B987EBF"/>
    <w:multiLevelType w:val="singleLevel"/>
    <w:tmpl w:val="7124E982"/>
    <w:lvl w:ilvl="0">
      <w:start w:val="1"/>
      <w:numFmt w:val="lowerRoman"/>
      <w:lvlText w:val="%1."/>
      <w:lvlJc w:val="left"/>
      <w:pPr>
        <w:tabs>
          <w:tab w:val="num" w:pos="720"/>
        </w:tabs>
        <w:ind w:left="720" w:hanging="720"/>
      </w:pPr>
      <w:rPr>
        <w:rFonts w:hint="default"/>
      </w:rPr>
    </w:lvl>
  </w:abstractNum>
  <w:abstractNum w:abstractNumId="30">
    <w:nsid w:val="0C0B39B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0C1250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0C7D3A3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0D7F02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nsid w:val="0E434171"/>
    <w:multiLevelType w:val="hybridMultilevel"/>
    <w:tmpl w:val="17624D30"/>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EDE7E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0F667565"/>
    <w:multiLevelType w:val="singleLevel"/>
    <w:tmpl w:val="04190011"/>
    <w:lvl w:ilvl="0">
      <w:start w:val="1"/>
      <w:numFmt w:val="decimal"/>
      <w:lvlText w:val="%1)"/>
      <w:lvlJc w:val="left"/>
      <w:pPr>
        <w:tabs>
          <w:tab w:val="num" w:pos="360"/>
        </w:tabs>
        <w:ind w:left="360" w:hanging="360"/>
      </w:pPr>
      <w:rPr>
        <w:rFonts w:hint="default"/>
      </w:rPr>
    </w:lvl>
  </w:abstractNum>
  <w:abstractNum w:abstractNumId="37">
    <w:nsid w:val="0FB11B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104D1A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40">
    <w:nsid w:val="133D3E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13B11CD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nsid w:val="13B822C7"/>
    <w:multiLevelType w:val="singleLevel"/>
    <w:tmpl w:val="04190011"/>
    <w:lvl w:ilvl="0">
      <w:start w:val="1"/>
      <w:numFmt w:val="decimal"/>
      <w:lvlText w:val="%1)"/>
      <w:lvlJc w:val="left"/>
      <w:pPr>
        <w:tabs>
          <w:tab w:val="num" w:pos="360"/>
        </w:tabs>
        <w:ind w:left="360" w:hanging="360"/>
      </w:pPr>
      <w:rPr>
        <w:rFonts w:hint="default"/>
      </w:rPr>
    </w:lvl>
  </w:abstractNum>
  <w:abstractNum w:abstractNumId="43">
    <w:nsid w:val="14867CAE"/>
    <w:multiLevelType w:val="singleLevel"/>
    <w:tmpl w:val="81D66F38"/>
    <w:lvl w:ilvl="0">
      <w:start w:val="1"/>
      <w:numFmt w:val="bullet"/>
      <w:lvlText w:val=""/>
      <w:lvlJc w:val="left"/>
      <w:pPr>
        <w:tabs>
          <w:tab w:val="num" w:pos="360"/>
        </w:tabs>
        <w:ind w:left="360" w:hanging="360"/>
      </w:pPr>
      <w:rPr>
        <w:rFonts w:ascii="Symbol" w:hAnsi="Symbol" w:hint="default"/>
      </w:rPr>
    </w:lvl>
  </w:abstractNum>
  <w:abstractNum w:abstractNumId="44">
    <w:nsid w:val="15B041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5">
    <w:nsid w:val="1615656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
    <w:nsid w:val="17861316"/>
    <w:multiLevelType w:val="singleLevel"/>
    <w:tmpl w:val="AF109E4A"/>
    <w:lvl w:ilvl="0">
      <w:start w:val="7"/>
      <w:numFmt w:val="bullet"/>
      <w:lvlText w:val="-"/>
      <w:lvlJc w:val="left"/>
      <w:pPr>
        <w:tabs>
          <w:tab w:val="num" w:pos="720"/>
        </w:tabs>
        <w:ind w:left="720" w:hanging="720"/>
      </w:pPr>
      <w:rPr>
        <w:rFonts w:hint="default"/>
      </w:rPr>
    </w:lvl>
  </w:abstractNum>
  <w:abstractNum w:abstractNumId="47">
    <w:nsid w:val="189C55E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8">
    <w:nsid w:val="192140A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9">
    <w:nsid w:val="1AB84A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0">
    <w:nsid w:val="1C5653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1">
    <w:nsid w:val="1D31143F"/>
    <w:multiLevelType w:val="singleLevel"/>
    <w:tmpl w:val="AF109E4A"/>
    <w:lvl w:ilvl="0">
      <w:start w:val="7"/>
      <w:numFmt w:val="bullet"/>
      <w:lvlText w:val="-"/>
      <w:lvlJc w:val="left"/>
      <w:pPr>
        <w:tabs>
          <w:tab w:val="num" w:pos="720"/>
        </w:tabs>
        <w:ind w:left="720" w:hanging="720"/>
      </w:pPr>
      <w:rPr>
        <w:rFonts w:hint="default"/>
      </w:rPr>
    </w:lvl>
  </w:abstractNum>
  <w:abstractNum w:abstractNumId="52">
    <w:nsid w:val="1D84001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3">
    <w:nsid w:val="1ED1603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nsid w:val="1F89011A"/>
    <w:multiLevelType w:val="hybridMultilevel"/>
    <w:tmpl w:val="CD2C887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6">
    <w:nsid w:val="222F29D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7">
    <w:nsid w:val="225B23F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
    <w:nsid w:val="23565507"/>
    <w:multiLevelType w:val="singleLevel"/>
    <w:tmpl w:val="715A02D4"/>
    <w:lvl w:ilvl="0">
      <w:start w:val="5"/>
      <w:numFmt w:val="bullet"/>
      <w:lvlText w:val="–"/>
      <w:lvlJc w:val="left"/>
      <w:pPr>
        <w:tabs>
          <w:tab w:val="num" w:pos="360"/>
        </w:tabs>
        <w:ind w:left="360" w:hanging="360"/>
      </w:pPr>
      <w:rPr>
        <w:rFonts w:hint="default"/>
      </w:rPr>
    </w:lvl>
  </w:abstractNum>
  <w:abstractNum w:abstractNumId="59">
    <w:nsid w:val="237A409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0">
    <w:nsid w:val="239255D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
    <w:nsid w:val="263B5250"/>
    <w:multiLevelType w:val="multilevel"/>
    <w:tmpl w:val="327AE6F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2">
    <w:nsid w:val="26B225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3">
    <w:nsid w:val="26D44C2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
    <w:nsid w:val="2B592878"/>
    <w:multiLevelType w:val="singleLevel"/>
    <w:tmpl w:val="04190011"/>
    <w:lvl w:ilvl="0">
      <w:start w:val="1"/>
      <w:numFmt w:val="decimal"/>
      <w:lvlText w:val="%1)"/>
      <w:lvlJc w:val="left"/>
      <w:pPr>
        <w:tabs>
          <w:tab w:val="num" w:pos="360"/>
        </w:tabs>
        <w:ind w:left="360" w:hanging="360"/>
      </w:pPr>
      <w:rPr>
        <w:rFonts w:hint="default"/>
        <w:b w:val="0"/>
      </w:rPr>
    </w:lvl>
  </w:abstractNum>
  <w:abstractNum w:abstractNumId="65">
    <w:nsid w:val="2C531756"/>
    <w:multiLevelType w:val="singleLevel"/>
    <w:tmpl w:val="B72ED178"/>
    <w:lvl w:ilvl="0">
      <w:start w:val="16"/>
      <w:numFmt w:val="bullet"/>
      <w:lvlText w:val="-"/>
      <w:lvlJc w:val="left"/>
      <w:pPr>
        <w:tabs>
          <w:tab w:val="num" w:pos="360"/>
        </w:tabs>
        <w:ind w:left="360" w:hanging="360"/>
      </w:pPr>
      <w:rPr>
        <w:rFonts w:hint="default"/>
      </w:rPr>
    </w:lvl>
  </w:abstractNum>
  <w:abstractNum w:abstractNumId="66">
    <w:nsid w:val="2D3C06F4"/>
    <w:multiLevelType w:val="singleLevel"/>
    <w:tmpl w:val="0419000F"/>
    <w:lvl w:ilvl="0">
      <w:start w:val="1"/>
      <w:numFmt w:val="decimal"/>
      <w:lvlText w:val="%1."/>
      <w:lvlJc w:val="left"/>
      <w:pPr>
        <w:tabs>
          <w:tab w:val="num" w:pos="360"/>
        </w:tabs>
        <w:ind w:left="360" w:hanging="360"/>
      </w:pPr>
      <w:rPr>
        <w:rFonts w:hint="default"/>
      </w:rPr>
    </w:lvl>
  </w:abstractNum>
  <w:abstractNum w:abstractNumId="67">
    <w:nsid w:val="2DDE49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
    <w:nsid w:val="2EDD1C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9">
    <w:nsid w:val="2F934CBF"/>
    <w:multiLevelType w:val="singleLevel"/>
    <w:tmpl w:val="1EE6E52E"/>
    <w:lvl w:ilvl="0">
      <w:start w:val="29"/>
      <w:numFmt w:val="bullet"/>
      <w:lvlText w:val="-"/>
      <w:lvlJc w:val="left"/>
      <w:pPr>
        <w:tabs>
          <w:tab w:val="num" w:pos="360"/>
        </w:tabs>
        <w:ind w:left="360" w:hanging="360"/>
      </w:pPr>
      <w:rPr>
        <w:rFonts w:hint="default"/>
      </w:rPr>
    </w:lvl>
  </w:abstractNum>
  <w:abstractNum w:abstractNumId="70">
    <w:nsid w:val="3055588D"/>
    <w:multiLevelType w:val="singleLevel"/>
    <w:tmpl w:val="C4B603BE"/>
    <w:lvl w:ilvl="0">
      <w:start w:val="1"/>
      <w:numFmt w:val="bullet"/>
      <w:lvlText w:val=""/>
      <w:lvlJc w:val="left"/>
      <w:pPr>
        <w:tabs>
          <w:tab w:val="num" w:pos="360"/>
        </w:tabs>
        <w:ind w:left="360" w:hanging="360"/>
      </w:pPr>
      <w:rPr>
        <w:rFonts w:ascii="Symbol" w:hAnsi="Symbol" w:hint="default"/>
      </w:rPr>
    </w:lvl>
  </w:abstractNum>
  <w:abstractNum w:abstractNumId="71">
    <w:nsid w:val="31512D58"/>
    <w:multiLevelType w:val="singleLevel"/>
    <w:tmpl w:val="04190011"/>
    <w:lvl w:ilvl="0">
      <w:start w:val="5"/>
      <w:numFmt w:val="decimal"/>
      <w:lvlText w:val="%1)"/>
      <w:lvlJc w:val="left"/>
      <w:pPr>
        <w:tabs>
          <w:tab w:val="num" w:pos="360"/>
        </w:tabs>
        <w:ind w:left="360" w:hanging="360"/>
      </w:pPr>
      <w:rPr>
        <w:rFonts w:hint="default"/>
      </w:rPr>
    </w:lvl>
  </w:abstractNum>
  <w:abstractNum w:abstractNumId="72">
    <w:nsid w:val="31996B01"/>
    <w:multiLevelType w:val="multilevel"/>
    <w:tmpl w:val="A334B312"/>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3">
    <w:nsid w:val="323D0E5E"/>
    <w:multiLevelType w:val="singleLevel"/>
    <w:tmpl w:val="04190011"/>
    <w:lvl w:ilvl="0">
      <w:start w:val="1"/>
      <w:numFmt w:val="decimal"/>
      <w:lvlText w:val="%1)"/>
      <w:lvlJc w:val="left"/>
      <w:pPr>
        <w:tabs>
          <w:tab w:val="num" w:pos="360"/>
        </w:tabs>
        <w:ind w:left="360" w:hanging="360"/>
      </w:pPr>
      <w:rPr>
        <w:rFonts w:hint="default"/>
      </w:rPr>
    </w:lvl>
  </w:abstractNum>
  <w:abstractNum w:abstractNumId="74">
    <w:nsid w:val="326F17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5">
    <w:nsid w:val="3394020C"/>
    <w:multiLevelType w:val="singleLevel"/>
    <w:tmpl w:val="715A02D4"/>
    <w:lvl w:ilvl="0">
      <w:start w:val="3"/>
      <w:numFmt w:val="bullet"/>
      <w:lvlText w:val="–"/>
      <w:lvlJc w:val="left"/>
      <w:pPr>
        <w:tabs>
          <w:tab w:val="num" w:pos="360"/>
        </w:tabs>
        <w:ind w:left="360" w:hanging="360"/>
      </w:pPr>
      <w:rPr>
        <w:rFonts w:hint="default"/>
      </w:rPr>
    </w:lvl>
  </w:abstractNum>
  <w:abstractNum w:abstractNumId="76">
    <w:nsid w:val="34DC129E"/>
    <w:multiLevelType w:val="singleLevel"/>
    <w:tmpl w:val="D37CCD44"/>
    <w:lvl w:ilvl="0">
      <w:start w:val="1"/>
      <w:numFmt w:val="decimal"/>
      <w:lvlText w:val="%1."/>
      <w:lvlJc w:val="right"/>
      <w:pPr>
        <w:tabs>
          <w:tab w:val="num" w:pos="792"/>
        </w:tabs>
        <w:ind w:left="792" w:hanging="317"/>
      </w:pPr>
      <w:rPr>
        <w:rFonts w:hint="default"/>
      </w:rPr>
    </w:lvl>
  </w:abstractNum>
  <w:abstractNum w:abstractNumId="77">
    <w:nsid w:val="35F121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36F05CA5"/>
    <w:multiLevelType w:val="singleLevel"/>
    <w:tmpl w:val="04190011"/>
    <w:lvl w:ilvl="0">
      <w:start w:val="1"/>
      <w:numFmt w:val="decimal"/>
      <w:lvlText w:val="%1)"/>
      <w:lvlJc w:val="left"/>
      <w:pPr>
        <w:tabs>
          <w:tab w:val="num" w:pos="360"/>
        </w:tabs>
        <w:ind w:left="360" w:hanging="360"/>
      </w:pPr>
      <w:rPr>
        <w:rFonts w:hint="default"/>
      </w:rPr>
    </w:lvl>
  </w:abstractNum>
  <w:abstractNum w:abstractNumId="79">
    <w:nsid w:val="37F90FDF"/>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80">
    <w:nsid w:val="3948465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1">
    <w:nsid w:val="3CFB20FF"/>
    <w:multiLevelType w:val="singleLevel"/>
    <w:tmpl w:val="295E5130"/>
    <w:lvl w:ilvl="0">
      <w:start w:val="6"/>
      <w:numFmt w:val="bullet"/>
      <w:lvlText w:val="-"/>
      <w:lvlJc w:val="left"/>
      <w:pPr>
        <w:tabs>
          <w:tab w:val="num" w:pos="371"/>
        </w:tabs>
        <w:ind w:left="371" w:hanging="360"/>
      </w:pPr>
      <w:rPr>
        <w:rFonts w:ascii="Times New Roman" w:hAnsi="Times New Roman" w:hint="default"/>
      </w:rPr>
    </w:lvl>
  </w:abstractNum>
  <w:abstractNum w:abstractNumId="82">
    <w:nsid w:val="3D0D639A"/>
    <w:multiLevelType w:val="singleLevel"/>
    <w:tmpl w:val="04190011"/>
    <w:lvl w:ilvl="0">
      <w:start w:val="1"/>
      <w:numFmt w:val="decimal"/>
      <w:lvlText w:val="%1)"/>
      <w:lvlJc w:val="left"/>
      <w:pPr>
        <w:tabs>
          <w:tab w:val="num" w:pos="360"/>
        </w:tabs>
        <w:ind w:left="360" w:hanging="360"/>
      </w:pPr>
      <w:rPr>
        <w:rFonts w:hint="default"/>
      </w:rPr>
    </w:lvl>
  </w:abstractNum>
  <w:abstractNum w:abstractNumId="83">
    <w:nsid w:val="3E8D68AE"/>
    <w:multiLevelType w:val="singleLevel"/>
    <w:tmpl w:val="A5C03CAA"/>
    <w:lvl w:ilvl="0">
      <w:start w:val="1"/>
      <w:numFmt w:val="decimal"/>
      <w:lvlText w:val="%1."/>
      <w:lvlJc w:val="left"/>
      <w:pPr>
        <w:tabs>
          <w:tab w:val="num" w:pos="360"/>
        </w:tabs>
        <w:ind w:left="360" w:hanging="360"/>
      </w:pPr>
      <w:rPr>
        <w:rFonts w:hint="default"/>
      </w:rPr>
    </w:lvl>
  </w:abstractNum>
  <w:abstractNum w:abstractNumId="84">
    <w:nsid w:val="3EF505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5">
    <w:nsid w:val="3EFC7E9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6">
    <w:nsid w:val="3F850999"/>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87">
    <w:nsid w:val="412445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8">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89">
    <w:nsid w:val="42805C1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0">
    <w:nsid w:val="42B302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1">
    <w:nsid w:val="42F27A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2">
    <w:nsid w:val="43402E21"/>
    <w:multiLevelType w:val="singleLevel"/>
    <w:tmpl w:val="C31826CE"/>
    <w:lvl w:ilvl="0">
      <w:start w:val="20"/>
      <w:numFmt w:val="bullet"/>
      <w:lvlText w:val="-"/>
      <w:lvlJc w:val="left"/>
      <w:pPr>
        <w:tabs>
          <w:tab w:val="num" w:pos="1413"/>
        </w:tabs>
        <w:ind w:left="1413" w:hanging="705"/>
      </w:pPr>
      <w:rPr>
        <w:rFonts w:hint="default"/>
      </w:rPr>
    </w:lvl>
  </w:abstractNum>
  <w:abstractNum w:abstractNumId="93">
    <w:nsid w:val="4490787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4">
    <w:nsid w:val="45157F95"/>
    <w:multiLevelType w:val="singleLevel"/>
    <w:tmpl w:val="0419000F"/>
    <w:lvl w:ilvl="0">
      <w:start w:val="1"/>
      <w:numFmt w:val="decimal"/>
      <w:lvlText w:val="%1."/>
      <w:lvlJc w:val="left"/>
      <w:pPr>
        <w:tabs>
          <w:tab w:val="num" w:pos="360"/>
        </w:tabs>
        <w:ind w:left="360" w:hanging="360"/>
      </w:pPr>
      <w:rPr>
        <w:rFonts w:hint="default"/>
      </w:rPr>
    </w:lvl>
  </w:abstractNum>
  <w:abstractNum w:abstractNumId="95">
    <w:nsid w:val="45836B1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6">
    <w:nsid w:val="462A7333"/>
    <w:multiLevelType w:val="hybridMultilevel"/>
    <w:tmpl w:val="61464EF4"/>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46B07FCF"/>
    <w:multiLevelType w:val="singleLevel"/>
    <w:tmpl w:val="EC58732A"/>
    <w:lvl w:ilvl="0">
      <w:start w:val="16"/>
      <w:numFmt w:val="bullet"/>
      <w:lvlText w:val="-"/>
      <w:lvlJc w:val="left"/>
      <w:pPr>
        <w:tabs>
          <w:tab w:val="num" w:pos="360"/>
        </w:tabs>
        <w:ind w:left="360" w:hanging="360"/>
      </w:pPr>
      <w:rPr>
        <w:rFonts w:hint="default"/>
      </w:rPr>
    </w:lvl>
  </w:abstractNum>
  <w:abstractNum w:abstractNumId="98">
    <w:nsid w:val="47ED099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9">
    <w:nsid w:val="49295C4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00">
    <w:nsid w:val="4A2A783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1">
    <w:nsid w:val="4A3C340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2">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03">
    <w:nsid w:val="4B523C6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4">
    <w:nsid w:val="4BC04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5">
    <w:nsid w:val="4C6B67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6">
    <w:nsid w:val="4CAA5E87"/>
    <w:multiLevelType w:val="singleLevel"/>
    <w:tmpl w:val="64DA94BE"/>
    <w:lvl w:ilvl="0">
      <w:start w:val="1"/>
      <w:numFmt w:val="lowerRoman"/>
      <w:lvlText w:val="%1."/>
      <w:lvlJc w:val="left"/>
      <w:pPr>
        <w:tabs>
          <w:tab w:val="num" w:pos="720"/>
        </w:tabs>
        <w:ind w:left="720" w:hanging="720"/>
      </w:pPr>
      <w:rPr>
        <w:rFonts w:hint="default"/>
      </w:rPr>
    </w:lvl>
  </w:abstractNum>
  <w:abstractNum w:abstractNumId="107">
    <w:nsid w:val="4D295C7B"/>
    <w:multiLevelType w:val="hybridMultilevel"/>
    <w:tmpl w:val="EAAA0B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4D2D0B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9">
    <w:nsid w:val="4EF305A1"/>
    <w:multiLevelType w:val="hybridMultilevel"/>
    <w:tmpl w:val="80A01E8E"/>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4FC75B8F"/>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111">
    <w:nsid w:val="50F9306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2">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3">
    <w:nsid w:val="53470D7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114">
    <w:nsid w:val="56106C8A"/>
    <w:multiLevelType w:val="singleLevel"/>
    <w:tmpl w:val="5EF41E5C"/>
    <w:lvl w:ilvl="0">
      <w:numFmt w:val="bullet"/>
      <w:lvlText w:val="-"/>
      <w:lvlJc w:val="left"/>
      <w:pPr>
        <w:tabs>
          <w:tab w:val="num" w:pos="360"/>
        </w:tabs>
        <w:ind w:left="360" w:hanging="360"/>
      </w:pPr>
      <w:rPr>
        <w:rFonts w:hint="default"/>
      </w:rPr>
    </w:lvl>
  </w:abstractNum>
  <w:abstractNum w:abstractNumId="115">
    <w:nsid w:val="562D4C1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6">
    <w:nsid w:val="57094DD8"/>
    <w:multiLevelType w:val="singleLevel"/>
    <w:tmpl w:val="C4B603BE"/>
    <w:lvl w:ilvl="0">
      <w:start w:val="1"/>
      <w:numFmt w:val="bullet"/>
      <w:lvlText w:val=""/>
      <w:lvlJc w:val="left"/>
      <w:pPr>
        <w:tabs>
          <w:tab w:val="num" w:pos="360"/>
        </w:tabs>
        <w:ind w:left="360" w:hanging="360"/>
      </w:pPr>
      <w:rPr>
        <w:rFonts w:ascii="Symbol" w:hAnsi="Symbol" w:hint="default"/>
      </w:rPr>
    </w:lvl>
  </w:abstractNum>
  <w:abstractNum w:abstractNumId="117">
    <w:nsid w:val="5787134C"/>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118">
    <w:nsid w:val="57CB60DC"/>
    <w:multiLevelType w:val="multilevel"/>
    <w:tmpl w:val="4CE6760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9">
    <w:nsid w:val="585E60E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0">
    <w:nsid w:val="5870136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1">
    <w:nsid w:val="58B136DE"/>
    <w:multiLevelType w:val="singleLevel"/>
    <w:tmpl w:val="0419000F"/>
    <w:lvl w:ilvl="0">
      <w:start w:val="1"/>
      <w:numFmt w:val="decimal"/>
      <w:lvlText w:val="%1."/>
      <w:lvlJc w:val="left"/>
      <w:pPr>
        <w:tabs>
          <w:tab w:val="num" w:pos="360"/>
        </w:tabs>
        <w:ind w:left="360" w:hanging="360"/>
      </w:pPr>
      <w:rPr>
        <w:rFonts w:hint="default"/>
      </w:rPr>
    </w:lvl>
  </w:abstractNum>
  <w:abstractNum w:abstractNumId="122">
    <w:nsid w:val="59AA0506"/>
    <w:multiLevelType w:val="singleLevel"/>
    <w:tmpl w:val="AF109E4A"/>
    <w:lvl w:ilvl="0">
      <w:start w:val="7"/>
      <w:numFmt w:val="bullet"/>
      <w:lvlText w:val="-"/>
      <w:lvlJc w:val="left"/>
      <w:pPr>
        <w:tabs>
          <w:tab w:val="num" w:pos="720"/>
        </w:tabs>
        <w:ind w:left="720" w:hanging="720"/>
      </w:pPr>
      <w:rPr>
        <w:rFonts w:hint="default"/>
      </w:rPr>
    </w:lvl>
  </w:abstractNum>
  <w:abstractNum w:abstractNumId="123">
    <w:nsid w:val="5B173F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4">
    <w:nsid w:val="5BA9227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5">
    <w:nsid w:val="5C48072D"/>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126">
    <w:nsid w:val="5C532A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7">
    <w:nsid w:val="5C5611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8">
    <w:nsid w:val="5C6A0915"/>
    <w:multiLevelType w:val="singleLevel"/>
    <w:tmpl w:val="C4B603BE"/>
    <w:lvl w:ilvl="0">
      <w:start w:val="1"/>
      <w:numFmt w:val="bullet"/>
      <w:lvlText w:val=""/>
      <w:lvlJc w:val="left"/>
      <w:pPr>
        <w:tabs>
          <w:tab w:val="num" w:pos="360"/>
        </w:tabs>
        <w:ind w:left="360" w:hanging="360"/>
      </w:pPr>
      <w:rPr>
        <w:rFonts w:ascii="Symbol" w:hAnsi="Symbol" w:hint="default"/>
      </w:rPr>
    </w:lvl>
  </w:abstractNum>
  <w:abstractNum w:abstractNumId="129">
    <w:nsid w:val="5EB353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0">
    <w:nsid w:val="5EC878B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1">
    <w:nsid w:val="60542FE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2">
    <w:nsid w:val="60723F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3">
    <w:nsid w:val="61AB396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4">
    <w:nsid w:val="61FF30B0"/>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135">
    <w:nsid w:val="630D36C9"/>
    <w:multiLevelType w:val="singleLevel"/>
    <w:tmpl w:val="04190011"/>
    <w:lvl w:ilvl="0">
      <w:start w:val="1"/>
      <w:numFmt w:val="decimal"/>
      <w:lvlText w:val="%1)"/>
      <w:lvlJc w:val="left"/>
      <w:pPr>
        <w:tabs>
          <w:tab w:val="num" w:pos="360"/>
        </w:tabs>
        <w:ind w:left="360" w:hanging="360"/>
      </w:pPr>
      <w:rPr>
        <w:rFonts w:hint="default"/>
      </w:rPr>
    </w:lvl>
  </w:abstractNum>
  <w:abstractNum w:abstractNumId="136">
    <w:nsid w:val="635D247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7">
    <w:nsid w:val="63847972"/>
    <w:multiLevelType w:val="singleLevel"/>
    <w:tmpl w:val="04190011"/>
    <w:lvl w:ilvl="0">
      <w:start w:val="1"/>
      <w:numFmt w:val="decimal"/>
      <w:lvlText w:val="%1)"/>
      <w:lvlJc w:val="left"/>
      <w:pPr>
        <w:tabs>
          <w:tab w:val="num" w:pos="360"/>
        </w:tabs>
        <w:ind w:left="360" w:hanging="360"/>
      </w:pPr>
      <w:rPr>
        <w:rFonts w:hint="default"/>
      </w:rPr>
    </w:lvl>
  </w:abstractNum>
  <w:abstractNum w:abstractNumId="138">
    <w:nsid w:val="63AA2F9E"/>
    <w:multiLevelType w:val="singleLevel"/>
    <w:tmpl w:val="0419000F"/>
    <w:lvl w:ilvl="0">
      <w:start w:val="1"/>
      <w:numFmt w:val="decimal"/>
      <w:lvlText w:val="%1."/>
      <w:lvlJc w:val="left"/>
      <w:pPr>
        <w:tabs>
          <w:tab w:val="num" w:pos="360"/>
        </w:tabs>
        <w:ind w:left="360" w:hanging="360"/>
      </w:pPr>
      <w:rPr>
        <w:rFonts w:hint="default"/>
      </w:rPr>
    </w:lvl>
  </w:abstractNum>
  <w:abstractNum w:abstractNumId="139">
    <w:nsid w:val="64CF1D0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0">
    <w:nsid w:val="64ED1221"/>
    <w:multiLevelType w:val="hybridMultilevel"/>
    <w:tmpl w:val="54B40036"/>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6694166F"/>
    <w:multiLevelType w:val="singleLevel"/>
    <w:tmpl w:val="04190011"/>
    <w:lvl w:ilvl="0">
      <w:start w:val="1"/>
      <w:numFmt w:val="decimal"/>
      <w:lvlText w:val="%1)"/>
      <w:lvlJc w:val="left"/>
      <w:pPr>
        <w:tabs>
          <w:tab w:val="num" w:pos="360"/>
        </w:tabs>
        <w:ind w:left="360" w:hanging="360"/>
      </w:pPr>
      <w:rPr>
        <w:rFonts w:hint="default"/>
      </w:rPr>
    </w:lvl>
  </w:abstractNum>
  <w:abstractNum w:abstractNumId="142">
    <w:nsid w:val="66EF2F88"/>
    <w:multiLevelType w:val="singleLevel"/>
    <w:tmpl w:val="6790753A"/>
    <w:lvl w:ilvl="0">
      <w:start w:val="3"/>
      <w:numFmt w:val="bullet"/>
      <w:lvlText w:val="-"/>
      <w:lvlJc w:val="left"/>
      <w:pPr>
        <w:tabs>
          <w:tab w:val="num" w:pos="360"/>
        </w:tabs>
        <w:ind w:left="360" w:hanging="360"/>
      </w:pPr>
      <w:rPr>
        <w:rFonts w:hint="default"/>
      </w:rPr>
    </w:lvl>
  </w:abstractNum>
  <w:abstractNum w:abstractNumId="143">
    <w:nsid w:val="670B62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4">
    <w:nsid w:val="69727D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5">
    <w:nsid w:val="69AA65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6">
    <w:nsid w:val="6A5348F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7">
    <w:nsid w:val="6A61494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8">
    <w:nsid w:val="6B5A1A46"/>
    <w:multiLevelType w:val="singleLevel"/>
    <w:tmpl w:val="475C080C"/>
    <w:lvl w:ilvl="0">
      <w:start w:val="1"/>
      <w:numFmt w:val="lowerRoman"/>
      <w:lvlText w:val="%1."/>
      <w:lvlJc w:val="left"/>
      <w:pPr>
        <w:tabs>
          <w:tab w:val="num" w:pos="720"/>
        </w:tabs>
        <w:ind w:left="720" w:hanging="720"/>
      </w:pPr>
      <w:rPr>
        <w:rFonts w:hint="default"/>
      </w:rPr>
    </w:lvl>
  </w:abstractNum>
  <w:abstractNum w:abstractNumId="149">
    <w:nsid w:val="6B7D5A1C"/>
    <w:multiLevelType w:val="singleLevel"/>
    <w:tmpl w:val="AB10FE8C"/>
    <w:lvl w:ilvl="0">
      <w:start w:val="1"/>
      <w:numFmt w:val="bullet"/>
      <w:lvlText w:val=""/>
      <w:lvlJc w:val="left"/>
      <w:pPr>
        <w:tabs>
          <w:tab w:val="num" w:pos="360"/>
        </w:tabs>
        <w:ind w:left="360" w:hanging="360"/>
      </w:pPr>
      <w:rPr>
        <w:rFonts w:ascii="Symbol" w:hAnsi="Symbol" w:hint="default"/>
      </w:rPr>
    </w:lvl>
  </w:abstractNum>
  <w:abstractNum w:abstractNumId="150">
    <w:nsid w:val="6C7C25E0"/>
    <w:multiLevelType w:val="singleLevel"/>
    <w:tmpl w:val="04190011"/>
    <w:lvl w:ilvl="0">
      <w:start w:val="1"/>
      <w:numFmt w:val="decimal"/>
      <w:lvlText w:val="%1)"/>
      <w:lvlJc w:val="left"/>
      <w:pPr>
        <w:tabs>
          <w:tab w:val="num" w:pos="360"/>
        </w:tabs>
        <w:ind w:left="360" w:hanging="360"/>
      </w:pPr>
      <w:rPr>
        <w:rFonts w:hint="default"/>
      </w:rPr>
    </w:lvl>
  </w:abstractNum>
  <w:abstractNum w:abstractNumId="151">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2">
    <w:nsid w:val="6F304A5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3">
    <w:nsid w:val="6F403C72"/>
    <w:multiLevelType w:val="singleLevel"/>
    <w:tmpl w:val="04190011"/>
    <w:lvl w:ilvl="0">
      <w:start w:val="1"/>
      <w:numFmt w:val="decimal"/>
      <w:lvlText w:val="%1)"/>
      <w:lvlJc w:val="left"/>
      <w:pPr>
        <w:tabs>
          <w:tab w:val="num" w:pos="360"/>
        </w:tabs>
        <w:ind w:left="360" w:hanging="360"/>
      </w:pPr>
      <w:rPr>
        <w:rFonts w:hint="default"/>
      </w:rPr>
    </w:lvl>
  </w:abstractNum>
  <w:abstractNum w:abstractNumId="154">
    <w:nsid w:val="6FAE32F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5">
    <w:nsid w:val="702C0DA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6">
    <w:nsid w:val="70F0749D"/>
    <w:multiLevelType w:val="singleLevel"/>
    <w:tmpl w:val="04190011"/>
    <w:lvl w:ilvl="0">
      <w:start w:val="1"/>
      <w:numFmt w:val="decimal"/>
      <w:lvlText w:val="%1)"/>
      <w:lvlJc w:val="left"/>
      <w:pPr>
        <w:tabs>
          <w:tab w:val="num" w:pos="360"/>
        </w:tabs>
        <w:ind w:left="360" w:hanging="360"/>
      </w:pPr>
      <w:rPr>
        <w:rFonts w:hint="default"/>
      </w:rPr>
    </w:lvl>
  </w:abstractNum>
  <w:abstractNum w:abstractNumId="157">
    <w:nsid w:val="71C2795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8">
    <w:nsid w:val="71C563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9">
    <w:nsid w:val="721260C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0">
    <w:nsid w:val="7256197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1">
    <w:nsid w:val="747500BD"/>
    <w:multiLevelType w:val="singleLevel"/>
    <w:tmpl w:val="EC66AC5E"/>
    <w:lvl w:ilvl="0">
      <w:start w:val="1"/>
      <w:numFmt w:val="bullet"/>
      <w:lvlText w:val=""/>
      <w:lvlJc w:val="left"/>
      <w:pPr>
        <w:tabs>
          <w:tab w:val="num" w:pos="360"/>
        </w:tabs>
        <w:ind w:left="360" w:hanging="360"/>
      </w:pPr>
      <w:rPr>
        <w:rFonts w:ascii="Symbol" w:hAnsi="Symbol" w:hint="default"/>
      </w:rPr>
    </w:lvl>
  </w:abstractNum>
  <w:abstractNum w:abstractNumId="162">
    <w:nsid w:val="75BB64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3">
    <w:nsid w:val="783A21E6"/>
    <w:multiLevelType w:val="singleLevel"/>
    <w:tmpl w:val="AF109E4A"/>
    <w:lvl w:ilvl="0">
      <w:start w:val="7"/>
      <w:numFmt w:val="bullet"/>
      <w:lvlText w:val="-"/>
      <w:lvlJc w:val="left"/>
      <w:pPr>
        <w:tabs>
          <w:tab w:val="num" w:pos="720"/>
        </w:tabs>
        <w:ind w:left="720" w:hanging="720"/>
      </w:pPr>
      <w:rPr>
        <w:rFonts w:hint="default"/>
      </w:rPr>
    </w:lvl>
  </w:abstractNum>
  <w:abstractNum w:abstractNumId="164">
    <w:nsid w:val="78BA58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5">
    <w:nsid w:val="7A2A64B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6">
    <w:nsid w:val="7B8A222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7">
    <w:nsid w:val="7C54663C"/>
    <w:multiLevelType w:val="singleLevel"/>
    <w:tmpl w:val="B72ED178"/>
    <w:lvl w:ilvl="0">
      <w:start w:val="11"/>
      <w:numFmt w:val="bullet"/>
      <w:lvlText w:val="-"/>
      <w:lvlJc w:val="left"/>
      <w:pPr>
        <w:tabs>
          <w:tab w:val="num" w:pos="360"/>
        </w:tabs>
        <w:ind w:left="360" w:hanging="360"/>
      </w:pPr>
      <w:rPr>
        <w:rFonts w:hint="default"/>
      </w:rPr>
    </w:lvl>
  </w:abstractNum>
  <w:abstractNum w:abstractNumId="168">
    <w:nsid w:val="7C8248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9">
    <w:nsid w:val="7CC57484"/>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170">
    <w:nsid w:val="7CF173DB"/>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55"/>
  </w:num>
  <w:num w:numId="2">
    <w:abstractNumId w:val="88"/>
  </w:num>
  <w:num w:numId="3">
    <w:abstractNumId w:val="102"/>
  </w:num>
  <w:num w:numId="4">
    <w:abstractNumId w:val="34"/>
  </w:num>
  <w:num w:numId="5">
    <w:abstractNumId w:val="83"/>
  </w:num>
  <w:num w:numId="6">
    <w:abstractNumId w:val="39"/>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76"/>
  </w:num>
  <w:num w:numId="15">
    <w:abstractNumId w:val="134"/>
  </w:num>
  <w:num w:numId="16">
    <w:abstractNumId w:val="169"/>
  </w:num>
  <w:num w:numId="17">
    <w:abstractNumId w:val="110"/>
  </w:num>
  <w:num w:numId="18">
    <w:abstractNumId w:val="117"/>
  </w:num>
  <w:num w:numId="19">
    <w:abstractNumId w:val="99"/>
  </w:num>
  <w:num w:numId="20">
    <w:abstractNumId w:val="10"/>
  </w:num>
  <w:num w:numId="21">
    <w:abstractNumId w:val="18"/>
  </w:num>
  <w:num w:numId="22">
    <w:abstractNumId w:val="107"/>
  </w:num>
  <w:num w:numId="23">
    <w:abstractNumId w:val="40"/>
  </w:num>
  <w:num w:numId="24">
    <w:abstractNumId w:val="132"/>
  </w:num>
  <w:num w:numId="25">
    <w:abstractNumId w:val="17"/>
  </w:num>
  <w:num w:numId="26">
    <w:abstractNumId w:val="85"/>
  </w:num>
  <w:num w:numId="27">
    <w:abstractNumId w:val="45"/>
  </w:num>
  <w:num w:numId="28">
    <w:abstractNumId w:val="50"/>
  </w:num>
  <w:num w:numId="29">
    <w:abstractNumId w:val="136"/>
  </w:num>
  <w:num w:numId="30">
    <w:abstractNumId w:val="108"/>
  </w:num>
  <w:num w:numId="31">
    <w:abstractNumId w:val="143"/>
  </w:num>
  <w:num w:numId="32">
    <w:abstractNumId w:val="27"/>
  </w:num>
  <w:num w:numId="33">
    <w:abstractNumId w:val="101"/>
  </w:num>
  <w:num w:numId="34">
    <w:abstractNumId w:val="157"/>
  </w:num>
  <w:num w:numId="35">
    <w:abstractNumId w:val="164"/>
  </w:num>
  <w:num w:numId="36">
    <w:abstractNumId w:val="44"/>
  </w:num>
  <w:num w:numId="37">
    <w:abstractNumId w:val="100"/>
  </w:num>
  <w:num w:numId="38">
    <w:abstractNumId w:val="147"/>
  </w:num>
  <w:num w:numId="39">
    <w:abstractNumId w:val="155"/>
  </w:num>
  <w:num w:numId="40">
    <w:abstractNumId w:val="9"/>
  </w:num>
  <w:num w:numId="41">
    <w:abstractNumId w:val="130"/>
  </w:num>
  <w:num w:numId="42">
    <w:abstractNumId w:val="126"/>
  </w:num>
  <w:num w:numId="43">
    <w:abstractNumId w:val="123"/>
  </w:num>
  <w:num w:numId="44">
    <w:abstractNumId w:val="63"/>
  </w:num>
  <w:num w:numId="45">
    <w:abstractNumId w:val="16"/>
  </w:num>
  <w:num w:numId="46">
    <w:abstractNumId w:val="15"/>
  </w:num>
  <w:num w:numId="47">
    <w:abstractNumId w:val="148"/>
  </w:num>
  <w:num w:numId="48">
    <w:abstractNumId w:val="29"/>
  </w:num>
  <w:num w:numId="49">
    <w:abstractNumId w:val="158"/>
  </w:num>
  <w:num w:numId="50">
    <w:abstractNumId w:val="142"/>
  </w:num>
  <w:num w:numId="51">
    <w:abstractNumId w:val="145"/>
  </w:num>
  <w:num w:numId="52">
    <w:abstractNumId w:val="32"/>
  </w:num>
  <w:num w:numId="53">
    <w:abstractNumId w:val="61"/>
  </w:num>
  <w:num w:numId="54">
    <w:abstractNumId w:val="74"/>
  </w:num>
  <w:num w:numId="55">
    <w:abstractNumId w:val="90"/>
  </w:num>
  <w:num w:numId="56">
    <w:abstractNumId w:val="168"/>
  </w:num>
  <w:num w:numId="57">
    <w:abstractNumId w:val="52"/>
  </w:num>
  <w:num w:numId="58">
    <w:abstractNumId w:val="67"/>
  </w:num>
  <w:num w:numId="59">
    <w:abstractNumId w:val="104"/>
  </w:num>
  <w:num w:numId="60">
    <w:abstractNumId w:val="167"/>
  </w:num>
  <w:num w:numId="61">
    <w:abstractNumId w:val="95"/>
  </w:num>
  <w:num w:numId="62">
    <w:abstractNumId w:val="97"/>
  </w:num>
  <w:num w:numId="63">
    <w:abstractNumId w:val="23"/>
  </w:num>
  <w:num w:numId="64">
    <w:abstractNumId w:val="109"/>
  </w:num>
  <w:num w:numId="65">
    <w:abstractNumId w:val="106"/>
  </w:num>
  <w:num w:numId="66">
    <w:abstractNumId w:val="65"/>
  </w:num>
  <w:num w:numId="67">
    <w:abstractNumId w:val="156"/>
  </w:num>
  <w:num w:numId="68">
    <w:abstractNumId w:val="159"/>
  </w:num>
  <w:num w:numId="69">
    <w:abstractNumId w:val="77"/>
  </w:num>
  <w:num w:numId="70">
    <w:abstractNumId w:val="71"/>
  </w:num>
  <w:num w:numId="71">
    <w:abstractNumId w:val="73"/>
  </w:num>
  <w:num w:numId="72">
    <w:abstractNumId w:val="141"/>
  </w:num>
  <w:num w:numId="73">
    <w:abstractNumId w:val="139"/>
  </w:num>
  <w:num w:numId="74">
    <w:abstractNumId w:val="36"/>
  </w:num>
  <w:num w:numId="75">
    <w:abstractNumId w:val="153"/>
  </w:num>
  <w:num w:numId="76">
    <w:abstractNumId w:val="64"/>
  </w:num>
  <w:num w:numId="77">
    <w:abstractNumId w:val="78"/>
  </w:num>
  <w:num w:numId="78">
    <w:abstractNumId w:val="137"/>
  </w:num>
  <w:num w:numId="79">
    <w:abstractNumId w:val="150"/>
  </w:num>
  <w:num w:numId="80">
    <w:abstractNumId w:val="42"/>
  </w:num>
  <w:num w:numId="81">
    <w:abstractNumId w:val="135"/>
  </w:num>
  <w:num w:numId="82">
    <w:abstractNumId w:val="11"/>
  </w:num>
  <w:num w:numId="83">
    <w:abstractNumId w:val="33"/>
  </w:num>
  <w:num w:numId="84">
    <w:abstractNumId w:val="103"/>
  </w:num>
  <w:num w:numId="85">
    <w:abstractNumId w:val="91"/>
  </w:num>
  <w:num w:numId="86">
    <w:abstractNumId w:val="144"/>
  </w:num>
  <w:num w:numId="87">
    <w:abstractNumId w:val="14"/>
  </w:num>
  <w:num w:numId="88">
    <w:abstractNumId w:val="56"/>
  </w:num>
  <w:num w:numId="89">
    <w:abstractNumId w:val="38"/>
  </w:num>
  <w:num w:numId="90">
    <w:abstractNumId w:val="28"/>
  </w:num>
  <w:num w:numId="91">
    <w:abstractNumId w:val="160"/>
  </w:num>
  <w:num w:numId="92">
    <w:abstractNumId w:val="111"/>
  </w:num>
  <w:num w:numId="93">
    <w:abstractNumId w:val="31"/>
  </w:num>
  <w:num w:numId="94">
    <w:abstractNumId w:val="7"/>
    <w:lvlOverride w:ilvl="0">
      <w:lvl w:ilvl="0">
        <w:start w:val="1"/>
        <w:numFmt w:val="bullet"/>
        <w:lvlText w:val=""/>
        <w:legacy w:legacy="1" w:legacySpace="120" w:legacyIndent="360"/>
        <w:lvlJc w:val="left"/>
        <w:pPr>
          <w:ind w:left="360" w:hanging="360"/>
        </w:pPr>
        <w:rPr>
          <w:rFonts w:ascii="Symbol" w:hAnsi="Symbol" w:hint="default"/>
        </w:rPr>
      </w:lvl>
    </w:lvlOverride>
  </w:num>
  <w:num w:numId="95">
    <w:abstractNumId w:val="72"/>
  </w:num>
  <w:num w:numId="96">
    <w:abstractNumId w:val="12"/>
  </w:num>
  <w:num w:numId="97">
    <w:abstractNumId w:val="86"/>
  </w:num>
  <w:num w:numId="98">
    <w:abstractNumId w:val="165"/>
  </w:num>
  <w:num w:numId="99">
    <w:abstractNumId w:val="131"/>
  </w:num>
  <w:num w:numId="100">
    <w:abstractNumId w:val="49"/>
  </w:num>
  <w:num w:numId="101">
    <w:abstractNumId w:val="89"/>
  </w:num>
  <w:num w:numId="102">
    <w:abstractNumId w:val="60"/>
  </w:num>
  <w:num w:numId="103">
    <w:abstractNumId w:val="75"/>
  </w:num>
  <w:num w:numId="104">
    <w:abstractNumId w:val="58"/>
  </w:num>
  <w:num w:numId="105">
    <w:abstractNumId w:val="80"/>
  </w:num>
  <w:num w:numId="106">
    <w:abstractNumId w:val="62"/>
  </w:num>
  <w:num w:numId="107">
    <w:abstractNumId w:val="66"/>
  </w:num>
  <w:num w:numId="108">
    <w:abstractNumId w:val="133"/>
  </w:num>
  <w:num w:numId="109">
    <w:abstractNumId w:val="94"/>
  </w:num>
  <w:num w:numId="110">
    <w:abstractNumId w:val="121"/>
  </w:num>
  <w:num w:numId="111">
    <w:abstractNumId w:val="37"/>
  </w:num>
  <w:num w:numId="112">
    <w:abstractNumId w:val="84"/>
  </w:num>
  <w:num w:numId="113">
    <w:abstractNumId w:val="68"/>
  </w:num>
  <w:num w:numId="114">
    <w:abstractNumId w:val="21"/>
  </w:num>
  <w:num w:numId="115">
    <w:abstractNumId w:val="35"/>
  </w:num>
  <w:num w:numId="116">
    <w:abstractNumId w:val="87"/>
  </w:num>
  <w:num w:numId="117">
    <w:abstractNumId w:val="53"/>
  </w:num>
  <w:num w:numId="118">
    <w:abstractNumId w:val="30"/>
  </w:num>
  <w:num w:numId="119">
    <w:abstractNumId w:val="47"/>
  </w:num>
  <w:num w:numId="120">
    <w:abstractNumId w:val="124"/>
  </w:num>
  <w:num w:numId="121">
    <w:abstractNumId w:val="41"/>
  </w:num>
  <w:num w:numId="122">
    <w:abstractNumId w:val="19"/>
  </w:num>
  <w:num w:numId="123">
    <w:abstractNumId w:val="162"/>
  </w:num>
  <w:num w:numId="124">
    <w:abstractNumId w:val="115"/>
  </w:num>
  <w:num w:numId="125">
    <w:abstractNumId w:val="138"/>
  </w:num>
  <w:num w:numId="126">
    <w:abstractNumId w:val="166"/>
  </w:num>
  <w:num w:numId="127">
    <w:abstractNumId w:val="59"/>
  </w:num>
  <w:num w:numId="128">
    <w:abstractNumId w:val="25"/>
  </w:num>
  <w:num w:numId="129">
    <w:abstractNumId w:val="120"/>
  </w:num>
  <w:num w:numId="130">
    <w:abstractNumId w:val="127"/>
  </w:num>
  <w:num w:numId="131">
    <w:abstractNumId w:val="105"/>
  </w:num>
  <w:num w:numId="132">
    <w:abstractNumId w:val="146"/>
  </w:num>
  <w:num w:numId="133">
    <w:abstractNumId w:val="48"/>
  </w:num>
  <w:num w:numId="134">
    <w:abstractNumId w:val="69"/>
  </w:num>
  <w:num w:numId="135">
    <w:abstractNumId w:val="152"/>
  </w:num>
  <w:num w:numId="136">
    <w:abstractNumId w:val="70"/>
  </w:num>
  <w:num w:numId="137">
    <w:abstractNumId w:val="128"/>
  </w:num>
  <w:num w:numId="138">
    <w:abstractNumId w:val="114"/>
  </w:num>
  <w:num w:numId="139">
    <w:abstractNumId w:val="170"/>
  </w:num>
  <w:num w:numId="140">
    <w:abstractNumId w:val="154"/>
  </w:num>
  <w:num w:numId="141">
    <w:abstractNumId w:val="20"/>
  </w:num>
  <w:num w:numId="142">
    <w:abstractNumId w:val="13"/>
  </w:num>
  <w:num w:numId="143">
    <w:abstractNumId w:val="79"/>
  </w:num>
  <w:num w:numId="144">
    <w:abstractNumId w:val="149"/>
  </w:num>
  <w:num w:numId="145">
    <w:abstractNumId w:val="7"/>
    <w:lvlOverride w:ilvl="0">
      <w:lvl w:ilvl="0">
        <w:start w:val="1"/>
        <w:numFmt w:val="bullet"/>
        <w:lvlText w:val=""/>
        <w:legacy w:legacy="1" w:legacySpace="0" w:legacyIndent="360"/>
        <w:lvlJc w:val="left"/>
        <w:pPr>
          <w:ind w:left="360" w:hanging="360"/>
        </w:pPr>
        <w:rPr>
          <w:rFonts w:ascii="Symbol" w:hAnsi="Symbol" w:hint="default"/>
        </w:rPr>
      </w:lvl>
    </w:lvlOverride>
  </w:num>
  <w:num w:numId="146">
    <w:abstractNumId w:val="7"/>
    <w:lvlOverride w:ilvl="0">
      <w:lvl w:ilvl="0">
        <w:start w:val="8"/>
        <w:numFmt w:val="bullet"/>
        <w:lvlText w:val="-"/>
        <w:legacy w:legacy="1" w:legacySpace="0" w:legacyIndent="720"/>
        <w:lvlJc w:val="left"/>
        <w:pPr>
          <w:ind w:left="1429" w:hanging="720"/>
        </w:pPr>
        <w:rPr>
          <w:rFonts w:ascii="Times New Roman" w:hAnsi="Times New Roman" w:cs="Times New Roman" w:hint="default"/>
        </w:rPr>
      </w:lvl>
    </w:lvlOverride>
  </w:num>
  <w:num w:numId="147">
    <w:abstractNumId w:val="22"/>
  </w:num>
  <w:num w:numId="148">
    <w:abstractNumId w:val="43"/>
  </w:num>
  <w:num w:numId="149">
    <w:abstractNumId w:val="81"/>
  </w:num>
  <w:num w:numId="150">
    <w:abstractNumId w:val="116"/>
  </w:num>
  <w:num w:numId="151">
    <w:abstractNumId w:val="140"/>
  </w:num>
  <w:num w:numId="152">
    <w:abstractNumId w:val="96"/>
  </w:num>
  <w:num w:numId="153">
    <w:abstractNumId w:val="54"/>
  </w:num>
  <w:num w:numId="154">
    <w:abstractNumId w:val="57"/>
  </w:num>
  <w:num w:numId="155">
    <w:abstractNumId w:val="118"/>
  </w:num>
  <w:num w:numId="156">
    <w:abstractNumId w:val="82"/>
  </w:num>
  <w:num w:numId="157">
    <w:abstractNumId w:val="8"/>
  </w:num>
  <w:num w:numId="158">
    <w:abstractNumId w:val="8"/>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159">
    <w:abstractNumId w:val="8"/>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160">
    <w:abstractNumId w:val="8"/>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161">
    <w:abstractNumId w:val="8"/>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162">
    <w:abstractNumId w:val="92"/>
  </w:num>
  <w:num w:numId="163">
    <w:abstractNumId w:val="161"/>
  </w:num>
  <w:num w:numId="164">
    <w:abstractNumId w:val="46"/>
  </w:num>
  <w:num w:numId="165">
    <w:abstractNumId w:val="26"/>
  </w:num>
  <w:num w:numId="166">
    <w:abstractNumId w:val="163"/>
  </w:num>
  <w:num w:numId="167">
    <w:abstractNumId w:val="51"/>
  </w:num>
  <w:num w:numId="168">
    <w:abstractNumId w:val="122"/>
  </w:num>
  <w:num w:numId="169">
    <w:abstractNumId w:val="119"/>
  </w:num>
  <w:num w:numId="170">
    <w:abstractNumId w:val="98"/>
  </w:num>
  <w:num w:numId="171">
    <w:abstractNumId w:val="93"/>
  </w:num>
  <w:num w:numId="172">
    <w:abstractNumId w:val="24"/>
  </w:num>
  <w:num w:numId="173">
    <w:abstractNumId w:val="129"/>
  </w:num>
  <w:num w:numId="174">
    <w:abstractNumId w:val="125"/>
  </w:num>
  <w:num w:numId="175">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ru-RU" w:vendorID="1" w:dllVersion="512" w:checkStyle="1"/>
  <w:activeWritingStyle w:appName="MSWord" w:lang="en-US" w:vendorID="8" w:dllVersion="513" w:checkStyle="1"/>
  <w:revisionView w:markup="0"/>
  <w:doNotTrackMoves/>
  <w:defaultTabStop w:val="709"/>
  <w:autoHyphenation/>
  <w:hyphenationZone w:val="221"/>
  <w:doNotHyphenateCaps/>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63"/>
      </w:tabs>
      <w:suppressAutoHyphens/>
      <w:spacing w:before="240" w:after="120" w:line="270" w:lineRule="exact"/>
      <w:ind w:left="1740" w:right="1264" w:hanging="476"/>
      <w:outlineLvl w:val="0"/>
    </w:pPr>
    <w:rPr>
      <w:b/>
      <w:sz w:val="24"/>
    </w:rPr>
  </w:style>
  <w:style w:type="character" w:customStyle="1" w:styleId="H10">
    <w:name w:val="_ H_1 Знак"/>
    <w:rPr>
      <w:b/>
      <w:noProof w:val="0"/>
      <w:spacing w:val="4"/>
      <w:w w:val="103"/>
      <w:kern w:val="14"/>
      <w:sz w:val="24"/>
      <w:lang w:val="ru-RU" w:eastAsia="ru-RU" w:bidi="ar-SA"/>
    </w:rPr>
  </w:style>
  <w:style w:type="paragraph" w:customStyle="1" w:styleId="HCh">
    <w:name w:val="_ H _Ch"/>
    <w:basedOn w:val="H1"/>
    <w:next w:val="Normal"/>
    <w:pPr>
      <w:keepLines/>
      <w:spacing w:line="300" w:lineRule="exact"/>
      <w:ind w:left="1264" w:firstLine="0"/>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0"/>
      <w:sz w:val="17"/>
      <w:szCs w:val="17"/>
      <w:vertAlign w:val="superscript"/>
    </w:rPr>
  </w:style>
  <w:style w:type="character" w:styleId="EndnoteReference">
    <w:name w:val="endnote reference"/>
    <w:basedOn w:val="FootnoteReference"/>
    <w:semiHidden/>
    <w:rPr>
      <w:rFonts w:ascii="Times New Roman" w:hAnsi="Times New Roman"/>
      <w:dstrike w:val="0"/>
      <w:spacing w:val="-5"/>
      <w:w w:val="130"/>
      <w:position w:val="0"/>
      <w:sz w:val="17"/>
      <w:szCs w:val="17"/>
      <w:vertAlign w:val="superscript"/>
    </w:rPr>
  </w:style>
  <w:style w:type="paragraph" w:styleId="FootnoteText">
    <w:name w:val="footnote text"/>
    <w:basedOn w:val="Normal"/>
    <w:semiHidden/>
    <w:pPr>
      <w:widowControl w:val="0"/>
      <w:tabs>
        <w:tab w:val="left" w:pos="1559"/>
      </w:tabs>
      <w:spacing w:line="210" w:lineRule="exact"/>
      <w:ind w:left="1559" w:right="1264" w:hanging="295"/>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tabs>
        <w:tab w:val="num" w:pos="792"/>
      </w:tabs>
      <w:spacing w:after="120"/>
      <w:ind w:left="792" w:hanging="317"/>
    </w:pPr>
  </w:style>
  <w:style w:type="paragraph" w:styleId="ListNumber">
    <w:name w:val="List Number"/>
    <w:basedOn w:val="H1"/>
    <w:next w:val="Normal"/>
    <w:semiHidden/>
    <w:pPr>
      <w:tabs>
        <w:tab w:val="num" w:pos="792"/>
      </w:tabs>
      <w:ind w:left="792" w:hanging="317"/>
    </w:pPr>
  </w:style>
  <w:style w:type="paragraph" w:styleId="ListNumber2">
    <w:name w:val="List Number 2"/>
    <w:basedOn w:val="H23"/>
    <w:next w:val="Normal"/>
    <w:semiHidden/>
    <w:pPr>
      <w:tabs>
        <w:tab w:val="num" w:pos="792"/>
      </w:tabs>
      <w:ind w:left="792" w:hanging="317"/>
    </w:pPr>
  </w:style>
  <w:style w:type="paragraph" w:styleId="ListNumber3">
    <w:name w:val="List Number 3"/>
    <w:basedOn w:val="H23"/>
    <w:next w:val="Normal"/>
    <w:semiHidden/>
    <w:pPr>
      <w:tabs>
        <w:tab w:val="num" w:pos="792"/>
      </w:tabs>
      <w:ind w:left="792" w:hanging="317"/>
    </w:pPr>
  </w:style>
  <w:style w:type="paragraph" w:styleId="ListNumber4">
    <w:name w:val="List Number 4"/>
    <w:basedOn w:val="H4"/>
    <w:next w:val="Normal"/>
    <w:semiHidden/>
    <w:pPr>
      <w:tabs>
        <w:tab w:val="num" w:pos="792"/>
      </w:tabs>
      <w:ind w:left="792" w:hanging="317"/>
    </w:pPr>
  </w:style>
  <w:style w:type="paragraph" w:styleId="ListNumber5">
    <w:name w:val="List Number 5"/>
    <w:basedOn w:val="Normal"/>
    <w:next w:val="Normal"/>
    <w:semiHidden/>
    <w:pPr>
      <w:tabs>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tabs>
        <w:tab w:val="num" w:pos="360"/>
      </w:tabs>
      <w:ind w:left="360" w:hanging="360"/>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tabs>
        <w:tab w:val="num" w:pos="926"/>
      </w:tabs>
      <w:spacing w:line="480" w:lineRule="auto"/>
      <w:ind w:left="926" w:hanging="360"/>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singl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tabs>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tabs>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pPr>
      <w:tabs>
        <w:tab w:val="right" w:leader="dot" w:pos="8505"/>
      </w:tabs>
      <w:spacing w:before="120"/>
      <w:ind w:left="1701" w:right="1701" w:hanging="425"/>
    </w:pPr>
    <w:rPr>
      <w:b/>
      <w:noProof/>
    </w:rPr>
  </w:style>
  <w:style w:type="paragraph" w:styleId="TOC2">
    <w:name w:val="toc 2"/>
    <w:basedOn w:val="Normal"/>
    <w:next w:val="Normal"/>
    <w:autoRedefine/>
    <w:semiHidden/>
    <w:pPr>
      <w:tabs>
        <w:tab w:val="left" w:pos="1701"/>
        <w:tab w:val="left" w:pos="2268"/>
        <w:tab w:val="left" w:pos="2835"/>
        <w:tab w:val="right" w:leader="dot" w:pos="8505"/>
      </w:tabs>
      <w:ind w:left="2268" w:right="1701" w:hanging="567"/>
    </w:pPr>
    <w:rPr>
      <w:noProof/>
    </w:rPr>
  </w:style>
  <w:style w:type="paragraph" w:styleId="TOC3">
    <w:name w:val="toc 3"/>
    <w:basedOn w:val="Normal"/>
    <w:next w:val="Normal"/>
    <w:autoRedefine/>
    <w:semiHidden/>
    <w:pPr>
      <w:tabs>
        <w:tab w:val="left" w:pos="1701"/>
        <w:tab w:val="left" w:pos="2268"/>
        <w:tab w:val="left" w:pos="2835"/>
        <w:tab w:val="right" w:leader="dot" w:pos="8505"/>
      </w:tabs>
      <w:ind w:left="2835" w:right="1701" w:hanging="567"/>
    </w:pPr>
    <w:rPr>
      <w:noProof/>
    </w:r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 w:type="paragraph" w:styleId="Caption">
    <w:name w:val="caption"/>
    <w:basedOn w:val="Normal"/>
    <w:next w:val="Normal"/>
    <w:qFormat/>
    <w:pPr>
      <w:spacing w:before="120" w:after="120"/>
    </w:pPr>
    <w:rPr>
      <w:b/>
      <w:bCs/>
    </w:rPr>
  </w:style>
  <w:style w:type="paragraph" w:customStyle="1" w:styleId="tt">
    <w:name w:val="tt"/>
    <w:basedOn w:val="SingleTxt"/>
    <w:pPr>
      <w:ind w:firstLine="0"/>
      <w:jc w:val="left"/>
    </w:pPr>
    <w:rPr>
      <w:b/>
      <w:bCs/>
    </w:rPr>
  </w:style>
  <w:style w:type="paragraph" w:customStyle="1" w:styleId="pg">
    <w:name w:val="pg"/>
    <w:basedOn w:val="SingleTxt"/>
    <w:pPr>
      <w:keepNext/>
      <w:suppressAutoHyphens/>
      <w:spacing w:before="120"/>
      <w:ind w:firstLine="0"/>
    </w:pPr>
    <w:rPr>
      <w:b/>
    </w:rPr>
  </w:style>
  <w:style w:type="paragraph" w:customStyle="1" w:styleId="a3">
    <w:name w:val="Текст выноски"/>
    <w:basedOn w:val="Normal"/>
    <w:semiHidden/>
    <w:rPr>
      <w:rFonts w:ascii="Tahoma" w:hAnsi="Tahoma" w:cs="Tahoma"/>
      <w:sz w:val="16"/>
      <w:szCs w:val="16"/>
    </w:rPr>
  </w:style>
  <w:style w:type="paragraph" w:customStyle="1" w:styleId="31">
    <w:name w:val="заголовок 3"/>
    <w:basedOn w:val="Normal"/>
    <w:next w:val="Normal"/>
    <w:pPr>
      <w:keepNext/>
      <w:autoSpaceDE w:val="0"/>
      <w:autoSpaceDN w:val="0"/>
      <w:adjustRightInd w:val="0"/>
      <w:spacing w:line="360" w:lineRule="auto"/>
    </w:pPr>
    <w:rPr>
      <w:b/>
      <w:bCs/>
      <w:i/>
      <w:iCs/>
      <w:spacing w:val="0"/>
      <w:w w:val="100"/>
      <w:kern w:val="0"/>
      <w:sz w:val="24"/>
      <w:szCs w:val="24"/>
      <w:lang w:val="en-US"/>
    </w:rPr>
  </w:style>
  <w:style w:type="paragraph" w:customStyle="1" w:styleId="4">
    <w:name w:val="заголовок 4"/>
    <w:basedOn w:val="Normal"/>
    <w:next w:val="Normal"/>
    <w:pPr>
      <w:keepNext/>
      <w:autoSpaceDE w:val="0"/>
      <w:autoSpaceDN w:val="0"/>
      <w:adjustRightInd w:val="0"/>
      <w:spacing w:line="360" w:lineRule="auto"/>
      <w:jc w:val="center"/>
    </w:pPr>
    <w:rPr>
      <w:b/>
      <w:bCs/>
      <w:spacing w:val="0"/>
      <w:w w:val="100"/>
      <w:kern w:val="0"/>
      <w:sz w:val="16"/>
      <w:szCs w:val="16"/>
    </w:rPr>
  </w:style>
  <w:style w:type="paragraph" w:customStyle="1" w:styleId="6">
    <w:name w:val="заголовок 6"/>
    <w:basedOn w:val="Normal"/>
    <w:next w:val="Normal"/>
    <w:pPr>
      <w:keepNext/>
      <w:autoSpaceDE w:val="0"/>
      <w:autoSpaceDN w:val="0"/>
      <w:adjustRightInd w:val="0"/>
      <w:spacing w:line="360" w:lineRule="auto"/>
    </w:pPr>
    <w:rPr>
      <w:i/>
      <w:iCs/>
      <w:spacing w:val="0"/>
      <w:w w:val="100"/>
      <w:kern w:val="0"/>
      <w:sz w:val="16"/>
      <w:szCs w:val="16"/>
    </w:rPr>
  </w:style>
  <w:style w:type="paragraph" w:customStyle="1" w:styleId="50">
    <w:name w:val="заголовок 5"/>
    <w:basedOn w:val="Normal"/>
    <w:next w:val="Normal"/>
    <w:pPr>
      <w:keepNext/>
      <w:autoSpaceDE w:val="0"/>
      <w:autoSpaceDN w:val="0"/>
      <w:adjustRightInd w:val="0"/>
      <w:spacing w:line="360" w:lineRule="auto"/>
      <w:jc w:val="center"/>
    </w:pPr>
    <w:rPr>
      <w:b/>
      <w:bCs/>
      <w:spacing w:val="0"/>
      <w:w w:val="100"/>
      <w:kern w:val="0"/>
    </w:rPr>
  </w:style>
  <w:style w:type="paragraph" w:customStyle="1" w:styleId="7">
    <w:name w:val="заголовок 7"/>
    <w:basedOn w:val="Normal"/>
    <w:next w:val="Normal"/>
    <w:pPr>
      <w:keepNext/>
      <w:autoSpaceDE w:val="0"/>
      <w:autoSpaceDN w:val="0"/>
      <w:adjustRightInd w:val="0"/>
      <w:spacing w:line="360" w:lineRule="auto"/>
    </w:pPr>
    <w:rPr>
      <w:spacing w:val="0"/>
      <w:w w:val="100"/>
      <w:kern w:val="0"/>
      <w:sz w:val="24"/>
      <w:szCs w:val="24"/>
    </w:rPr>
  </w:style>
  <w:style w:type="paragraph" w:customStyle="1" w:styleId="8">
    <w:name w:val="заголовок 8"/>
    <w:basedOn w:val="Normal"/>
    <w:next w:val="Normal"/>
    <w:pPr>
      <w:keepNext/>
      <w:autoSpaceDE w:val="0"/>
      <w:autoSpaceDN w:val="0"/>
      <w:adjustRightInd w:val="0"/>
      <w:spacing w:line="360" w:lineRule="auto"/>
    </w:pPr>
    <w:rPr>
      <w:b/>
      <w:bCs/>
      <w:spacing w:val="0"/>
      <w:w w:val="100"/>
      <w:kern w:val="0"/>
      <w:sz w:val="16"/>
      <w:szCs w:val="16"/>
    </w:rPr>
  </w:style>
  <w:style w:type="paragraph" w:customStyle="1" w:styleId="9">
    <w:name w:val="заголовок 9"/>
    <w:basedOn w:val="Normal"/>
    <w:next w:val="Normal"/>
    <w:pPr>
      <w:keepNext/>
      <w:autoSpaceDE w:val="0"/>
      <w:autoSpaceDN w:val="0"/>
      <w:adjustRightInd w:val="0"/>
      <w:spacing w:line="360" w:lineRule="auto"/>
      <w:jc w:val="center"/>
    </w:pPr>
    <w:rPr>
      <w:b/>
      <w:bCs/>
      <w:i/>
      <w:iCs/>
      <w:spacing w:val="0"/>
      <w:w w:val="100"/>
      <w:kern w:val="0"/>
      <w:sz w:val="24"/>
      <w:szCs w:val="24"/>
    </w:rPr>
  </w:style>
  <w:style w:type="character" w:styleId="PageNumber">
    <w:name w:val="page number"/>
    <w:basedOn w:val="DefaultParagraphFont"/>
    <w:semiHidden/>
  </w:style>
  <w:style w:type="character" w:customStyle="1" w:styleId="HCh0">
    <w:name w:val="_ H _Ch Знак"/>
    <w:rPr>
      <w:b/>
      <w:noProof w:val="0"/>
      <w:spacing w:val="-2"/>
      <w:w w:val="103"/>
      <w:kern w:val="14"/>
      <w:sz w:val="28"/>
      <w:lang w:val="ru-RU" w:eastAsia="ru-RU" w:bidi="ar-SA"/>
    </w:rPr>
  </w:style>
  <w:style w:type="paragraph" w:customStyle="1" w:styleId="pgabz">
    <w:name w:val="pg_abz"/>
    <w:basedOn w:val="SingleTxt"/>
    <w:pPr>
      <w:ind w:left="1740" w:hanging="476"/>
    </w:pPr>
    <w:rPr>
      <w:b/>
    </w:rPr>
  </w:style>
  <w:style w:type="character" w:customStyle="1" w:styleId="SingleTxt0">
    <w:name w:val="__Single Txt Знак"/>
    <w:rPr>
      <w:noProof w:val="0"/>
      <w:spacing w:val="4"/>
      <w:w w:val="103"/>
      <w:kern w:val="14"/>
      <w:lang w:val="ru-RU" w:eastAsia="ru-RU" w:bidi="ar-SA"/>
    </w:rPr>
  </w:style>
  <w:style w:type="paragraph" w:customStyle="1" w:styleId="istochnik">
    <w:name w:val="istochnik"/>
    <w:basedOn w:val="SingleTxt"/>
    <w:pPr>
      <w:ind w:firstLine="0"/>
    </w:pPr>
    <w:rPr>
      <w:sz w:val="17"/>
    </w:rPr>
  </w:style>
  <w:style w:type="paragraph" w:styleId="BodyText20">
    <w:name w:val="Body Text 2"/>
    <w:basedOn w:val="Normal"/>
    <w:pPr>
      <w:spacing w:line="480" w:lineRule="auto"/>
    </w:pPr>
    <w:rPr>
      <w:spacing w:val="0"/>
      <w:w w:val="100"/>
      <w:kern w:val="0"/>
      <w:sz w:val="28"/>
    </w:rPr>
  </w:style>
  <w:style w:type="paragraph" w:styleId="BodyText30">
    <w:name w:val="Body Text 3"/>
    <w:basedOn w:val="Normal"/>
    <w:pPr>
      <w:spacing w:line="480" w:lineRule="auto"/>
      <w:jc w:val="both"/>
    </w:pPr>
    <w:rPr>
      <w:b/>
      <w:spacing w:val="0"/>
      <w:w w:val="100"/>
      <w:kern w:val="0"/>
      <w:sz w:val="28"/>
    </w:rPr>
  </w:style>
  <w:style w:type="paragraph" w:customStyle="1" w:styleId="12">
    <w:name w:val="оглавление 1"/>
    <w:basedOn w:val="Normal"/>
    <w:pPr>
      <w:tabs>
        <w:tab w:val="left" w:leader="dot" w:pos="9000"/>
        <w:tab w:val="right" w:pos="9360"/>
      </w:tabs>
      <w:suppressAutoHyphens/>
      <w:spacing w:before="480" w:line="240" w:lineRule="auto"/>
      <w:ind w:left="720" w:right="720" w:hanging="720"/>
    </w:pPr>
    <w:rPr>
      <w:rFonts w:ascii="TMS Roman 12pt" w:hAnsi="TMS Roman 12pt"/>
      <w:spacing w:val="0"/>
      <w:w w:val="100"/>
      <w:kern w:val="0"/>
      <w:sz w:val="24"/>
      <w:lang w:val="en-US"/>
    </w:rPr>
  </w:style>
  <w:style w:type="paragraph" w:customStyle="1" w:styleId="22">
    <w:name w:val="оглавление 2"/>
    <w:basedOn w:val="Normal"/>
    <w:pPr>
      <w:tabs>
        <w:tab w:val="left" w:leader="dot" w:pos="9000"/>
        <w:tab w:val="right" w:pos="9360"/>
      </w:tabs>
      <w:suppressAutoHyphens/>
      <w:spacing w:line="240" w:lineRule="auto"/>
      <w:ind w:left="1440" w:right="720" w:hanging="720"/>
    </w:pPr>
    <w:rPr>
      <w:rFonts w:ascii="TMS Roman 12pt" w:hAnsi="TMS Roman 12pt"/>
      <w:spacing w:val="0"/>
      <w:w w:val="100"/>
      <w:kern w:val="0"/>
      <w:sz w:val="24"/>
      <w:lang w:val="en-US"/>
    </w:rPr>
  </w:style>
  <w:style w:type="paragraph" w:customStyle="1" w:styleId="32">
    <w:name w:val="оглавление 3"/>
    <w:basedOn w:val="Normal"/>
    <w:pPr>
      <w:tabs>
        <w:tab w:val="left" w:leader="dot" w:pos="9000"/>
        <w:tab w:val="right" w:pos="9360"/>
      </w:tabs>
      <w:suppressAutoHyphens/>
      <w:spacing w:line="240" w:lineRule="auto"/>
      <w:ind w:left="2160" w:right="720" w:hanging="720"/>
    </w:pPr>
    <w:rPr>
      <w:rFonts w:ascii="TMS Roman 12pt" w:hAnsi="TMS Roman 12pt"/>
      <w:spacing w:val="0"/>
      <w:w w:val="100"/>
      <w:kern w:val="0"/>
      <w:sz w:val="24"/>
      <w:lang w:val="en-US"/>
    </w:rPr>
  </w:style>
  <w:style w:type="paragraph" w:customStyle="1" w:styleId="40">
    <w:name w:val="оглавление 4"/>
    <w:basedOn w:val="Normal"/>
    <w:pPr>
      <w:tabs>
        <w:tab w:val="left" w:leader="dot" w:pos="9000"/>
        <w:tab w:val="right" w:pos="9360"/>
      </w:tabs>
      <w:suppressAutoHyphens/>
      <w:spacing w:line="240" w:lineRule="auto"/>
      <w:ind w:left="2880" w:right="720" w:hanging="720"/>
    </w:pPr>
    <w:rPr>
      <w:rFonts w:ascii="TMS Roman 12pt" w:hAnsi="TMS Roman 12pt"/>
      <w:spacing w:val="0"/>
      <w:w w:val="100"/>
      <w:kern w:val="0"/>
      <w:sz w:val="24"/>
      <w:lang w:val="en-US"/>
    </w:rPr>
  </w:style>
  <w:style w:type="paragraph" w:customStyle="1" w:styleId="51">
    <w:name w:val="оглавление 5"/>
    <w:basedOn w:val="Normal"/>
    <w:pPr>
      <w:tabs>
        <w:tab w:val="left" w:leader="dot" w:pos="9000"/>
        <w:tab w:val="right" w:pos="9360"/>
      </w:tabs>
      <w:suppressAutoHyphens/>
      <w:spacing w:line="240" w:lineRule="auto"/>
      <w:ind w:left="3600" w:right="720" w:hanging="720"/>
    </w:pPr>
    <w:rPr>
      <w:rFonts w:ascii="TMS Roman 12pt" w:hAnsi="TMS Roman 12pt"/>
      <w:spacing w:val="0"/>
      <w:w w:val="100"/>
      <w:kern w:val="0"/>
      <w:sz w:val="24"/>
      <w:lang w:val="en-US"/>
    </w:rPr>
  </w:style>
  <w:style w:type="paragraph" w:customStyle="1" w:styleId="60">
    <w:name w:val="оглавление 6"/>
    <w:basedOn w:val="Normal"/>
    <w:pPr>
      <w:tabs>
        <w:tab w:val="left" w:pos="9000"/>
        <w:tab w:val="right" w:pos="9360"/>
      </w:tabs>
      <w:suppressAutoHyphens/>
      <w:spacing w:line="240" w:lineRule="auto"/>
      <w:ind w:left="720" w:hanging="720"/>
    </w:pPr>
    <w:rPr>
      <w:rFonts w:ascii="TMS Roman 12pt" w:hAnsi="TMS Roman 12pt"/>
      <w:spacing w:val="0"/>
      <w:w w:val="100"/>
      <w:kern w:val="0"/>
      <w:sz w:val="24"/>
      <w:lang w:val="en-US"/>
    </w:rPr>
  </w:style>
  <w:style w:type="paragraph" w:customStyle="1" w:styleId="70">
    <w:name w:val="оглавление 7"/>
    <w:basedOn w:val="Normal"/>
    <w:pPr>
      <w:suppressAutoHyphens/>
      <w:spacing w:line="240" w:lineRule="auto"/>
      <w:ind w:left="720" w:hanging="720"/>
    </w:pPr>
    <w:rPr>
      <w:rFonts w:ascii="TMS Roman 12pt" w:hAnsi="TMS Roman 12pt"/>
      <w:spacing w:val="0"/>
      <w:w w:val="100"/>
      <w:kern w:val="0"/>
      <w:sz w:val="24"/>
      <w:lang w:val="en-US"/>
    </w:rPr>
  </w:style>
  <w:style w:type="paragraph" w:customStyle="1" w:styleId="80">
    <w:name w:val="оглавление 8"/>
    <w:basedOn w:val="Normal"/>
    <w:pPr>
      <w:tabs>
        <w:tab w:val="left" w:pos="9000"/>
        <w:tab w:val="right" w:pos="9360"/>
      </w:tabs>
      <w:suppressAutoHyphens/>
      <w:spacing w:line="240" w:lineRule="auto"/>
      <w:ind w:left="720" w:hanging="720"/>
    </w:pPr>
    <w:rPr>
      <w:rFonts w:ascii="TMS Roman 12pt" w:hAnsi="TMS Roman 12pt"/>
      <w:spacing w:val="0"/>
      <w:w w:val="100"/>
      <w:kern w:val="0"/>
      <w:sz w:val="24"/>
      <w:lang w:val="en-US"/>
    </w:rPr>
  </w:style>
  <w:style w:type="paragraph" w:customStyle="1" w:styleId="90">
    <w:name w:val="оглавление 9"/>
    <w:basedOn w:val="Normal"/>
    <w:pPr>
      <w:tabs>
        <w:tab w:val="left" w:leader="dot" w:pos="9000"/>
        <w:tab w:val="right" w:pos="9360"/>
      </w:tabs>
      <w:suppressAutoHyphens/>
      <w:spacing w:line="240" w:lineRule="auto"/>
      <w:ind w:left="720" w:hanging="720"/>
    </w:pPr>
    <w:rPr>
      <w:rFonts w:ascii="TMS Roman 12pt" w:hAnsi="TMS Roman 12pt"/>
      <w:spacing w:val="0"/>
      <w:w w:val="100"/>
      <w:kern w:val="0"/>
      <w:sz w:val="24"/>
      <w:lang w:val="en-US"/>
    </w:rPr>
  </w:style>
  <w:style w:type="paragraph" w:customStyle="1" w:styleId="13">
    <w:name w:val="указатель 1"/>
    <w:basedOn w:val="Normal"/>
    <w:pPr>
      <w:tabs>
        <w:tab w:val="left" w:leader="dot" w:pos="9000"/>
        <w:tab w:val="right" w:pos="9360"/>
      </w:tabs>
      <w:suppressAutoHyphens/>
      <w:spacing w:line="240" w:lineRule="auto"/>
      <w:ind w:left="1440" w:right="720" w:hanging="1440"/>
    </w:pPr>
    <w:rPr>
      <w:rFonts w:ascii="TMS Roman 12pt" w:hAnsi="TMS Roman 12pt"/>
      <w:spacing w:val="0"/>
      <w:w w:val="100"/>
      <w:kern w:val="0"/>
      <w:sz w:val="24"/>
      <w:lang w:val="en-US"/>
    </w:rPr>
  </w:style>
  <w:style w:type="paragraph" w:customStyle="1" w:styleId="23">
    <w:name w:val="указатель 2"/>
    <w:basedOn w:val="Normal"/>
    <w:pPr>
      <w:tabs>
        <w:tab w:val="left" w:leader="dot" w:pos="9000"/>
        <w:tab w:val="right" w:pos="9360"/>
      </w:tabs>
      <w:suppressAutoHyphens/>
      <w:spacing w:line="240" w:lineRule="auto"/>
      <w:ind w:left="1440" w:right="720" w:hanging="720"/>
    </w:pPr>
    <w:rPr>
      <w:rFonts w:ascii="TMS Roman 12pt" w:hAnsi="TMS Roman 12pt"/>
      <w:spacing w:val="0"/>
      <w:w w:val="100"/>
      <w:kern w:val="0"/>
      <w:sz w:val="24"/>
      <w:lang w:val="en-US"/>
    </w:rPr>
  </w:style>
  <w:style w:type="paragraph" w:customStyle="1" w:styleId="a4">
    <w:name w:val="заг. указ. литературы"/>
    <w:basedOn w:val="Normal"/>
    <w:pPr>
      <w:tabs>
        <w:tab w:val="left" w:pos="9000"/>
        <w:tab w:val="right" w:pos="9360"/>
      </w:tabs>
      <w:suppressAutoHyphens/>
      <w:spacing w:line="240" w:lineRule="auto"/>
    </w:pPr>
    <w:rPr>
      <w:rFonts w:ascii="TMS Roman 12pt" w:hAnsi="TMS Roman 12pt"/>
      <w:spacing w:val="0"/>
      <w:w w:val="100"/>
      <w:kern w:val="0"/>
      <w:sz w:val="24"/>
      <w:lang w:val="en-US"/>
    </w:rPr>
  </w:style>
  <w:style w:type="paragraph" w:customStyle="1" w:styleId="a5">
    <w:name w:val="название"/>
    <w:basedOn w:val="Normal"/>
    <w:pPr>
      <w:spacing w:line="240" w:lineRule="auto"/>
    </w:pPr>
    <w:rPr>
      <w:rFonts w:ascii="TMS Roman 12pt" w:hAnsi="TMS Roman 12pt"/>
      <w:spacing w:val="0"/>
      <w:w w:val="100"/>
      <w:kern w:val="0"/>
      <w:sz w:val="24"/>
    </w:rPr>
  </w:style>
  <w:style w:type="character" w:customStyle="1" w:styleId="EquationCaption">
    <w:name w:val="_Equation Caption"/>
  </w:style>
  <w:style w:type="character" w:customStyle="1" w:styleId="Max">
    <w:name w:val="Max."/>
    <w:rPr>
      <w:b/>
    </w:rPr>
  </w:style>
  <w:style w:type="paragraph" w:customStyle="1" w:styleId="Anlage">
    <w:name w:val="Anlage"/>
    <w:basedOn w:val="Normal"/>
    <w:pPr>
      <w:spacing w:before="240" w:line="240" w:lineRule="auto"/>
      <w:ind w:left="1134" w:hanging="1134"/>
    </w:pPr>
    <w:rPr>
      <w:rFonts w:ascii="Arial" w:hAnsi="Arial"/>
      <w:spacing w:val="0"/>
      <w:w w:val="100"/>
      <w:kern w:val="0"/>
      <w:sz w:val="24"/>
      <w:lang w:val="de-DE" w:eastAsia="zh-CN"/>
    </w:rPr>
  </w:style>
  <w:style w:type="paragraph" w:customStyle="1" w:styleId="H23223084">
    <w:name w:val="Стиль _ H_2/3 + Слева:  223 см Выступ:  084 см"/>
    <w:basedOn w:val="H23"/>
    <w:rPr>
      <w:bCs/>
    </w:rPr>
  </w:style>
  <w:style w:type="paragraph" w:customStyle="1" w:styleId="HCh00">
    <w:name w:val="Стиль _ H _Ch + Перед:  0 пт"/>
    <w:basedOn w:val="HCh"/>
    <w:pPr>
      <w:spacing w:before="0"/>
    </w:pPr>
    <w:rPr>
      <w:bCs/>
    </w:rPr>
  </w:style>
  <w:style w:type="character" w:customStyle="1" w:styleId="H40">
    <w:name w:val="_ H_4 Знак"/>
    <w:rPr>
      <w:i/>
      <w:noProof w:val="0"/>
      <w:spacing w:val="3"/>
      <w:w w:val="103"/>
      <w:kern w:val="14"/>
      <w:lang w:val="ru-RU" w:eastAsia="ru-RU" w:bidi="ar-SA"/>
    </w:rPr>
  </w:style>
  <w:style w:type="paragraph" w:customStyle="1" w:styleId="H4223102">
    <w:name w:val="Стиль _ H_4 + Слева:  223 см Выступ:  102 см"/>
    <w:basedOn w:val="H4"/>
    <w:pPr>
      <w:tabs>
        <w:tab w:val="clear" w:pos="1741"/>
        <w:tab w:val="left" w:pos="1814"/>
      </w:tabs>
      <w:ind w:left="1944" w:hanging="680"/>
    </w:pPr>
    <w:rPr>
      <w:iCs/>
    </w:rPr>
  </w:style>
  <w:style w:type="character" w:customStyle="1" w:styleId="H11">
    <w:name w:val="_ H_1 Знак1"/>
    <w:rPr>
      <w:b/>
      <w:noProof w:val="0"/>
      <w:spacing w:val="4"/>
      <w:w w:val="103"/>
      <w:kern w:val="14"/>
      <w:sz w:val="24"/>
      <w:lang w:val="ru-RU" w:eastAsia="ru-RU" w:bidi="ar-SA"/>
    </w:rPr>
  </w:style>
  <w:style w:type="character" w:customStyle="1" w:styleId="H230">
    <w:name w:val="_ H_2/3 Знак"/>
    <w:rPr>
      <w:b/>
      <w:noProof w:val="0"/>
      <w:spacing w:val="2"/>
      <w:w w:val="103"/>
      <w:kern w:val="14"/>
      <w:sz w:val="24"/>
      <w:lang w:val="ru-RU" w:eastAsia="ru-RU" w:bidi="ar-SA"/>
    </w:rPr>
  </w:style>
  <w:style w:type="character" w:customStyle="1" w:styleId="H232230840">
    <w:name w:val="Стиль _ H_2/3 + Слева:  223 см Выступ:  084 см Знак"/>
    <w:rPr>
      <w:b/>
      <w:bCs/>
      <w:noProof w:val="0"/>
      <w:spacing w:val="2"/>
      <w:w w:val="103"/>
      <w:kern w:val="14"/>
      <w:sz w:val="24"/>
      <w:lang w:val="ru-RU" w:eastAsia="ru-RU" w:bidi="ar-SA"/>
    </w:rPr>
  </w:style>
  <w:style w:type="character" w:customStyle="1" w:styleId="SingleTxt1">
    <w:name w:val="__Single Txt Знак1"/>
    <w:rPr>
      <w:noProof w:val="0"/>
      <w:spacing w:val="4"/>
      <w:w w:val="103"/>
      <w:kern w:val="14"/>
      <w:lang w:val="ru-RU" w:eastAsia="ru-RU" w:bidi="ar-SA"/>
    </w:rPr>
  </w:style>
  <w:style w:type="character" w:customStyle="1" w:styleId="dot0">
    <w:name w:val="dot Знак"/>
    <w:basedOn w:val="SingleTxt1"/>
    <w:rPr>
      <w:noProof w:val="0"/>
      <w:spacing w:val="4"/>
      <w:w w:val="103"/>
      <w:kern w:val="14"/>
      <w:lang w:val="ru-RU" w:eastAsia="ru-RU" w:bidi="ar-SA"/>
    </w:rPr>
  </w:style>
  <w:style w:type="paragraph" w:customStyle="1" w:styleId="H2300">
    <w:name w:val="Стиль _ H_2/3 + Слева:  0 см Первая строка:  0 см"/>
    <w:basedOn w:val="H23"/>
    <w:pPr>
      <w:ind w:left="1264" w:firstLine="0"/>
    </w:pPr>
    <w:rPr>
      <w:bCs/>
    </w:rPr>
  </w:style>
  <w:style w:type="character" w:customStyle="1" w:styleId="H23000">
    <w:name w:val="Стиль _ H_2/3 + Слева:  0 см Первая строка:  0 см Знак"/>
    <w:rPr>
      <w:b/>
      <w:bCs/>
      <w:noProof w:val="0"/>
      <w:spacing w:val="2"/>
      <w:w w:val="103"/>
      <w:kern w:val="14"/>
      <w:sz w:val="24"/>
      <w:lang w:val="ru-RU" w:eastAsia="ru-RU" w:bidi="ar-SA"/>
    </w:rPr>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7.xml"/><Relationship Id="rId26" Type="http://schemas.openxmlformats.org/officeDocument/2006/relationships/oleObject" Target="embeddings/Microsoft_Excel_97-2003_Worksheet1.xls"/><Relationship Id="rId39" Type="http://schemas.openxmlformats.org/officeDocument/2006/relationships/hyperlink" Target="http://www.bmj.de" TargetMode="Externa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hyperlink" Target="http://www.bma.de" TargetMode="External"/><Relationship Id="rId42" Type="http://schemas.openxmlformats.org/officeDocument/2006/relationships/hyperlink" Target="http://www.bmz.de" TargetMode="External"/><Relationship Id="rId47" Type="http://schemas.openxmlformats.org/officeDocument/2006/relationships/footer" Target="footer11.xml"/><Relationship Id="rId50"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2.wmf"/><Relationship Id="rId33" Type="http://schemas.openxmlformats.org/officeDocument/2006/relationships/hyperlink" Target="http://www.auswaertiges-amt.de" TargetMode="External"/><Relationship Id="rId38" Type="http://schemas.openxmlformats.org/officeDocument/2006/relationships/hyperlink" Target="http://www.bmi.bund.de" TargetMode="External"/><Relationship Id="rId46" Type="http://schemas.openxmlformats.org/officeDocument/2006/relationships/header" Target="header13.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hyperlink" Target="http://www.bmw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0.xml"/><Relationship Id="rId37" Type="http://schemas.openxmlformats.org/officeDocument/2006/relationships/hyperlink" Target="http://www.bmgesundheit.de" TargetMode="External"/><Relationship Id="rId40" Type="http://schemas.openxmlformats.org/officeDocument/2006/relationships/hyperlink" Target="http://www.bundeswehr.de" TargetMode="External"/><Relationship Id="rId45"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oleObject" Target="embeddings/Microsoft_Excel_97-2003_Worksheet2.xls"/><Relationship Id="rId36" Type="http://schemas.openxmlformats.org/officeDocument/2006/relationships/hyperlink" Target="http://www.bundesfinanzministerium.de"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9.xml"/><Relationship Id="rId44" Type="http://schemas.openxmlformats.org/officeDocument/2006/relationships/hyperlink" Target="http://www.arbeitsamt.d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image" Target="media/image3.wmf"/><Relationship Id="rId30" Type="http://schemas.openxmlformats.org/officeDocument/2006/relationships/header" Target="header11.xml"/><Relationship Id="rId35" Type="http://schemas.openxmlformats.org/officeDocument/2006/relationships/hyperlink" Target="http://www.bmbf.de" TargetMode="External"/><Relationship Id="rId43" Type="http://schemas.openxmlformats.org/officeDocument/2006/relationships/hyperlink" Target="http://www.bundesregierung.de" TargetMode="External"/><Relationship Id="rId48" Type="http://schemas.openxmlformats.org/officeDocument/2006/relationships/footer" Target="footer12.xml"/><Relationship Id="rId8"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75342</Words>
  <Characters>504792</Characters>
  <Application>Microsoft Office Word</Application>
  <DocSecurity>4</DocSecurity>
  <Lines>11739</Lines>
  <Paragraphs>4389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602736</CharactersWithSpaces>
  <SharedDoc>false</SharedDoc>
  <HLinks>
    <vt:vector size="1128" baseType="variant">
      <vt:variant>
        <vt:i4>1310786</vt:i4>
      </vt:variant>
      <vt:variant>
        <vt:i4>1092</vt:i4>
      </vt:variant>
      <vt:variant>
        <vt:i4>0</vt:i4>
      </vt:variant>
      <vt:variant>
        <vt:i4>5</vt:i4>
      </vt:variant>
      <vt:variant>
        <vt:lpwstr>http://www.arbeitsamt.de/</vt:lpwstr>
      </vt:variant>
      <vt:variant>
        <vt:lpwstr/>
      </vt:variant>
      <vt:variant>
        <vt:i4>7012457</vt:i4>
      </vt:variant>
      <vt:variant>
        <vt:i4>1089</vt:i4>
      </vt:variant>
      <vt:variant>
        <vt:i4>0</vt:i4>
      </vt:variant>
      <vt:variant>
        <vt:i4>5</vt:i4>
      </vt:variant>
      <vt:variant>
        <vt:lpwstr>http://www.bundesregierung.de/</vt:lpwstr>
      </vt:variant>
      <vt:variant>
        <vt:lpwstr/>
      </vt:variant>
      <vt:variant>
        <vt:i4>7864438</vt:i4>
      </vt:variant>
      <vt:variant>
        <vt:i4>1086</vt:i4>
      </vt:variant>
      <vt:variant>
        <vt:i4>0</vt:i4>
      </vt:variant>
      <vt:variant>
        <vt:i4>5</vt:i4>
      </vt:variant>
      <vt:variant>
        <vt:lpwstr>http://www.bmz.de/</vt:lpwstr>
      </vt:variant>
      <vt:variant>
        <vt:lpwstr/>
      </vt:variant>
      <vt:variant>
        <vt:i4>7667760</vt:i4>
      </vt:variant>
      <vt:variant>
        <vt:i4>1083</vt:i4>
      </vt:variant>
      <vt:variant>
        <vt:i4>0</vt:i4>
      </vt:variant>
      <vt:variant>
        <vt:i4>5</vt:i4>
      </vt:variant>
      <vt:variant>
        <vt:lpwstr>http://www.bmwi.de/</vt:lpwstr>
      </vt:variant>
      <vt:variant>
        <vt:lpwstr/>
      </vt:variant>
      <vt:variant>
        <vt:i4>1441857</vt:i4>
      </vt:variant>
      <vt:variant>
        <vt:i4>1080</vt:i4>
      </vt:variant>
      <vt:variant>
        <vt:i4>0</vt:i4>
      </vt:variant>
      <vt:variant>
        <vt:i4>5</vt:i4>
      </vt:variant>
      <vt:variant>
        <vt:lpwstr>http://www.bundeswehr.de/</vt:lpwstr>
      </vt:variant>
      <vt:variant>
        <vt:lpwstr/>
      </vt:variant>
      <vt:variant>
        <vt:i4>6815862</vt:i4>
      </vt:variant>
      <vt:variant>
        <vt:i4>1077</vt:i4>
      </vt:variant>
      <vt:variant>
        <vt:i4>0</vt:i4>
      </vt:variant>
      <vt:variant>
        <vt:i4>5</vt:i4>
      </vt:variant>
      <vt:variant>
        <vt:lpwstr>http://www.bmj.de/</vt:lpwstr>
      </vt:variant>
      <vt:variant>
        <vt:lpwstr/>
      </vt:variant>
      <vt:variant>
        <vt:i4>6750310</vt:i4>
      </vt:variant>
      <vt:variant>
        <vt:i4>1074</vt:i4>
      </vt:variant>
      <vt:variant>
        <vt:i4>0</vt:i4>
      </vt:variant>
      <vt:variant>
        <vt:i4>5</vt:i4>
      </vt:variant>
      <vt:variant>
        <vt:lpwstr>http://www.bmi.bund.de/</vt:lpwstr>
      </vt:variant>
      <vt:variant>
        <vt:lpwstr/>
      </vt:variant>
      <vt:variant>
        <vt:i4>7929916</vt:i4>
      </vt:variant>
      <vt:variant>
        <vt:i4>1071</vt:i4>
      </vt:variant>
      <vt:variant>
        <vt:i4>0</vt:i4>
      </vt:variant>
      <vt:variant>
        <vt:i4>5</vt:i4>
      </vt:variant>
      <vt:variant>
        <vt:lpwstr>http://www.bmgesundheit.de/</vt:lpwstr>
      </vt:variant>
      <vt:variant>
        <vt:lpwstr/>
      </vt:variant>
      <vt:variant>
        <vt:i4>8257656</vt:i4>
      </vt:variant>
      <vt:variant>
        <vt:i4>1068</vt:i4>
      </vt:variant>
      <vt:variant>
        <vt:i4>0</vt:i4>
      </vt:variant>
      <vt:variant>
        <vt:i4>5</vt:i4>
      </vt:variant>
      <vt:variant>
        <vt:lpwstr>http://www.bundesfinanzministerium.de/</vt:lpwstr>
      </vt:variant>
      <vt:variant>
        <vt:lpwstr/>
      </vt:variant>
      <vt:variant>
        <vt:i4>6291519</vt:i4>
      </vt:variant>
      <vt:variant>
        <vt:i4>1065</vt:i4>
      </vt:variant>
      <vt:variant>
        <vt:i4>0</vt:i4>
      </vt:variant>
      <vt:variant>
        <vt:i4>5</vt:i4>
      </vt:variant>
      <vt:variant>
        <vt:lpwstr>http://www.bmbf.de/</vt:lpwstr>
      </vt:variant>
      <vt:variant>
        <vt:lpwstr/>
      </vt:variant>
      <vt:variant>
        <vt:i4>6488182</vt:i4>
      </vt:variant>
      <vt:variant>
        <vt:i4>1062</vt:i4>
      </vt:variant>
      <vt:variant>
        <vt:i4>0</vt:i4>
      </vt:variant>
      <vt:variant>
        <vt:i4>5</vt:i4>
      </vt:variant>
      <vt:variant>
        <vt:lpwstr>http://www.bma.de/</vt:lpwstr>
      </vt:variant>
      <vt:variant>
        <vt:lpwstr/>
      </vt:variant>
      <vt:variant>
        <vt:i4>2949158</vt:i4>
      </vt:variant>
      <vt:variant>
        <vt:i4>1059</vt:i4>
      </vt:variant>
      <vt:variant>
        <vt:i4>0</vt:i4>
      </vt:variant>
      <vt:variant>
        <vt:i4>5</vt:i4>
      </vt:variant>
      <vt:variant>
        <vt:lpwstr>http://www.auswaertiges-amt.de/</vt:lpwstr>
      </vt:variant>
      <vt:variant>
        <vt:lpwstr/>
      </vt:variant>
      <vt:variant>
        <vt:i4>1507379</vt:i4>
      </vt:variant>
      <vt:variant>
        <vt:i4>1046</vt:i4>
      </vt:variant>
      <vt:variant>
        <vt:i4>0</vt:i4>
      </vt:variant>
      <vt:variant>
        <vt:i4>5</vt:i4>
      </vt:variant>
      <vt:variant>
        <vt:lpwstr/>
      </vt:variant>
      <vt:variant>
        <vt:lpwstr>_Toc44116104</vt:lpwstr>
      </vt:variant>
      <vt:variant>
        <vt:i4>1179706</vt:i4>
      </vt:variant>
      <vt:variant>
        <vt:i4>1040</vt:i4>
      </vt:variant>
      <vt:variant>
        <vt:i4>0</vt:i4>
      </vt:variant>
      <vt:variant>
        <vt:i4>5</vt:i4>
      </vt:variant>
      <vt:variant>
        <vt:lpwstr/>
      </vt:variant>
      <vt:variant>
        <vt:lpwstr>_Toc44116090</vt:lpwstr>
      </vt:variant>
      <vt:variant>
        <vt:i4>1769531</vt:i4>
      </vt:variant>
      <vt:variant>
        <vt:i4>1034</vt:i4>
      </vt:variant>
      <vt:variant>
        <vt:i4>0</vt:i4>
      </vt:variant>
      <vt:variant>
        <vt:i4>5</vt:i4>
      </vt:variant>
      <vt:variant>
        <vt:lpwstr/>
      </vt:variant>
      <vt:variant>
        <vt:lpwstr>_Toc44116089</vt:lpwstr>
      </vt:variant>
      <vt:variant>
        <vt:i4>1703995</vt:i4>
      </vt:variant>
      <vt:variant>
        <vt:i4>1028</vt:i4>
      </vt:variant>
      <vt:variant>
        <vt:i4>0</vt:i4>
      </vt:variant>
      <vt:variant>
        <vt:i4>5</vt:i4>
      </vt:variant>
      <vt:variant>
        <vt:lpwstr/>
      </vt:variant>
      <vt:variant>
        <vt:lpwstr>_Toc44116088</vt:lpwstr>
      </vt:variant>
      <vt:variant>
        <vt:i4>1376309</vt:i4>
      </vt:variant>
      <vt:variant>
        <vt:i4>1022</vt:i4>
      </vt:variant>
      <vt:variant>
        <vt:i4>0</vt:i4>
      </vt:variant>
      <vt:variant>
        <vt:i4>5</vt:i4>
      </vt:variant>
      <vt:variant>
        <vt:lpwstr/>
      </vt:variant>
      <vt:variant>
        <vt:lpwstr>_Toc44116067</vt:lpwstr>
      </vt:variant>
      <vt:variant>
        <vt:i4>1310773</vt:i4>
      </vt:variant>
      <vt:variant>
        <vt:i4>1016</vt:i4>
      </vt:variant>
      <vt:variant>
        <vt:i4>0</vt:i4>
      </vt:variant>
      <vt:variant>
        <vt:i4>5</vt:i4>
      </vt:variant>
      <vt:variant>
        <vt:lpwstr/>
      </vt:variant>
      <vt:variant>
        <vt:lpwstr>_Toc44116066</vt:lpwstr>
      </vt:variant>
      <vt:variant>
        <vt:i4>1507381</vt:i4>
      </vt:variant>
      <vt:variant>
        <vt:i4>1010</vt:i4>
      </vt:variant>
      <vt:variant>
        <vt:i4>0</vt:i4>
      </vt:variant>
      <vt:variant>
        <vt:i4>5</vt:i4>
      </vt:variant>
      <vt:variant>
        <vt:lpwstr/>
      </vt:variant>
      <vt:variant>
        <vt:lpwstr>_Toc44116065</vt:lpwstr>
      </vt:variant>
      <vt:variant>
        <vt:i4>1441845</vt:i4>
      </vt:variant>
      <vt:variant>
        <vt:i4>1004</vt:i4>
      </vt:variant>
      <vt:variant>
        <vt:i4>0</vt:i4>
      </vt:variant>
      <vt:variant>
        <vt:i4>5</vt:i4>
      </vt:variant>
      <vt:variant>
        <vt:lpwstr/>
      </vt:variant>
      <vt:variant>
        <vt:lpwstr>_Toc44116064</vt:lpwstr>
      </vt:variant>
      <vt:variant>
        <vt:i4>1114165</vt:i4>
      </vt:variant>
      <vt:variant>
        <vt:i4>998</vt:i4>
      </vt:variant>
      <vt:variant>
        <vt:i4>0</vt:i4>
      </vt:variant>
      <vt:variant>
        <vt:i4>5</vt:i4>
      </vt:variant>
      <vt:variant>
        <vt:lpwstr/>
      </vt:variant>
      <vt:variant>
        <vt:lpwstr>_Toc44116063</vt:lpwstr>
      </vt:variant>
      <vt:variant>
        <vt:i4>1048629</vt:i4>
      </vt:variant>
      <vt:variant>
        <vt:i4>992</vt:i4>
      </vt:variant>
      <vt:variant>
        <vt:i4>0</vt:i4>
      </vt:variant>
      <vt:variant>
        <vt:i4>5</vt:i4>
      </vt:variant>
      <vt:variant>
        <vt:lpwstr/>
      </vt:variant>
      <vt:variant>
        <vt:lpwstr>_Toc44116062</vt:lpwstr>
      </vt:variant>
      <vt:variant>
        <vt:i4>1245237</vt:i4>
      </vt:variant>
      <vt:variant>
        <vt:i4>986</vt:i4>
      </vt:variant>
      <vt:variant>
        <vt:i4>0</vt:i4>
      </vt:variant>
      <vt:variant>
        <vt:i4>5</vt:i4>
      </vt:variant>
      <vt:variant>
        <vt:lpwstr/>
      </vt:variant>
      <vt:variant>
        <vt:lpwstr>_Toc44116061</vt:lpwstr>
      </vt:variant>
      <vt:variant>
        <vt:i4>1179701</vt:i4>
      </vt:variant>
      <vt:variant>
        <vt:i4>980</vt:i4>
      </vt:variant>
      <vt:variant>
        <vt:i4>0</vt:i4>
      </vt:variant>
      <vt:variant>
        <vt:i4>5</vt:i4>
      </vt:variant>
      <vt:variant>
        <vt:lpwstr/>
      </vt:variant>
      <vt:variant>
        <vt:lpwstr>_Toc44116060</vt:lpwstr>
      </vt:variant>
      <vt:variant>
        <vt:i4>1769526</vt:i4>
      </vt:variant>
      <vt:variant>
        <vt:i4>974</vt:i4>
      </vt:variant>
      <vt:variant>
        <vt:i4>0</vt:i4>
      </vt:variant>
      <vt:variant>
        <vt:i4>5</vt:i4>
      </vt:variant>
      <vt:variant>
        <vt:lpwstr/>
      </vt:variant>
      <vt:variant>
        <vt:lpwstr>_Toc44116059</vt:lpwstr>
      </vt:variant>
      <vt:variant>
        <vt:i4>1703990</vt:i4>
      </vt:variant>
      <vt:variant>
        <vt:i4>968</vt:i4>
      </vt:variant>
      <vt:variant>
        <vt:i4>0</vt:i4>
      </vt:variant>
      <vt:variant>
        <vt:i4>5</vt:i4>
      </vt:variant>
      <vt:variant>
        <vt:lpwstr/>
      </vt:variant>
      <vt:variant>
        <vt:lpwstr>_Toc44116058</vt:lpwstr>
      </vt:variant>
      <vt:variant>
        <vt:i4>1376310</vt:i4>
      </vt:variant>
      <vt:variant>
        <vt:i4>962</vt:i4>
      </vt:variant>
      <vt:variant>
        <vt:i4>0</vt:i4>
      </vt:variant>
      <vt:variant>
        <vt:i4>5</vt:i4>
      </vt:variant>
      <vt:variant>
        <vt:lpwstr/>
      </vt:variant>
      <vt:variant>
        <vt:lpwstr>_Toc44116057</vt:lpwstr>
      </vt:variant>
      <vt:variant>
        <vt:i4>1310774</vt:i4>
      </vt:variant>
      <vt:variant>
        <vt:i4>956</vt:i4>
      </vt:variant>
      <vt:variant>
        <vt:i4>0</vt:i4>
      </vt:variant>
      <vt:variant>
        <vt:i4>5</vt:i4>
      </vt:variant>
      <vt:variant>
        <vt:lpwstr/>
      </vt:variant>
      <vt:variant>
        <vt:lpwstr>_Toc44116056</vt:lpwstr>
      </vt:variant>
      <vt:variant>
        <vt:i4>1507382</vt:i4>
      </vt:variant>
      <vt:variant>
        <vt:i4>950</vt:i4>
      </vt:variant>
      <vt:variant>
        <vt:i4>0</vt:i4>
      </vt:variant>
      <vt:variant>
        <vt:i4>5</vt:i4>
      </vt:variant>
      <vt:variant>
        <vt:lpwstr/>
      </vt:variant>
      <vt:variant>
        <vt:lpwstr>_Toc44116055</vt:lpwstr>
      </vt:variant>
      <vt:variant>
        <vt:i4>1441846</vt:i4>
      </vt:variant>
      <vt:variant>
        <vt:i4>944</vt:i4>
      </vt:variant>
      <vt:variant>
        <vt:i4>0</vt:i4>
      </vt:variant>
      <vt:variant>
        <vt:i4>5</vt:i4>
      </vt:variant>
      <vt:variant>
        <vt:lpwstr/>
      </vt:variant>
      <vt:variant>
        <vt:lpwstr>_Toc44116054</vt:lpwstr>
      </vt:variant>
      <vt:variant>
        <vt:i4>1114166</vt:i4>
      </vt:variant>
      <vt:variant>
        <vt:i4>938</vt:i4>
      </vt:variant>
      <vt:variant>
        <vt:i4>0</vt:i4>
      </vt:variant>
      <vt:variant>
        <vt:i4>5</vt:i4>
      </vt:variant>
      <vt:variant>
        <vt:lpwstr/>
      </vt:variant>
      <vt:variant>
        <vt:lpwstr>_Toc44116053</vt:lpwstr>
      </vt:variant>
      <vt:variant>
        <vt:i4>1048630</vt:i4>
      </vt:variant>
      <vt:variant>
        <vt:i4>932</vt:i4>
      </vt:variant>
      <vt:variant>
        <vt:i4>0</vt:i4>
      </vt:variant>
      <vt:variant>
        <vt:i4>5</vt:i4>
      </vt:variant>
      <vt:variant>
        <vt:lpwstr/>
      </vt:variant>
      <vt:variant>
        <vt:lpwstr>_Toc44116052</vt:lpwstr>
      </vt:variant>
      <vt:variant>
        <vt:i4>1245238</vt:i4>
      </vt:variant>
      <vt:variant>
        <vt:i4>926</vt:i4>
      </vt:variant>
      <vt:variant>
        <vt:i4>0</vt:i4>
      </vt:variant>
      <vt:variant>
        <vt:i4>5</vt:i4>
      </vt:variant>
      <vt:variant>
        <vt:lpwstr/>
      </vt:variant>
      <vt:variant>
        <vt:lpwstr>_Toc44116051</vt:lpwstr>
      </vt:variant>
      <vt:variant>
        <vt:i4>1179702</vt:i4>
      </vt:variant>
      <vt:variant>
        <vt:i4>920</vt:i4>
      </vt:variant>
      <vt:variant>
        <vt:i4>0</vt:i4>
      </vt:variant>
      <vt:variant>
        <vt:i4>5</vt:i4>
      </vt:variant>
      <vt:variant>
        <vt:lpwstr/>
      </vt:variant>
      <vt:variant>
        <vt:lpwstr>_Toc44116050</vt:lpwstr>
      </vt:variant>
      <vt:variant>
        <vt:i4>1769527</vt:i4>
      </vt:variant>
      <vt:variant>
        <vt:i4>914</vt:i4>
      </vt:variant>
      <vt:variant>
        <vt:i4>0</vt:i4>
      </vt:variant>
      <vt:variant>
        <vt:i4>5</vt:i4>
      </vt:variant>
      <vt:variant>
        <vt:lpwstr/>
      </vt:variant>
      <vt:variant>
        <vt:lpwstr>_Toc44116049</vt:lpwstr>
      </vt:variant>
      <vt:variant>
        <vt:i4>1703991</vt:i4>
      </vt:variant>
      <vt:variant>
        <vt:i4>908</vt:i4>
      </vt:variant>
      <vt:variant>
        <vt:i4>0</vt:i4>
      </vt:variant>
      <vt:variant>
        <vt:i4>5</vt:i4>
      </vt:variant>
      <vt:variant>
        <vt:lpwstr/>
      </vt:variant>
      <vt:variant>
        <vt:lpwstr>_Toc44116048</vt:lpwstr>
      </vt:variant>
      <vt:variant>
        <vt:i4>1376311</vt:i4>
      </vt:variant>
      <vt:variant>
        <vt:i4>902</vt:i4>
      </vt:variant>
      <vt:variant>
        <vt:i4>0</vt:i4>
      </vt:variant>
      <vt:variant>
        <vt:i4>5</vt:i4>
      </vt:variant>
      <vt:variant>
        <vt:lpwstr/>
      </vt:variant>
      <vt:variant>
        <vt:lpwstr>_Toc44116047</vt:lpwstr>
      </vt:variant>
      <vt:variant>
        <vt:i4>1310775</vt:i4>
      </vt:variant>
      <vt:variant>
        <vt:i4>896</vt:i4>
      </vt:variant>
      <vt:variant>
        <vt:i4>0</vt:i4>
      </vt:variant>
      <vt:variant>
        <vt:i4>5</vt:i4>
      </vt:variant>
      <vt:variant>
        <vt:lpwstr/>
      </vt:variant>
      <vt:variant>
        <vt:lpwstr>_Toc44116046</vt:lpwstr>
      </vt:variant>
      <vt:variant>
        <vt:i4>1507383</vt:i4>
      </vt:variant>
      <vt:variant>
        <vt:i4>890</vt:i4>
      </vt:variant>
      <vt:variant>
        <vt:i4>0</vt:i4>
      </vt:variant>
      <vt:variant>
        <vt:i4>5</vt:i4>
      </vt:variant>
      <vt:variant>
        <vt:lpwstr/>
      </vt:variant>
      <vt:variant>
        <vt:lpwstr>_Toc44116045</vt:lpwstr>
      </vt:variant>
      <vt:variant>
        <vt:i4>1441847</vt:i4>
      </vt:variant>
      <vt:variant>
        <vt:i4>884</vt:i4>
      </vt:variant>
      <vt:variant>
        <vt:i4>0</vt:i4>
      </vt:variant>
      <vt:variant>
        <vt:i4>5</vt:i4>
      </vt:variant>
      <vt:variant>
        <vt:lpwstr/>
      </vt:variant>
      <vt:variant>
        <vt:lpwstr>_Toc44116044</vt:lpwstr>
      </vt:variant>
      <vt:variant>
        <vt:i4>1114167</vt:i4>
      </vt:variant>
      <vt:variant>
        <vt:i4>878</vt:i4>
      </vt:variant>
      <vt:variant>
        <vt:i4>0</vt:i4>
      </vt:variant>
      <vt:variant>
        <vt:i4>5</vt:i4>
      </vt:variant>
      <vt:variant>
        <vt:lpwstr/>
      </vt:variant>
      <vt:variant>
        <vt:lpwstr>_Toc44116043</vt:lpwstr>
      </vt:variant>
      <vt:variant>
        <vt:i4>1048631</vt:i4>
      </vt:variant>
      <vt:variant>
        <vt:i4>872</vt:i4>
      </vt:variant>
      <vt:variant>
        <vt:i4>0</vt:i4>
      </vt:variant>
      <vt:variant>
        <vt:i4>5</vt:i4>
      </vt:variant>
      <vt:variant>
        <vt:lpwstr/>
      </vt:variant>
      <vt:variant>
        <vt:lpwstr>_Toc44116042</vt:lpwstr>
      </vt:variant>
      <vt:variant>
        <vt:i4>1245239</vt:i4>
      </vt:variant>
      <vt:variant>
        <vt:i4>866</vt:i4>
      </vt:variant>
      <vt:variant>
        <vt:i4>0</vt:i4>
      </vt:variant>
      <vt:variant>
        <vt:i4>5</vt:i4>
      </vt:variant>
      <vt:variant>
        <vt:lpwstr/>
      </vt:variant>
      <vt:variant>
        <vt:lpwstr>_Toc44116041</vt:lpwstr>
      </vt:variant>
      <vt:variant>
        <vt:i4>1179703</vt:i4>
      </vt:variant>
      <vt:variant>
        <vt:i4>860</vt:i4>
      </vt:variant>
      <vt:variant>
        <vt:i4>0</vt:i4>
      </vt:variant>
      <vt:variant>
        <vt:i4>5</vt:i4>
      </vt:variant>
      <vt:variant>
        <vt:lpwstr/>
      </vt:variant>
      <vt:variant>
        <vt:lpwstr>_Toc44116040</vt:lpwstr>
      </vt:variant>
      <vt:variant>
        <vt:i4>1769520</vt:i4>
      </vt:variant>
      <vt:variant>
        <vt:i4>854</vt:i4>
      </vt:variant>
      <vt:variant>
        <vt:i4>0</vt:i4>
      </vt:variant>
      <vt:variant>
        <vt:i4>5</vt:i4>
      </vt:variant>
      <vt:variant>
        <vt:lpwstr/>
      </vt:variant>
      <vt:variant>
        <vt:lpwstr>_Toc44116039</vt:lpwstr>
      </vt:variant>
      <vt:variant>
        <vt:i4>1703984</vt:i4>
      </vt:variant>
      <vt:variant>
        <vt:i4>848</vt:i4>
      </vt:variant>
      <vt:variant>
        <vt:i4>0</vt:i4>
      </vt:variant>
      <vt:variant>
        <vt:i4>5</vt:i4>
      </vt:variant>
      <vt:variant>
        <vt:lpwstr/>
      </vt:variant>
      <vt:variant>
        <vt:lpwstr>_Toc44116038</vt:lpwstr>
      </vt:variant>
      <vt:variant>
        <vt:i4>1376304</vt:i4>
      </vt:variant>
      <vt:variant>
        <vt:i4>842</vt:i4>
      </vt:variant>
      <vt:variant>
        <vt:i4>0</vt:i4>
      </vt:variant>
      <vt:variant>
        <vt:i4>5</vt:i4>
      </vt:variant>
      <vt:variant>
        <vt:lpwstr/>
      </vt:variant>
      <vt:variant>
        <vt:lpwstr>_Toc44116037</vt:lpwstr>
      </vt:variant>
      <vt:variant>
        <vt:i4>1310768</vt:i4>
      </vt:variant>
      <vt:variant>
        <vt:i4>836</vt:i4>
      </vt:variant>
      <vt:variant>
        <vt:i4>0</vt:i4>
      </vt:variant>
      <vt:variant>
        <vt:i4>5</vt:i4>
      </vt:variant>
      <vt:variant>
        <vt:lpwstr/>
      </vt:variant>
      <vt:variant>
        <vt:lpwstr>_Toc44116036</vt:lpwstr>
      </vt:variant>
      <vt:variant>
        <vt:i4>1507376</vt:i4>
      </vt:variant>
      <vt:variant>
        <vt:i4>830</vt:i4>
      </vt:variant>
      <vt:variant>
        <vt:i4>0</vt:i4>
      </vt:variant>
      <vt:variant>
        <vt:i4>5</vt:i4>
      </vt:variant>
      <vt:variant>
        <vt:lpwstr/>
      </vt:variant>
      <vt:variant>
        <vt:lpwstr>_Toc44116035</vt:lpwstr>
      </vt:variant>
      <vt:variant>
        <vt:i4>1441840</vt:i4>
      </vt:variant>
      <vt:variant>
        <vt:i4>824</vt:i4>
      </vt:variant>
      <vt:variant>
        <vt:i4>0</vt:i4>
      </vt:variant>
      <vt:variant>
        <vt:i4>5</vt:i4>
      </vt:variant>
      <vt:variant>
        <vt:lpwstr/>
      </vt:variant>
      <vt:variant>
        <vt:lpwstr>_Toc44116034</vt:lpwstr>
      </vt:variant>
      <vt:variant>
        <vt:i4>1114160</vt:i4>
      </vt:variant>
      <vt:variant>
        <vt:i4>818</vt:i4>
      </vt:variant>
      <vt:variant>
        <vt:i4>0</vt:i4>
      </vt:variant>
      <vt:variant>
        <vt:i4>5</vt:i4>
      </vt:variant>
      <vt:variant>
        <vt:lpwstr/>
      </vt:variant>
      <vt:variant>
        <vt:lpwstr>_Toc44116033</vt:lpwstr>
      </vt:variant>
      <vt:variant>
        <vt:i4>1048624</vt:i4>
      </vt:variant>
      <vt:variant>
        <vt:i4>812</vt:i4>
      </vt:variant>
      <vt:variant>
        <vt:i4>0</vt:i4>
      </vt:variant>
      <vt:variant>
        <vt:i4>5</vt:i4>
      </vt:variant>
      <vt:variant>
        <vt:lpwstr/>
      </vt:variant>
      <vt:variant>
        <vt:lpwstr>_Toc44116032</vt:lpwstr>
      </vt:variant>
      <vt:variant>
        <vt:i4>1245232</vt:i4>
      </vt:variant>
      <vt:variant>
        <vt:i4>806</vt:i4>
      </vt:variant>
      <vt:variant>
        <vt:i4>0</vt:i4>
      </vt:variant>
      <vt:variant>
        <vt:i4>5</vt:i4>
      </vt:variant>
      <vt:variant>
        <vt:lpwstr/>
      </vt:variant>
      <vt:variant>
        <vt:lpwstr>_Toc44116031</vt:lpwstr>
      </vt:variant>
      <vt:variant>
        <vt:i4>1179696</vt:i4>
      </vt:variant>
      <vt:variant>
        <vt:i4>800</vt:i4>
      </vt:variant>
      <vt:variant>
        <vt:i4>0</vt:i4>
      </vt:variant>
      <vt:variant>
        <vt:i4>5</vt:i4>
      </vt:variant>
      <vt:variant>
        <vt:lpwstr/>
      </vt:variant>
      <vt:variant>
        <vt:lpwstr>_Toc44116030</vt:lpwstr>
      </vt:variant>
      <vt:variant>
        <vt:i4>1769521</vt:i4>
      </vt:variant>
      <vt:variant>
        <vt:i4>794</vt:i4>
      </vt:variant>
      <vt:variant>
        <vt:i4>0</vt:i4>
      </vt:variant>
      <vt:variant>
        <vt:i4>5</vt:i4>
      </vt:variant>
      <vt:variant>
        <vt:lpwstr/>
      </vt:variant>
      <vt:variant>
        <vt:lpwstr>_Toc44116029</vt:lpwstr>
      </vt:variant>
      <vt:variant>
        <vt:i4>1703985</vt:i4>
      </vt:variant>
      <vt:variant>
        <vt:i4>788</vt:i4>
      </vt:variant>
      <vt:variant>
        <vt:i4>0</vt:i4>
      </vt:variant>
      <vt:variant>
        <vt:i4>5</vt:i4>
      </vt:variant>
      <vt:variant>
        <vt:lpwstr/>
      </vt:variant>
      <vt:variant>
        <vt:lpwstr>_Toc44116028</vt:lpwstr>
      </vt:variant>
      <vt:variant>
        <vt:i4>1376305</vt:i4>
      </vt:variant>
      <vt:variant>
        <vt:i4>782</vt:i4>
      </vt:variant>
      <vt:variant>
        <vt:i4>0</vt:i4>
      </vt:variant>
      <vt:variant>
        <vt:i4>5</vt:i4>
      </vt:variant>
      <vt:variant>
        <vt:lpwstr/>
      </vt:variant>
      <vt:variant>
        <vt:lpwstr>_Toc44116027</vt:lpwstr>
      </vt:variant>
      <vt:variant>
        <vt:i4>1310769</vt:i4>
      </vt:variant>
      <vt:variant>
        <vt:i4>776</vt:i4>
      </vt:variant>
      <vt:variant>
        <vt:i4>0</vt:i4>
      </vt:variant>
      <vt:variant>
        <vt:i4>5</vt:i4>
      </vt:variant>
      <vt:variant>
        <vt:lpwstr/>
      </vt:variant>
      <vt:variant>
        <vt:lpwstr>_Toc44116026</vt:lpwstr>
      </vt:variant>
      <vt:variant>
        <vt:i4>1507377</vt:i4>
      </vt:variant>
      <vt:variant>
        <vt:i4>770</vt:i4>
      </vt:variant>
      <vt:variant>
        <vt:i4>0</vt:i4>
      </vt:variant>
      <vt:variant>
        <vt:i4>5</vt:i4>
      </vt:variant>
      <vt:variant>
        <vt:lpwstr/>
      </vt:variant>
      <vt:variant>
        <vt:lpwstr>_Toc44116025</vt:lpwstr>
      </vt:variant>
      <vt:variant>
        <vt:i4>1441841</vt:i4>
      </vt:variant>
      <vt:variant>
        <vt:i4>764</vt:i4>
      </vt:variant>
      <vt:variant>
        <vt:i4>0</vt:i4>
      </vt:variant>
      <vt:variant>
        <vt:i4>5</vt:i4>
      </vt:variant>
      <vt:variant>
        <vt:lpwstr/>
      </vt:variant>
      <vt:variant>
        <vt:lpwstr>_Toc44116024</vt:lpwstr>
      </vt:variant>
      <vt:variant>
        <vt:i4>1114161</vt:i4>
      </vt:variant>
      <vt:variant>
        <vt:i4>758</vt:i4>
      </vt:variant>
      <vt:variant>
        <vt:i4>0</vt:i4>
      </vt:variant>
      <vt:variant>
        <vt:i4>5</vt:i4>
      </vt:variant>
      <vt:variant>
        <vt:lpwstr/>
      </vt:variant>
      <vt:variant>
        <vt:lpwstr>_Toc44116023</vt:lpwstr>
      </vt:variant>
      <vt:variant>
        <vt:i4>1048625</vt:i4>
      </vt:variant>
      <vt:variant>
        <vt:i4>752</vt:i4>
      </vt:variant>
      <vt:variant>
        <vt:i4>0</vt:i4>
      </vt:variant>
      <vt:variant>
        <vt:i4>5</vt:i4>
      </vt:variant>
      <vt:variant>
        <vt:lpwstr/>
      </vt:variant>
      <vt:variant>
        <vt:lpwstr>_Toc44116022</vt:lpwstr>
      </vt:variant>
      <vt:variant>
        <vt:i4>1245233</vt:i4>
      </vt:variant>
      <vt:variant>
        <vt:i4>746</vt:i4>
      </vt:variant>
      <vt:variant>
        <vt:i4>0</vt:i4>
      </vt:variant>
      <vt:variant>
        <vt:i4>5</vt:i4>
      </vt:variant>
      <vt:variant>
        <vt:lpwstr/>
      </vt:variant>
      <vt:variant>
        <vt:lpwstr>_Toc44116021</vt:lpwstr>
      </vt:variant>
      <vt:variant>
        <vt:i4>1179697</vt:i4>
      </vt:variant>
      <vt:variant>
        <vt:i4>740</vt:i4>
      </vt:variant>
      <vt:variant>
        <vt:i4>0</vt:i4>
      </vt:variant>
      <vt:variant>
        <vt:i4>5</vt:i4>
      </vt:variant>
      <vt:variant>
        <vt:lpwstr/>
      </vt:variant>
      <vt:variant>
        <vt:lpwstr>_Toc44116020</vt:lpwstr>
      </vt:variant>
      <vt:variant>
        <vt:i4>1769522</vt:i4>
      </vt:variant>
      <vt:variant>
        <vt:i4>734</vt:i4>
      </vt:variant>
      <vt:variant>
        <vt:i4>0</vt:i4>
      </vt:variant>
      <vt:variant>
        <vt:i4>5</vt:i4>
      </vt:variant>
      <vt:variant>
        <vt:lpwstr/>
      </vt:variant>
      <vt:variant>
        <vt:lpwstr>_Toc44116019</vt:lpwstr>
      </vt:variant>
      <vt:variant>
        <vt:i4>1703986</vt:i4>
      </vt:variant>
      <vt:variant>
        <vt:i4>728</vt:i4>
      </vt:variant>
      <vt:variant>
        <vt:i4>0</vt:i4>
      </vt:variant>
      <vt:variant>
        <vt:i4>5</vt:i4>
      </vt:variant>
      <vt:variant>
        <vt:lpwstr/>
      </vt:variant>
      <vt:variant>
        <vt:lpwstr>_Toc44116018</vt:lpwstr>
      </vt:variant>
      <vt:variant>
        <vt:i4>1376306</vt:i4>
      </vt:variant>
      <vt:variant>
        <vt:i4>722</vt:i4>
      </vt:variant>
      <vt:variant>
        <vt:i4>0</vt:i4>
      </vt:variant>
      <vt:variant>
        <vt:i4>5</vt:i4>
      </vt:variant>
      <vt:variant>
        <vt:lpwstr/>
      </vt:variant>
      <vt:variant>
        <vt:lpwstr>_Toc44116017</vt:lpwstr>
      </vt:variant>
      <vt:variant>
        <vt:i4>1310770</vt:i4>
      </vt:variant>
      <vt:variant>
        <vt:i4>716</vt:i4>
      </vt:variant>
      <vt:variant>
        <vt:i4>0</vt:i4>
      </vt:variant>
      <vt:variant>
        <vt:i4>5</vt:i4>
      </vt:variant>
      <vt:variant>
        <vt:lpwstr/>
      </vt:variant>
      <vt:variant>
        <vt:lpwstr>_Toc44116016</vt:lpwstr>
      </vt:variant>
      <vt:variant>
        <vt:i4>1507378</vt:i4>
      </vt:variant>
      <vt:variant>
        <vt:i4>710</vt:i4>
      </vt:variant>
      <vt:variant>
        <vt:i4>0</vt:i4>
      </vt:variant>
      <vt:variant>
        <vt:i4>5</vt:i4>
      </vt:variant>
      <vt:variant>
        <vt:lpwstr/>
      </vt:variant>
      <vt:variant>
        <vt:lpwstr>_Toc44116015</vt:lpwstr>
      </vt:variant>
      <vt:variant>
        <vt:i4>1441842</vt:i4>
      </vt:variant>
      <vt:variant>
        <vt:i4>704</vt:i4>
      </vt:variant>
      <vt:variant>
        <vt:i4>0</vt:i4>
      </vt:variant>
      <vt:variant>
        <vt:i4>5</vt:i4>
      </vt:variant>
      <vt:variant>
        <vt:lpwstr/>
      </vt:variant>
      <vt:variant>
        <vt:lpwstr>_Toc44116014</vt:lpwstr>
      </vt:variant>
      <vt:variant>
        <vt:i4>1114162</vt:i4>
      </vt:variant>
      <vt:variant>
        <vt:i4>698</vt:i4>
      </vt:variant>
      <vt:variant>
        <vt:i4>0</vt:i4>
      </vt:variant>
      <vt:variant>
        <vt:i4>5</vt:i4>
      </vt:variant>
      <vt:variant>
        <vt:lpwstr/>
      </vt:variant>
      <vt:variant>
        <vt:lpwstr>_Toc44116013</vt:lpwstr>
      </vt:variant>
      <vt:variant>
        <vt:i4>1048626</vt:i4>
      </vt:variant>
      <vt:variant>
        <vt:i4>692</vt:i4>
      </vt:variant>
      <vt:variant>
        <vt:i4>0</vt:i4>
      </vt:variant>
      <vt:variant>
        <vt:i4>5</vt:i4>
      </vt:variant>
      <vt:variant>
        <vt:lpwstr/>
      </vt:variant>
      <vt:variant>
        <vt:lpwstr>_Toc44116012</vt:lpwstr>
      </vt:variant>
      <vt:variant>
        <vt:i4>1245234</vt:i4>
      </vt:variant>
      <vt:variant>
        <vt:i4>686</vt:i4>
      </vt:variant>
      <vt:variant>
        <vt:i4>0</vt:i4>
      </vt:variant>
      <vt:variant>
        <vt:i4>5</vt:i4>
      </vt:variant>
      <vt:variant>
        <vt:lpwstr/>
      </vt:variant>
      <vt:variant>
        <vt:lpwstr>_Toc44116011</vt:lpwstr>
      </vt:variant>
      <vt:variant>
        <vt:i4>1179698</vt:i4>
      </vt:variant>
      <vt:variant>
        <vt:i4>680</vt:i4>
      </vt:variant>
      <vt:variant>
        <vt:i4>0</vt:i4>
      </vt:variant>
      <vt:variant>
        <vt:i4>5</vt:i4>
      </vt:variant>
      <vt:variant>
        <vt:lpwstr/>
      </vt:variant>
      <vt:variant>
        <vt:lpwstr>_Toc44116010</vt:lpwstr>
      </vt:variant>
      <vt:variant>
        <vt:i4>1769523</vt:i4>
      </vt:variant>
      <vt:variant>
        <vt:i4>674</vt:i4>
      </vt:variant>
      <vt:variant>
        <vt:i4>0</vt:i4>
      </vt:variant>
      <vt:variant>
        <vt:i4>5</vt:i4>
      </vt:variant>
      <vt:variant>
        <vt:lpwstr/>
      </vt:variant>
      <vt:variant>
        <vt:lpwstr>_Toc44116009</vt:lpwstr>
      </vt:variant>
      <vt:variant>
        <vt:i4>1703987</vt:i4>
      </vt:variant>
      <vt:variant>
        <vt:i4>668</vt:i4>
      </vt:variant>
      <vt:variant>
        <vt:i4>0</vt:i4>
      </vt:variant>
      <vt:variant>
        <vt:i4>5</vt:i4>
      </vt:variant>
      <vt:variant>
        <vt:lpwstr/>
      </vt:variant>
      <vt:variant>
        <vt:lpwstr>_Toc44116008</vt:lpwstr>
      </vt:variant>
      <vt:variant>
        <vt:i4>1376307</vt:i4>
      </vt:variant>
      <vt:variant>
        <vt:i4>662</vt:i4>
      </vt:variant>
      <vt:variant>
        <vt:i4>0</vt:i4>
      </vt:variant>
      <vt:variant>
        <vt:i4>5</vt:i4>
      </vt:variant>
      <vt:variant>
        <vt:lpwstr/>
      </vt:variant>
      <vt:variant>
        <vt:lpwstr>_Toc44116007</vt:lpwstr>
      </vt:variant>
      <vt:variant>
        <vt:i4>1310771</vt:i4>
      </vt:variant>
      <vt:variant>
        <vt:i4>656</vt:i4>
      </vt:variant>
      <vt:variant>
        <vt:i4>0</vt:i4>
      </vt:variant>
      <vt:variant>
        <vt:i4>5</vt:i4>
      </vt:variant>
      <vt:variant>
        <vt:lpwstr/>
      </vt:variant>
      <vt:variant>
        <vt:lpwstr>_Toc44116006</vt:lpwstr>
      </vt:variant>
      <vt:variant>
        <vt:i4>1507379</vt:i4>
      </vt:variant>
      <vt:variant>
        <vt:i4>650</vt:i4>
      </vt:variant>
      <vt:variant>
        <vt:i4>0</vt:i4>
      </vt:variant>
      <vt:variant>
        <vt:i4>5</vt:i4>
      </vt:variant>
      <vt:variant>
        <vt:lpwstr/>
      </vt:variant>
      <vt:variant>
        <vt:lpwstr>_Toc44116005</vt:lpwstr>
      </vt:variant>
      <vt:variant>
        <vt:i4>1441843</vt:i4>
      </vt:variant>
      <vt:variant>
        <vt:i4>644</vt:i4>
      </vt:variant>
      <vt:variant>
        <vt:i4>0</vt:i4>
      </vt:variant>
      <vt:variant>
        <vt:i4>5</vt:i4>
      </vt:variant>
      <vt:variant>
        <vt:lpwstr/>
      </vt:variant>
      <vt:variant>
        <vt:lpwstr>_Toc44116004</vt:lpwstr>
      </vt:variant>
      <vt:variant>
        <vt:i4>1114163</vt:i4>
      </vt:variant>
      <vt:variant>
        <vt:i4>638</vt:i4>
      </vt:variant>
      <vt:variant>
        <vt:i4>0</vt:i4>
      </vt:variant>
      <vt:variant>
        <vt:i4>5</vt:i4>
      </vt:variant>
      <vt:variant>
        <vt:lpwstr/>
      </vt:variant>
      <vt:variant>
        <vt:lpwstr>_Toc44116003</vt:lpwstr>
      </vt:variant>
      <vt:variant>
        <vt:i4>1048627</vt:i4>
      </vt:variant>
      <vt:variant>
        <vt:i4>632</vt:i4>
      </vt:variant>
      <vt:variant>
        <vt:i4>0</vt:i4>
      </vt:variant>
      <vt:variant>
        <vt:i4>5</vt:i4>
      </vt:variant>
      <vt:variant>
        <vt:lpwstr/>
      </vt:variant>
      <vt:variant>
        <vt:lpwstr>_Toc44116002</vt:lpwstr>
      </vt:variant>
      <vt:variant>
        <vt:i4>1245235</vt:i4>
      </vt:variant>
      <vt:variant>
        <vt:i4>626</vt:i4>
      </vt:variant>
      <vt:variant>
        <vt:i4>0</vt:i4>
      </vt:variant>
      <vt:variant>
        <vt:i4>5</vt:i4>
      </vt:variant>
      <vt:variant>
        <vt:lpwstr/>
      </vt:variant>
      <vt:variant>
        <vt:lpwstr>_Toc44116001</vt:lpwstr>
      </vt:variant>
      <vt:variant>
        <vt:i4>1179699</vt:i4>
      </vt:variant>
      <vt:variant>
        <vt:i4>620</vt:i4>
      </vt:variant>
      <vt:variant>
        <vt:i4>0</vt:i4>
      </vt:variant>
      <vt:variant>
        <vt:i4>5</vt:i4>
      </vt:variant>
      <vt:variant>
        <vt:lpwstr/>
      </vt:variant>
      <vt:variant>
        <vt:lpwstr>_Toc44116000</vt:lpwstr>
      </vt:variant>
      <vt:variant>
        <vt:i4>1179705</vt:i4>
      </vt:variant>
      <vt:variant>
        <vt:i4>614</vt:i4>
      </vt:variant>
      <vt:variant>
        <vt:i4>0</vt:i4>
      </vt:variant>
      <vt:variant>
        <vt:i4>5</vt:i4>
      </vt:variant>
      <vt:variant>
        <vt:lpwstr/>
      </vt:variant>
      <vt:variant>
        <vt:lpwstr>_Toc44115999</vt:lpwstr>
      </vt:variant>
      <vt:variant>
        <vt:i4>1245241</vt:i4>
      </vt:variant>
      <vt:variant>
        <vt:i4>608</vt:i4>
      </vt:variant>
      <vt:variant>
        <vt:i4>0</vt:i4>
      </vt:variant>
      <vt:variant>
        <vt:i4>5</vt:i4>
      </vt:variant>
      <vt:variant>
        <vt:lpwstr/>
      </vt:variant>
      <vt:variant>
        <vt:lpwstr>_Toc44115998</vt:lpwstr>
      </vt:variant>
      <vt:variant>
        <vt:i4>1835065</vt:i4>
      </vt:variant>
      <vt:variant>
        <vt:i4>602</vt:i4>
      </vt:variant>
      <vt:variant>
        <vt:i4>0</vt:i4>
      </vt:variant>
      <vt:variant>
        <vt:i4>5</vt:i4>
      </vt:variant>
      <vt:variant>
        <vt:lpwstr/>
      </vt:variant>
      <vt:variant>
        <vt:lpwstr>_Toc44115997</vt:lpwstr>
      </vt:variant>
      <vt:variant>
        <vt:i4>1900601</vt:i4>
      </vt:variant>
      <vt:variant>
        <vt:i4>596</vt:i4>
      </vt:variant>
      <vt:variant>
        <vt:i4>0</vt:i4>
      </vt:variant>
      <vt:variant>
        <vt:i4>5</vt:i4>
      </vt:variant>
      <vt:variant>
        <vt:lpwstr/>
      </vt:variant>
      <vt:variant>
        <vt:lpwstr>_Toc44115996</vt:lpwstr>
      </vt:variant>
      <vt:variant>
        <vt:i4>1966137</vt:i4>
      </vt:variant>
      <vt:variant>
        <vt:i4>590</vt:i4>
      </vt:variant>
      <vt:variant>
        <vt:i4>0</vt:i4>
      </vt:variant>
      <vt:variant>
        <vt:i4>5</vt:i4>
      </vt:variant>
      <vt:variant>
        <vt:lpwstr/>
      </vt:variant>
      <vt:variant>
        <vt:lpwstr>_Toc44115995</vt:lpwstr>
      </vt:variant>
      <vt:variant>
        <vt:i4>2031673</vt:i4>
      </vt:variant>
      <vt:variant>
        <vt:i4>584</vt:i4>
      </vt:variant>
      <vt:variant>
        <vt:i4>0</vt:i4>
      </vt:variant>
      <vt:variant>
        <vt:i4>5</vt:i4>
      </vt:variant>
      <vt:variant>
        <vt:lpwstr/>
      </vt:variant>
      <vt:variant>
        <vt:lpwstr>_Toc44115994</vt:lpwstr>
      </vt:variant>
      <vt:variant>
        <vt:i4>1572921</vt:i4>
      </vt:variant>
      <vt:variant>
        <vt:i4>578</vt:i4>
      </vt:variant>
      <vt:variant>
        <vt:i4>0</vt:i4>
      </vt:variant>
      <vt:variant>
        <vt:i4>5</vt:i4>
      </vt:variant>
      <vt:variant>
        <vt:lpwstr/>
      </vt:variant>
      <vt:variant>
        <vt:lpwstr>_Toc44115993</vt:lpwstr>
      </vt:variant>
      <vt:variant>
        <vt:i4>1638457</vt:i4>
      </vt:variant>
      <vt:variant>
        <vt:i4>572</vt:i4>
      </vt:variant>
      <vt:variant>
        <vt:i4>0</vt:i4>
      </vt:variant>
      <vt:variant>
        <vt:i4>5</vt:i4>
      </vt:variant>
      <vt:variant>
        <vt:lpwstr/>
      </vt:variant>
      <vt:variant>
        <vt:lpwstr>_Toc44115992</vt:lpwstr>
      </vt:variant>
      <vt:variant>
        <vt:i4>1703993</vt:i4>
      </vt:variant>
      <vt:variant>
        <vt:i4>566</vt:i4>
      </vt:variant>
      <vt:variant>
        <vt:i4>0</vt:i4>
      </vt:variant>
      <vt:variant>
        <vt:i4>5</vt:i4>
      </vt:variant>
      <vt:variant>
        <vt:lpwstr/>
      </vt:variant>
      <vt:variant>
        <vt:lpwstr>_Toc44115991</vt:lpwstr>
      </vt:variant>
      <vt:variant>
        <vt:i4>1769529</vt:i4>
      </vt:variant>
      <vt:variant>
        <vt:i4>560</vt:i4>
      </vt:variant>
      <vt:variant>
        <vt:i4>0</vt:i4>
      </vt:variant>
      <vt:variant>
        <vt:i4>5</vt:i4>
      </vt:variant>
      <vt:variant>
        <vt:lpwstr/>
      </vt:variant>
      <vt:variant>
        <vt:lpwstr>_Toc44115990</vt:lpwstr>
      </vt:variant>
      <vt:variant>
        <vt:i4>1179704</vt:i4>
      </vt:variant>
      <vt:variant>
        <vt:i4>554</vt:i4>
      </vt:variant>
      <vt:variant>
        <vt:i4>0</vt:i4>
      </vt:variant>
      <vt:variant>
        <vt:i4>5</vt:i4>
      </vt:variant>
      <vt:variant>
        <vt:lpwstr/>
      </vt:variant>
      <vt:variant>
        <vt:lpwstr>_Toc44115989</vt:lpwstr>
      </vt:variant>
      <vt:variant>
        <vt:i4>1245240</vt:i4>
      </vt:variant>
      <vt:variant>
        <vt:i4>548</vt:i4>
      </vt:variant>
      <vt:variant>
        <vt:i4>0</vt:i4>
      </vt:variant>
      <vt:variant>
        <vt:i4>5</vt:i4>
      </vt:variant>
      <vt:variant>
        <vt:lpwstr/>
      </vt:variant>
      <vt:variant>
        <vt:lpwstr>_Toc44115988</vt:lpwstr>
      </vt:variant>
      <vt:variant>
        <vt:i4>1835064</vt:i4>
      </vt:variant>
      <vt:variant>
        <vt:i4>542</vt:i4>
      </vt:variant>
      <vt:variant>
        <vt:i4>0</vt:i4>
      </vt:variant>
      <vt:variant>
        <vt:i4>5</vt:i4>
      </vt:variant>
      <vt:variant>
        <vt:lpwstr/>
      </vt:variant>
      <vt:variant>
        <vt:lpwstr>_Toc44115987</vt:lpwstr>
      </vt:variant>
      <vt:variant>
        <vt:i4>1900600</vt:i4>
      </vt:variant>
      <vt:variant>
        <vt:i4>536</vt:i4>
      </vt:variant>
      <vt:variant>
        <vt:i4>0</vt:i4>
      </vt:variant>
      <vt:variant>
        <vt:i4>5</vt:i4>
      </vt:variant>
      <vt:variant>
        <vt:lpwstr/>
      </vt:variant>
      <vt:variant>
        <vt:lpwstr>_Toc44115986</vt:lpwstr>
      </vt:variant>
      <vt:variant>
        <vt:i4>1966136</vt:i4>
      </vt:variant>
      <vt:variant>
        <vt:i4>530</vt:i4>
      </vt:variant>
      <vt:variant>
        <vt:i4>0</vt:i4>
      </vt:variant>
      <vt:variant>
        <vt:i4>5</vt:i4>
      </vt:variant>
      <vt:variant>
        <vt:lpwstr/>
      </vt:variant>
      <vt:variant>
        <vt:lpwstr>_Toc44115985</vt:lpwstr>
      </vt:variant>
      <vt:variant>
        <vt:i4>2031672</vt:i4>
      </vt:variant>
      <vt:variant>
        <vt:i4>524</vt:i4>
      </vt:variant>
      <vt:variant>
        <vt:i4>0</vt:i4>
      </vt:variant>
      <vt:variant>
        <vt:i4>5</vt:i4>
      </vt:variant>
      <vt:variant>
        <vt:lpwstr/>
      </vt:variant>
      <vt:variant>
        <vt:lpwstr>_Toc44115984</vt:lpwstr>
      </vt:variant>
      <vt:variant>
        <vt:i4>1572920</vt:i4>
      </vt:variant>
      <vt:variant>
        <vt:i4>518</vt:i4>
      </vt:variant>
      <vt:variant>
        <vt:i4>0</vt:i4>
      </vt:variant>
      <vt:variant>
        <vt:i4>5</vt:i4>
      </vt:variant>
      <vt:variant>
        <vt:lpwstr/>
      </vt:variant>
      <vt:variant>
        <vt:lpwstr>_Toc44115983</vt:lpwstr>
      </vt:variant>
      <vt:variant>
        <vt:i4>1638456</vt:i4>
      </vt:variant>
      <vt:variant>
        <vt:i4>512</vt:i4>
      </vt:variant>
      <vt:variant>
        <vt:i4>0</vt:i4>
      </vt:variant>
      <vt:variant>
        <vt:i4>5</vt:i4>
      </vt:variant>
      <vt:variant>
        <vt:lpwstr/>
      </vt:variant>
      <vt:variant>
        <vt:lpwstr>_Toc44115982</vt:lpwstr>
      </vt:variant>
      <vt:variant>
        <vt:i4>1703992</vt:i4>
      </vt:variant>
      <vt:variant>
        <vt:i4>506</vt:i4>
      </vt:variant>
      <vt:variant>
        <vt:i4>0</vt:i4>
      </vt:variant>
      <vt:variant>
        <vt:i4>5</vt:i4>
      </vt:variant>
      <vt:variant>
        <vt:lpwstr/>
      </vt:variant>
      <vt:variant>
        <vt:lpwstr>_Toc44115981</vt:lpwstr>
      </vt:variant>
      <vt:variant>
        <vt:i4>1769528</vt:i4>
      </vt:variant>
      <vt:variant>
        <vt:i4>500</vt:i4>
      </vt:variant>
      <vt:variant>
        <vt:i4>0</vt:i4>
      </vt:variant>
      <vt:variant>
        <vt:i4>5</vt:i4>
      </vt:variant>
      <vt:variant>
        <vt:lpwstr/>
      </vt:variant>
      <vt:variant>
        <vt:lpwstr>_Toc44115980</vt:lpwstr>
      </vt:variant>
      <vt:variant>
        <vt:i4>1179703</vt:i4>
      </vt:variant>
      <vt:variant>
        <vt:i4>494</vt:i4>
      </vt:variant>
      <vt:variant>
        <vt:i4>0</vt:i4>
      </vt:variant>
      <vt:variant>
        <vt:i4>5</vt:i4>
      </vt:variant>
      <vt:variant>
        <vt:lpwstr/>
      </vt:variant>
      <vt:variant>
        <vt:lpwstr>_Toc44115979</vt:lpwstr>
      </vt:variant>
      <vt:variant>
        <vt:i4>1245239</vt:i4>
      </vt:variant>
      <vt:variant>
        <vt:i4>488</vt:i4>
      </vt:variant>
      <vt:variant>
        <vt:i4>0</vt:i4>
      </vt:variant>
      <vt:variant>
        <vt:i4>5</vt:i4>
      </vt:variant>
      <vt:variant>
        <vt:lpwstr/>
      </vt:variant>
      <vt:variant>
        <vt:lpwstr>_Toc44115978</vt:lpwstr>
      </vt:variant>
      <vt:variant>
        <vt:i4>1835063</vt:i4>
      </vt:variant>
      <vt:variant>
        <vt:i4>482</vt:i4>
      </vt:variant>
      <vt:variant>
        <vt:i4>0</vt:i4>
      </vt:variant>
      <vt:variant>
        <vt:i4>5</vt:i4>
      </vt:variant>
      <vt:variant>
        <vt:lpwstr/>
      </vt:variant>
      <vt:variant>
        <vt:lpwstr>_Toc44115977</vt:lpwstr>
      </vt:variant>
      <vt:variant>
        <vt:i4>1900599</vt:i4>
      </vt:variant>
      <vt:variant>
        <vt:i4>476</vt:i4>
      </vt:variant>
      <vt:variant>
        <vt:i4>0</vt:i4>
      </vt:variant>
      <vt:variant>
        <vt:i4>5</vt:i4>
      </vt:variant>
      <vt:variant>
        <vt:lpwstr/>
      </vt:variant>
      <vt:variant>
        <vt:lpwstr>_Toc44115976</vt:lpwstr>
      </vt:variant>
      <vt:variant>
        <vt:i4>1966135</vt:i4>
      </vt:variant>
      <vt:variant>
        <vt:i4>470</vt:i4>
      </vt:variant>
      <vt:variant>
        <vt:i4>0</vt:i4>
      </vt:variant>
      <vt:variant>
        <vt:i4>5</vt:i4>
      </vt:variant>
      <vt:variant>
        <vt:lpwstr/>
      </vt:variant>
      <vt:variant>
        <vt:lpwstr>_Toc44115975</vt:lpwstr>
      </vt:variant>
      <vt:variant>
        <vt:i4>2031671</vt:i4>
      </vt:variant>
      <vt:variant>
        <vt:i4>464</vt:i4>
      </vt:variant>
      <vt:variant>
        <vt:i4>0</vt:i4>
      </vt:variant>
      <vt:variant>
        <vt:i4>5</vt:i4>
      </vt:variant>
      <vt:variant>
        <vt:lpwstr/>
      </vt:variant>
      <vt:variant>
        <vt:lpwstr>_Toc44115974</vt:lpwstr>
      </vt:variant>
      <vt:variant>
        <vt:i4>1572919</vt:i4>
      </vt:variant>
      <vt:variant>
        <vt:i4>458</vt:i4>
      </vt:variant>
      <vt:variant>
        <vt:i4>0</vt:i4>
      </vt:variant>
      <vt:variant>
        <vt:i4>5</vt:i4>
      </vt:variant>
      <vt:variant>
        <vt:lpwstr/>
      </vt:variant>
      <vt:variant>
        <vt:lpwstr>_Toc44115973</vt:lpwstr>
      </vt:variant>
      <vt:variant>
        <vt:i4>1638455</vt:i4>
      </vt:variant>
      <vt:variant>
        <vt:i4>452</vt:i4>
      </vt:variant>
      <vt:variant>
        <vt:i4>0</vt:i4>
      </vt:variant>
      <vt:variant>
        <vt:i4>5</vt:i4>
      </vt:variant>
      <vt:variant>
        <vt:lpwstr/>
      </vt:variant>
      <vt:variant>
        <vt:lpwstr>_Toc44115972</vt:lpwstr>
      </vt:variant>
      <vt:variant>
        <vt:i4>1703991</vt:i4>
      </vt:variant>
      <vt:variant>
        <vt:i4>446</vt:i4>
      </vt:variant>
      <vt:variant>
        <vt:i4>0</vt:i4>
      </vt:variant>
      <vt:variant>
        <vt:i4>5</vt:i4>
      </vt:variant>
      <vt:variant>
        <vt:lpwstr/>
      </vt:variant>
      <vt:variant>
        <vt:lpwstr>_Toc44115971</vt:lpwstr>
      </vt:variant>
      <vt:variant>
        <vt:i4>1769527</vt:i4>
      </vt:variant>
      <vt:variant>
        <vt:i4>440</vt:i4>
      </vt:variant>
      <vt:variant>
        <vt:i4>0</vt:i4>
      </vt:variant>
      <vt:variant>
        <vt:i4>5</vt:i4>
      </vt:variant>
      <vt:variant>
        <vt:lpwstr/>
      </vt:variant>
      <vt:variant>
        <vt:lpwstr>_Toc44115970</vt:lpwstr>
      </vt:variant>
      <vt:variant>
        <vt:i4>1179702</vt:i4>
      </vt:variant>
      <vt:variant>
        <vt:i4>434</vt:i4>
      </vt:variant>
      <vt:variant>
        <vt:i4>0</vt:i4>
      </vt:variant>
      <vt:variant>
        <vt:i4>5</vt:i4>
      </vt:variant>
      <vt:variant>
        <vt:lpwstr/>
      </vt:variant>
      <vt:variant>
        <vt:lpwstr>_Toc44115969</vt:lpwstr>
      </vt:variant>
      <vt:variant>
        <vt:i4>1245238</vt:i4>
      </vt:variant>
      <vt:variant>
        <vt:i4>428</vt:i4>
      </vt:variant>
      <vt:variant>
        <vt:i4>0</vt:i4>
      </vt:variant>
      <vt:variant>
        <vt:i4>5</vt:i4>
      </vt:variant>
      <vt:variant>
        <vt:lpwstr/>
      </vt:variant>
      <vt:variant>
        <vt:lpwstr>_Toc44115968</vt:lpwstr>
      </vt:variant>
      <vt:variant>
        <vt:i4>1835062</vt:i4>
      </vt:variant>
      <vt:variant>
        <vt:i4>422</vt:i4>
      </vt:variant>
      <vt:variant>
        <vt:i4>0</vt:i4>
      </vt:variant>
      <vt:variant>
        <vt:i4>5</vt:i4>
      </vt:variant>
      <vt:variant>
        <vt:lpwstr/>
      </vt:variant>
      <vt:variant>
        <vt:lpwstr>_Toc44115967</vt:lpwstr>
      </vt:variant>
      <vt:variant>
        <vt:i4>1900598</vt:i4>
      </vt:variant>
      <vt:variant>
        <vt:i4>416</vt:i4>
      </vt:variant>
      <vt:variant>
        <vt:i4>0</vt:i4>
      </vt:variant>
      <vt:variant>
        <vt:i4>5</vt:i4>
      </vt:variant>
      <vt:variant>
        <vt:lpwstr/>
      </vt:variant>
      <vt:variant>
        <vt:lpwstr>_Toc44115966</vt:lpwstr>
      </vt:variant>
      <vt:variant>
        <vt:i4>1966134</vt:i4>
      </vt:variant>
      <vt:variant>
        <vt:i4>410</vt:i4>
      </vt:variant>
      <vt:variant>
        <vt:i4>0</vt:i4>
      </vt:variant>
      <vt:variant>
        <vt:i4>5</vt:i4>
      </vt:variant>
      <vt:variant>
        <vt:lpwstr/>
      </vt:variant>
      <vt:variant>
        <vt:lpwstr>_Toc44115965</vt:lpwstr>
      </vt:variant>
      <vt:variant>
        <vt:i4>2031670</vt:i4>
      </vt:variant>
      <vt:variant>
        <vt:i4>404</vt:i4>
      </vt:variant>
      <vt:variant>
        <vt:i4>0</vt:i4>
      </vt:variant>
      <vt:variant>
        <vt:i4>5</vt:i4>
      </vt:variant>
      <vt:variant>
        <vt:lpwstr/>
      </vt:variant>
      <vt:variant>
        <vt:lpwstr>_Toc44115964</vt:lpwstr>
      </vt:variant>
      <vt:variant>
        <vt:i4>1572918</vt:i4>
      </vt:variant>
      <vt:variant>
        <vt:i4>398</vt:i4>
      </vt:variant>
      <vt:variant>
        <vt:i4>0</vt:i4>
      </vt:variant>
      <vt:variant>
        <vt:i4>5</vt:i4>
      </vt:variant>
      <vt:variant>
        <vt:lpwstr/>
      </vt:variant>
      <vt:variant>
        <vt:lpwstr>_Toc44115963</vt:lpwstr>
      </vt:variant>
      <vt:variant>
        <vt:i4>1638454</vt:i4>
      </vt:variant>
      <vt:variant>
        <vt:i4>392</vt:i4>
      </vt:variant>
      <vt:variant>
        <vt:i4>0</vt:i4>
      </vt:variant>
      <vt:variant>
        <vt:i4>5</vt:i4>
      </vt:variant>
      <vt:variant>
        <vt:lpwstr/>
      </vt:variant>
      <vt:variant>
        <vt:lpwstr>_Toc44115962</vt:lpwstr>
      </vt:variant>
      <vt:variant>
        <vt:i4>1703990</vt:i4>
      </vt:variant>
      <vt:variant>
        <vt:i4>386</vt:i4>
      </vt:variant>
      <vt:variant>
        <vt:i4>0</vt:i4>
      </vt:variant>
      <vt:variant>
        <vt:i4>5</vt:i4>
      </vt:variant>
      <vt:variant>
        <vt:lpwstr/>
      </vt:variant>
      <vt:variant>
        <vt:lpwstr>_Toc44115961</vt:lpwstr>
      </vt:variant>
      <vt:variant>
        <vt:i4>1769526</vt:i4>
      </vt:variant>
      <vt:variant>
        <vt:i4>380</vt:i4>
      </vt:variant>
      <vt:variant>
        <vt:i4>0</vt:i4>
      </vt:variant>
      <vt:variant>
        <vt:i4>5</vt:i4>
      </vt:variant>
      <vt:variant>
        <vt:lpwstr/>
      </vt:variant>
      <vt:variant>
        <vt:lpwstr>_Toc44115960</vt:lpwstr>
      </vt:variant>
      <vt:variant>
        <vt:i4>1179701</vt:i4>
      </vt:variant>
      <vt:variant>
        <vt:i4>374</vt:i4>
      </vt:variant>
      <vt:variant>
        <vt:i4>0</vt:i4>
      </vt:variant>
      <vt:variant>
        <vt:i4>5</vt:i4>
      </vt:variant>
      <vt:variant>
        <vt:lpwstr/>
      </vt:variant>
      <vt:variant>
        <vt:lpwstr>_Toc44115959</vt:lpwstr>
      </vt:variant>
      <vt:variant>
        <vt:i4>1245237</vt:i4>
      </vt:variant>
      <vt:variant>
        <vt:i4>368</vt:i4>
      </vt:variant>
      <vt:variant>
        <vt:i4>0</vt:i4>
      </vt:variant>
      <vt:variant>
        <vt:i4>5</vt:i4>
      </vt:variant>
      <vt:variant>
        <vt:lpwstr/>
      </vt:variant>
      <vt:variant>
        <vt:lpwstr>_Toc44115958</vt:lpwstr>
      </vt:variant>
      <vt:variant>
        <vt:i4>1835061</vt:i4>
      </vt:variant>
      <vt:variant>
        <vt:i4>362</vt:i4>
      </vt:variant>
      <vt:variant>
        <vt:i4>0</vt:i4>
      </vt:variant>
      <vt:variant>
        <vt:i4>5</vt:i4>
      </vt:variant>
      <vt:variant>
        <vt:lpwstr/>
      </vt:variant>
      <vt:variant>
        <vt:lpwstr>_Toc44115957</vt:lpwstr>
      </vt:variant>
      <vt:variant>
        <vt:i4>1900597</vt:i4>
      </vt:variant>
      <vt:variant>
        <vt:i4>356</vt:i4>
      </vt:variant>
      <vt:variant>
        <vt:i4>0</vt:i4>
      </vt:variant>
      <vt:variant>
        <vt:i4>5</vt:i4>
      </vt:variant>
      <vt:variant>
        <vt:lpwstr/>
      </vt:variant>
      <vt:variant>
        <vt:lpwstr>_Toc44115956</vt:lpwstr>
      </vt:variant>
      <vt:variant>
        <vt:i4>1966133</vt:i4>
      </vt:variant>
      <vt:variant>
        <vt:i4>350</vt:i4>
      </vt:variant>
      <vt:variant>
        <vt:i4>0</vt:i4>
      </vt:variant>
      <vt:variant>
        <vt:i4>5</vt:i4>
      </vt:variant>
      <vt:variant>
        <vt:lpwstr/>
      </vt:variant>
      <vt:variant>
        <vt:lpwstr>_Toc44115955</vt:lpwstr>
      </vt:variant>
      <vt:variant>
        <vt:i4>2031669</vt:i4>
      </vt:variant>
      <vt:variant>
        <vt:i4>344</vt:i4>
      </vt:variant>
      <vt:variant>
        <vt:i4>0</vt:i4>
      </vt:variant>
      <vt:variant>
        <vt:i4>5</vt:i4>
      </vt:variant>
      <vt:variant>
        <vt:lpwstr/>
      </vt:variant>
      <vt:variant>
        <vt:lpwstr>_Toc44115954</vt:lpwstr>
      </vt:variant>
      <vt:variant>
        <vt:i4>1572917</vt:i4>
      </vt:variant>
      <vt:variant>
        <vt:i4>338</vt:i4>
      </vt:variant>
      <vt:variant>
        <vt:i4>0</vt:i4>
      </vt:variant>
      <vt:variant>
        <vt:i4>5</vt:i4>
      </vt:variant>
      <vt:variant>
        <vt:lpwstr/>
      </vt:variant>
      <vt:variant>
        <vt:lpwstr>_Toc44115953</vt:lpwstr>
      </vt:variant>
      <vt:variant>
        <vt:i4>1638453</vt:i4>
      </vt:variant>
      <vt:variant>
        <vt:i4>332</vt:i4>
      </vt:variant>
      <vt:variant>
        <vt:i4>0</vt:i4>
      </vt:variant>
      <vt:variant>
        <vt:i4>5</vt:i4>
      </vt:variant>
      <vt:variant>
        <vt:lpwstr/>
      </vt:variant>
      <vt:variant>
        <vt:lpwstr>_Toc44115952</vt:lpwstr>
      </vt:variant>
      <vt:variant>
        <vt:i4>1703989</vt:i4>
      </vt:variant>
      <vt:variant>
        <vt:i4>326</vt:i4>
      </vt:variant>
      <vt:variant>
        <vt:i4>0</vt:i4>
      </vt:variant>
      <vt:variant>
        <vt:i4>5</vt:i4>
      </vt:variant>
      <vt:variant>
        <vt:lpwstr/>
      </vt:variant>
      <vt:variant>
        <vt:lpwstr>_Toc44115951</vt:lpwstr>
      </vt:variant>
      <vt:variant>
        <vt:i4>1769525</vt:i4>
      </vt:variant>
      <vt:variant>
        <vt:i4>320</vt:i4>
      </vt:variant>
      <vt:variant>
        <vt:i4>0</vt:i4>
      </vt:variant>
      <vt:variant>
        <vt:i4>5</vt:i4>
      </vt:variant>
      <vt:variant>
        <vt:lpwstr/>
      </vt:variant>
      <vt:variant>
        <vt:lpwstr>_Toc44115950</vt:lpwstr>
      </vt:variant>
      <vt:variant>
        <vt:i4>1179700</vt:i4>
      </vt:variant>
      <vt:variant>
        <vt:i4>314</vt:i4>
      </vt:variant>
      <vt:variant>
        <vt:i4>0</vt:i4>
      </vt:variant>
      <vt:variant>
        <vt:i4>5</vt:i4>
      </vt:variant>
      <vt:variant>
        <vt:lpwstr/>
      </vt:variant>
      <vt:variant>
        <vt:lpwstr>_Toc44115949</vt:lpwstr>
      </vt:variant>
      <vt:variant>
        <vt:i4>1245236</vt:i4>
      </vt:variant>
      <vt:variant>
        <vt:i4>308</vt:i4>
      </vt:variant>
      <vt:variant>
        <vt:i4>0</vt:i4>
      </vt:variant>
      <vt:variant>
        <vt:i4>5</vt:i4>
      </vt:variant>
      <vt:variant>
        <vt:lpwstr/>
      </vt:variant>
      <vt:variant>
        <vt:lpwstr>_Toc44115948</vt:lpwstr>
      </vt:variant>
      <vt:variant>
        <vt:i4>1835060</vt:i4>
      </vt:variant>
      <vt:variant>
        <vt:i4>302</vt:i4>
      </vt:variant>
      <vt:variant>
        <vt:i4>0</vt:i4>
      </vt:variant>
      <vt:variant>
        <vt:i4>5</vt:i4>
      </vt:variant>
      <vt:variant>
        <vt:lpwstr/>
      </vt:variant>
      <vt:variant>
        <vt:lpwstr>_Toc44115947</vt:lpwstr>
      </vt:variant>
      <vt:variant>
        <vt:i4>1900596</vt:i4>
      </vt:variant>
      <vt:variant>
        <vt:i4>296</vt:i4>
      </vt:variant>
      <vt:variant>
        <vt:i4>0</vt:i4>
      </vt:variant>
      <vt:variant>
        <vt:i4>5</vt:i4>
      </vt:variant>
      <vt:variant>
        <vt:lpwstr/>
      </vt:variant>
      <vt:variant>
        <vt:lpwstr>_Toc44115946</vt:lpwstr>
      </vt:variant>
      <vt:variant>
        <vt:i4>1966132</vt:i4>
      </vt:variant>
      <vt:variant>
        <vt:i4>290</vt:i4>
      </vt:variant>
      <vt:variant>
        <vt:i4>0</vt:i4>
      </vt:variant>
      <vt:variant>
        <vt:i4>5</vt:i4>
      </vt:variant>
      <vt:variant>
        <vt:lpwstr/>
      </vt:variant>
      <vt:variant>
        <vt:lpwstr>_Toc44115945</vt:lpwstr>
      </vt:variant>
      <vt:variant>
        <vt:i4>2031668</vt:i4>
      </vt:variant>
      <vt:variant>
        <vt:i4>284</vt:i4>
      </vt:variant>
      <vt:variant>
        <vt:i4>0</vt:i4>
      </vt:variant>
      <vt:variant>
        <vt:i4>5</vt:i4>
      </vt:variant>
      <vt:variant>
        <vt:lpwstr/>
      </vt:variant>
      <vt:variant>
        <vt:lpwstr>_Toc44115944</vt:lpwstr>
      </vt:variant>
      <vt:variant>
        <vt:i4>1572916</vt:i4>
      </vt:variant>
      <vt:variant>
        <vt:i4>278</vt:i4>
      </vt:variant>
      <vt:variant>
        <vt:i4>0</vt:i4>
      </vt:variant>
      <vt:variant>
        <vt:i4>5</vt:i4>
      </vt:variant>
      <vt:variant>
        <vt:lpwstr/>
      </vt:variant>
      <vt:variant>
        <vt:lpwstr>_Toc44115943</vt:lpwstr>
      </vt:variant>
      <vt:variant>
        <vt:i4>1638452</vt:i4>
      </vt:variant>
      <vt:variant>
        <vt:i4>272</vt:i4>
      </vt:variant>
      <vt:variant>
        <vt:i4>0</vt:i4>
      </vt:variant>
      <vt:variant>
        <vt:i4>5</vt:i4>
      </vt:variant>
      <vt:variant>
        <vt:lpwstr/>
      </vt:variant>
      <vt:variant>
        <vt:lpwstr>_Toc44115942</vt:lpwstr>
      </vt:variant>
      <vt:variant>
        <vt:i4>1703988</vt:i4>
      </vt:variant>
      <vt:variant>
        <vt:i4>266</vt:i4>
      </vt:variant>
      <vt:variant>
        <vt:i4>0</vt:i4>
      </vt:variant>
      <vt:variant>
        <vt:i4>5</vt:i4>
      </vt:variant>
      <vt:variant>
        <vt:lpwstr/>
      </vt:variant>
      <vt:variant>
        <vt:lpwstr>_Toc44115941</vt:lpwstr>
      </vt:variant>
      <vt:variant>
        <vt:i4>1769524</vt:i4>
      </vt:variant>
      <vt:variant>
        <vt:i4>260</vt:i4>
      </vt:variant>
      <vt:variant>
        <vt:i4>0</vt:i4>
      </vt:variant>
      <vt:variant>
        <vt:i4>5</vt:i4>
      </vt:variant>
      <vt:variant>
        <vt:lpwstr/>
      </vt:variant>
      <vt:variant>
        <vt:lpwstr>_Toc44115940</vt:lpwstr>
      </vt:variant>
      <vt:variant>
        <vt:i4>1179699</vt:i4>
      </vt:variant>
      <vt:variant>
        <vt:i4>254</vt:i4>
      </vt:variant>
      <vt:variant>
        <vt:i4>0</vt:i4>
      </vt:variant>
      <vt:variant>
        <vt:i4>5</vt:i4>
      </vt:variant>
      <vt:variant>
        <vt:lpwstr/>
      </vt:variant>
      <vt:variant>
        <vt:lpwstr>_Toc44115939</vt:lpwstr>
      </vt:variant>
      <vt:variant>
        <vt:i4>1245235</vt:i4>
      </vt:variant>
      <vt:variant>
        <vt:i4>248</vt:i4>
      </vt:variant>
      <vt:variant>
        <vt:i4>0</vt:i4>
      </vt:variant>
      <vt:variant>
        <vt:i4>5</vt:i4>
      </vt:variant>
      <vt:variant>
        <vt:lpwstr/>
      </vt:variant>
      <vt:variant>
        <vt:lpwstr>_Toc44115938</vt:lpwstr>
      </vt:variant>
      <vt:variant>
        <vt:i4>1835059</vt:i4>
      </vt:variant>
      <vt:variant>
        <vt:i4>242</vt:i4>
      </vt:variant>
      <vt:variant>
        <vt:i4>0</vt:i4>
      </vt:variant>
      <vt:variant>
        <vt:i4>5</vt:i4>
      </vt:variant>
      <vt:variant>
        <vt:lpwstr/>
      </vt:variant>
      <vt:variant>
        <vt:lpwstr>_Toc44115937</vt:lpwstr>
      </vt:variant>
      <vt:variant>
        <vt:i4>1900595</vt:i4>
      </vt:variant>
      <vt:variant>
        <vt:i4>236</vt:i4>
      </vt:variant>
      <vt:variant>
        <vt:i4>0</vt:i4>
      </vt:variant>
      <vt:variant>
        <vt:i4>5</vt:i4>
      </vt:variant>
      <vt:variant>
        <vt:lpwstr/>
      </vt:variant>
      <vt:variant>
        <vt:lpwstr>_Toc44115936</vt:lpwstr>
      </vt:variant>
      <vt:variant>
        <vt:i4>1966131</vt:i4>
      </vt:variant>
      <vt:variant>
        <vt:i4>230</vt:i4>
      </vt:variant>
      <vt:variant>
        <vt:i4>0</vt:i4>
      </vt:variant>
      <vt:variant>
        <vt:i4>5</vt:i4>
      </vt:variant>
      <vt:variant>
        <vt:lpwstr/>
      </vt:variant>
      <vt:variant>
        <vt:lpwstr>_Toc44115935</vt:lpwstr>
      </vt:variant>
      <vt:variant>
        <vt:i4>2031667</vt:i4>
      </vt:variant>
      <vt:variant>
        <vt:i4>224</vt:i4>
      </vt:variant>
      <vt:variant>
        <vt:i4>0</vt:i4>
      </vt:variant>
      <vt:variant>
        <vt:i4>5</vt:i4>
      </vt:variant>
      <vt:variant>
        <vt:lpwstr/>
      </vt:variant>
      <vt:variant>
        <vt:lpwstr>_Toc44115934</vt:lpwstr>
      </vt:variant>
      <vt:variant>
        <vt:i4>1572915</vt:i4>
      </vt:variant>
      <vt:variant>
        <vt:i4>218</vt:i4>
      </vt:variant>
      <vt:variant>
        <vt:i4>0</vt:i4>
      </vt:variant>
      <vt:variant>
        <vt:i4>5</vt:i4>
      </vt:variant>
      <vt:variant>
        <vt:lpwstr/>
      </vt:variant>
      <vt:variant>
        <vt:lpwstr>_Toc44115933</vt:lpwstr>
      </vt:variant>
      <vt:variant>
        <vt:i4>1638451</vt:i4>
      </vt:variant>
      <vt:variant>
        <vt:i4>212</vt:i4>
      </vt:variant>
      <vt:variant>
        <vt:i4>0</vt:i4>
      </vt:variant>
      <vt:variant>
        <vt:i4>5</vt:i4>
      </vt:variant>
      <vt:variant>
        <vt:lpwstr/>
      </vt:variant>
      <vt:variant>
        <vt:lpwstr>_Toc44115932</vt:lpwstr>
      </vt:variant>
      <vt:variant>
        <vt:i4>1703987</vt:i4>
      </vt:variant>
      <vt:variant>
        <vt:i4>206</vt:i4>
      </vt:variant>
      <vt:variant>
        <vt:i4>0</vt:i4>
      </vt:variant>
      <vt:variant>
        <vt:i4>5</vt:i4>
      </vt:variant>
      <vt:variant>
        <vt:lpwstr/>
      </vt:variant>
      <vt:variant>
        <vt:lpwstr>_Toc44115931</vt:lpwstr>
      </vt:variant>
      <vt:variant>
        <vt:i4>1769523</vt:i4>
      </vt:variant>
      <vt:variant>
        <vt:i4>200</vt:i4>
      </vt:variant>
      <vt:variant>
        <vt:i4>0</vt:i4>
      </vt:variant>
      <vt:variant>
        <vt:i4>5</vt:i4>
      </vt:variant>
      <vt:variant>
        <vt:lpwstr/>
      </vt:variant>
      <vt:variant>
        <vt:lpwstr>_Toc44115930</vt:lpwstr>
      </vt:variant>
      <vt:variant>
        <vt:i4>1179698</vt:i4>
      </vt:variant>
      <vt:variant>
        <vt:i4>194</vt:i4>
      </vt:variant>
      <vt:variant>
        <vt:i4>0</vt:i4>
      </vt:variant>
      <vt:variant>
        <vt:i4>5</vt:i4>
      </vt:variant>
      <vt:variant>
        <vt:lpwstr/>
      </vt:variant>
      <vt:variant>
        <vt:lpwstr>_Toc44115929</vt:lpwstr>
      </vt:variant>
      <vt:variant>
        <vt:i4>1245234</vt:i4>
      </vt:variant>
      <vt:variant>
        <vt:i4>188</vt:i4>
      </vt:variant>
      <vt:variant>
        <vt:i4>0</vt:i4>
      </vt:variant>
      <vt:variant>
        <vt:i4>5</vt:i4>
      </vt:variant>
      <vt:variant>
        <vt:lpwstr/>
      </vt:variant>
      <vt:variant>
        <vt:lpwstr>_Toc44115928</vt:lpwstr>
      </vt:variant>
      <vt:variant>
        <vt:i4>1835058</vt:i4>
      </vt:variant>
      <vt:variant>
        <vt:i4>182</vt:i4>
      </vt:variant>
      <vt:variant>
        <vt:i4>0</vt:i4>
      </vt:variant>
      <vt:variant>
        <vt:i4>5</vt:i4>
      </vt:variant>
      <vt:variant>
        <vt:lpwstr/>
      </vt:variant>
      <vt:variant>
        <vt:lpwstr>_Toc44115927</vt:lpwstr>
      </vt:variant>
      <vt:variant>
        <vt:i4>1900594</vt:i4>
      </vt:variant>
      <vt:variant>
        <vt:i4>176</vt:i4>
      </vt:variant>
      <vt:variant>
        <vt:i4>0</vt:i4>
      </vt:variant>
      <vt:variant>
        <vt:i4>5</vt:i4>
      </vt:variant>
      <vt:variant>
        <vt:lpwstr/>
      </vt:variant>
      <vt:variant>
        <vt:lpwstr>_Toc44115926</vt:lpwstr>
      </vt:variant>
      <vt:variant>
        <vt:i4>1966130</vt:i4>
      </vt:variant>
      <vt:variant>
        <vt:i4>170</vt:i4>
      </vt:variant>
      <vt:variant>
        <vt:i4>0</vt:i4>
      </vt:variant>
      <vt:variant>
        <vt:i4>5</vt:i4>
      </vt:variant>
      <vt:variant>
        <vt:lpwstr/>
      </vt:variant>
      <vt:variant>
        <vt:lpwstr>_Toc44115925</vt:lpwstr>
      </vt:variant>
      <vt:variant>
        <vt:i4>2031666</vt:i4>
      </vt:variant>
      <vt:variant>
        <vt:i4>164</vt:i4>
      </vt:variant>
      <vt:variant>
        <vt:i4>0</vt:i4>
      </vt:variant>
      <vt:variant>
        <vt:i4>5</vt:i4>
      </vt:variant>
      <vt:variant>
        <vt:lpwstr/>
      </vt:variant>
      <vt:variant>
        <vt:lpwstr>_Toc44115924</vt:lpwstr>
      </vt:variant>
      <vt:variant>
        <vt:i4>1572914</vt:i4>
      </vt:variant>
      <vt:variant>
        <vt:i4>158</vt:i4>
      </vt:variant>
      <vt:variant>
        <vt:i4>0</vt:i4>
      </vt:variant>
      <vt:variant>
        <vt:i4>5</vt:i4>
      </vt:variant>
      <vt:variant>
        <vt:lpwstr/>
      </vt:variant>
      <vt:variant>
        <vt:lpwstr>_Toc44115923</vt:lpwstr>
      </vt:variant>
      <vt:variant>
        <vt:i4>1638450</vt:i4>
      </vt:variant>
      <vt:variant>
        <vt:i4>152</vt:i4>
      </vt:variant>
      <vt:variant>
        <vt:i4>0</vt:i4>
      </vt:variant>
      <vt:variant>
        <vt:i4>5</vt:i4>
      </vt:variant>
      <vt:variant>
        <vt:lpwstr/>
      </vt:variant>
      <vt:variant>
        <vt:lpwstr>_Toc44115922</vt:lpwstr>
      </vt:variant>
      <vt:variant>
        <vt:i4>1703986</vt:i4>
      </vt:variant>
      <vt:variant>
        <vt:i4>146</vt:i4>
      </vt:variant>
      <vt:variant>
        <vt:i4>0</vt:i4>
      </vt:variant>
      <vt:variant>
        <vt:i4>5</vt:i4>
      </vt:variant>
      <vt:variant>
        <vt:lpwstr/>
      </vt:variant>
      <vt:variant>
        <vt:lpwstr>_Toc44115921</vt:lpwstr>
      </vt:variant>
      <vt:variant>
        <vt:i4>1769522</vt:i4>
      </vt:variant>
      <vt:variant>
        <vt:i4>140</vt:i4>
      </vt:variant>
      <vt:variant>
        <vt:i4>0</vt:i4>
      </vt:variant>
      <vt:variant>
        <vt:i4>5</vt:i4>
      </vt:variant>
      <vt:variant>
        <vt:lpwstr/>
      </vt:variant>
      <vt:variant>
        <vt:lpwstr>_Toc44115920</vt:lpwstr>
      </vt:variant>
      <vt:variant>
        <vt:i4>1179697</vt:i4>
      </vt:variant>
      <vt:variant>
        <vt:i4>134</vt:i4>
      </vt:variant>
      <vt:variant>
        <vt:i4>0</vt:i4>
      </vt:variant>
      <vt:variant>
        <vt:i4>5</vt:i4>
      </vt:variant>
      <vt:variant>
        <vt:lpwstr/>
      </vt:variant>
      <vt:variant>
        <vt:lpwstr>_Toc44115919</vt:lpwstr>
      </vt:variant>
      <vt:variant>
        <vt:i4>1245233</vt:i4>
      </vt:variant>
      <vt:variant>
        <vt:i4>128</vt:i4>
      </vt:variant>
      <vt:variant>
        <vt:i4>0</vt:i4>
      </vt:variant>
      <vt:variant>
        <vt:i4>5</vt:i4>
      </vt:variant>
      <vt:variant>
        <vt:lpwstr/>
      </vt:variant>
      <vt:variant>
        <vt:lpwstr>_Toc44115918</vt:lpwstr>
      </vt:variant>
      <vt:variant>
        <vt:i4>1835057</vt:i4>
      </vt:variant>
      <vt:variant>
        <vt:i4>122</vt:i4>
      </vt:variant>
      <vt:variant>
        <vt:i4>0</vt:i4>
      </vt:variant>
      <vt:variant>
        <vt:i4>5</vt:i4>
      </vt:variant>
      <vt:variant>
        <vt:lpwstr/>
      </vt:variant>
      <vt:variant>
        <vt:lpwstr>_Toc44115917</vt:lpwstr>
      </vt:variant>
      <vt:variant>
        <vt:i4>1900593</vt:i4>
      </vt:variant>
      <vt:variant>
        <vt:i4>116</vt:i4>
      </vt:variant>
      <vt:variant>
        <vt:i4>0</vt:i4>
      </vt:variant>
      <vt:variant>
        <vt:i4>5</vt:i4>
      </vt:variant>
      <vt:variant>
        <vt:lpwstr/>
      </vt:variant>
      <vt:variant>
        <vt:lpwstr>_Toc44115916</vt:lpwstr>
      </vt:variant>
      <vt:variant>
        <vt:i4>1966129</vt:i4>
      </vt:variant>
      <vt:variant>
        <vt:i4>110</vt:i4>
      </vt:variant>
      <vt:variant>
        <vt:i4>0</vt:i4>
      </vt:variant>
      <vt:variant>
        <vt:i4>5</vt:i4>
      </vt:variant>
      <vt:variant>
        <vt:lpwstr/>
      </vt:variant>
      <vt:variant>
        <vt:lpwstr>_Toc44115915</vt:lpwstr>
      </vt:variant>
      <vt:variant>
        <vt:i4>2031665</vt:i4>
      </vt:variant>
      <vt:variant>
        <vt:i4>104</vt:i4>
      </vt:variant>
      <vt:variant>
        <vt:i4>0</vt:i4>
      </vt:variant>
      <vt:variant>
        <vt:i4>5</vt:i4>
      </vt:variant>
      <vt:variant>
        <vt:lpwstr/>
      </vt:variant>
      <vt:variant>
        <vt:lpwstr>_Toc44115914</vt:lpwstr>
      </vt:variant>
      <vt:variant>
        <vt:i4>1572913</vt:i4>
      </vt:variant>
      <vt:variant>
        <vt:i4>98</vt:i4>
      </vt:variant>
      <vt:variant>
        <vt:i4>0</vt:i4>
      </vt:variant>
      <vt:variant>
        <vt:i4>5</vt:i4>
      </vt:variant>
      <vt:variant>
        <vt:lpwstr/>
      </vt:variant>
      <vt:variant>
        <vt:lpwstr>_Toc44115913</vt:lpwstr>
      </vt:variant>
      <vt:variant>
        <vt:i4>1638449</vt:i4>
      </vt:variant>
      <vt:variant>
        <vt:i4>92</vt:i4>
      </vt:variant>
      <vt:variant>
        <vt:i4>0</vt:i4>
      </vt:variant>
      <vt:variant>
        <vt:i4>5</vt:i4>
      </vt:variant>
      <vt:variant>
        <vt:lpwstr/>
      </vt:variant>
      <vt:variant>
        <vt:lpwstr>_Toc44115912</vt:lpwstr>
      </vt:variant>
      <vt:variant>
        <vt:i4>1703985</vt:i4>
      </vt:variant>
      <vt:variant>
        <vt:i4>86</vt:i4>
      </vt:variant>
      <vt:variant>
        <vt:i4>0</vt:i4>
      </vt:variant>
      <vt:variant>
        <vt:i4>5</vt:i4>
      </vt:variant>
      <vt:variant>
        <vt:lpwstr/>
      </vt:variant>
      <vt:variant>
        <vt:lpwstr>_Toc44115911</vt:lpwstr>
      </vt:variant>
      <vt:variant>
        <vt:i4>1769521</vt:i4>
      </vt:variant>
      <vt:variant>
        <vt:i4>80</vt:i4>
      </vt:variant>
      <vt:variant>
        <vt:i4>0</vt:i4>
      </vt:variant>
      <vt:variant>
        <vt:i4>5</vt:i4>
      </vt:variant>
      <vt:variant>
        <vt:lpwstr/>
      </vt:variant>
      <vt:variant>
        <vt:lpwstr>_Toc44115910</vt:lpwstr>
      </vt:variant>
      <vt:variant>
        <vt:i4>1179696</vt:i4>
      </vt:variant>
      <vt:variant>
        <vt:i4>74</vt:i4>
      </vt:variant>
      <vt:variant>
        <vt:i4>0</vt:i4>
      </vt:variant>
      <vt:variant>
        <vt:i4>5</vt:i4>
      </vt:variant>
      <vt:variant>
        <vt:lpwstr/>
      </vt:variant>
      <vt:variant>
        <vt:lpwstr>_Toc44115909</vt:lpwstr>
      </vt:variant>
      <vt:variant>
        <vt:i4>1245232</vt:i4>
      </vt:variant>
      <vt:variant>
        <vt:i4>68</vt:i4>
      </vt:variant>
      <vt:variant>
        <vt:i4>0</vt:i4>
      </vt:variant>
      <vt:variant>
        <vt:i4>5</vt:i4>
      </vt:variant>
      <vt:variant>
        <vt:lpwstr/>
      </vt:variant>
      <vt:variant>
        <vt:lpwstr>_Toc44115908</vt:lpwstr>
      </vt:variant>
      <vt:variant>
        <vt:i4>1835056</vt:i4>
      </vt:variant>
      <vt:variant>
        <vt:i4>62</vt:i4>
      </vt:variant>
      <vt:variant>
        <vt:i4>0</vt:i4>
      </vt:variant>
      <vt:variant>
        <vt:i4>5</vt:i4>
      </vt:variant>
      <vt:variant>
        <vt:lpwstr/>
      </vt:variant>
      <vt:variant>
        <vt:lpwstr>_Toc44115907</vt:lpwstr>
      </vt:variant>
      <vt:variant>
        <vt:i4>1900592</vt:i4>
      </vt:variant>
      <vt:variant>
        <vt:i4>56</vt:i4>
      </vt:variant>
      <vt:variant>
        <vt:i4>0</vt:i4>
      </vt:variant>
      <vt:variant>
        <vt:i4>5</vt:i4>
      </vt:variant>
      <vt:variant>
        <vt:lpwstr/>
      </vt:variant>
      <vt:variant>
        <vt:lpwstr>_Toc44115906</vt:lpwstr>
      </vt:variant>
      <vt:variant>
        <vt:i4>1966128</vt:i4>
      </vt:variant>
      <vt:variant>
        <vt:i4>50</vt:i4>
      </vt:variant>
      <vt:variant>
        <vt:i4>0</vt:i4>
      </vt:variant>
      <vt:variant>
        <vt:i4>5</vt:i4>
      </vt:variant>
      <vt:variant>
        <vt:lpwstr/>
      </vt:variant>
      <vt:variant>
        <vt:lpwstr>_Toc44115905</vt:lpwstr>
      </vt:variant>
      <vt:variant>
        <vt:i4>2031664</vt:i4>
      </vt:variant>
      <vt:variant>
        <vt:i4>44</vt:i4>
      </vt:variant>
      <vt:variant>
        <vt:i4>0</vt:i4>
      </vt:variant>
      <vt:variant>
        <vt:i4>5</vt:i4>
      </vt:variant>
      <vt:variant>
        <vt:lpwstr/>
      </vt:variant>
      <vt:variant>
        <vt:lpwstr>_Toc44115904</vt:lpwstr>
      </vt:variant>
      <vt:variant>
        <vt:i4>1572912</vt:i4>
      </vt:variant>
      <vt:variant>
        <vt:i4>38</vt:i4>
      </vt:variant>
      <vt:variant>
        <vt:i4>0</vt:i4>
      </vt:variant>
      <vt:variant>
        <vt:i4>5</vt:i4>
      </vt:variant>
      <vt:variant>
        <vt:lpwstr/>
      </vt:variant>
      <vt:variant>
        <vt:lpwstr>_Toc44115903</vt:lpwstr>
      </vt:variant>
      <vt:variant>
        <vt:i4>1638448</vt:i4>
      </vt:variant>
      <vt:variant>
        <vt:i4>32</vt:i4>
      </vt:variant>
      <vt:variant>
        <vt:i4>0</vt:i4>
      </vt:variant>
      <vt:variant>
        <vt:i4>5</vt:i4>
      </vt:variant>
      <vt:variant>
        <vt:lpwstr/>
      </vt:variant>
      <vt:variant>
        <vt:lpwstr>_Toc44115902</vt:lpwstr>
      </vt:variant>
      <vt:variant>
        <vt:i4>1703984</vt:i4>
      </vt:variant>
      <vt:variant>
        <vt:i4>26</vt:i4>
      </vt:variant>
      <vt:variant>
        <vt:i4>0</vt:i4>
      </vt:variant>
      <vt:variant>
        <vt:i4>5</vt:i4>
      </vt:variant>
      <vt:variant>
        <vt:lpwstr/>
      </vt:variant>
      <vt:variant>
        <vt:lpwstr>_Toc44115901</vt:lpwstr>
      </vt:variant>
      <vt:variant>
        <vt:i4>1769520</vt:i4>
      </vt:variant>
      <vt:variant>
        <vt:i4>20</vt:i4>
      </vt:variant>
      <vt:variant>
        <vt:i4>0</vt:i4>
      </vt:variant>
      <vt:variant>
        <vt:i4>5</vt:i4>
      </vt:variant>
      <vt:variant>
        <vt:lpwstr/>
      </vt:variant>
      <vt:variant>
        <vt:lpwstr>_Toc44115900</vt:lpwstr>
      </vt:variant>
      <vt:variant>
        <vt:i4>1245241</vt:i4>
      </vt:variant>
      <vt:variant>
        <vt:i4>14</vt:i4>
      </vt:variant>
      <vt:variant>
        <vt:i4>0</vt:i4>
      </vt:variant>
      <vt:variant>
        <vt:i4>5</vt:i4>
      </vt:variant>
      <vt:variant>
        <vt:lpwstr/>
      </vt:variant>
      <vt:variant>
        <vt:lpwstr>_Toc44115899</vt:lpwstr>
      </vt:variant>
      <vt:variant>
        <vt:i4>1179705</vt:i4>
      </vt:variant>
      <vt:variant>
        <vt:i4>8</vt:i4>
      </vt:variant>
      <vt:variant>
        <vt:i4>0</vt:i4>
      </vt:variant>
      <vt:variant>
        <vt:i4>5</vt:i4>
      </vt:variant>
      <vt:variant>
        <vt:lpwstr/>
      </vt:variant>
      <vt:variant>
        <vt:lpwstr>_Toc44115898</vt:lpwstr>
      </vt:variant>
      <vt:variant>
        <vt:i4>1900601</vt:i4>
      </vt:variant>
      <vt:variant>
        <vt:i4>2</vt:i4>
      </vt:variant>
      <vt:variant>
        <vt:i4>0</vt:i4>
      </vt:variant>
      <vt:variant>
        <vt:i4>5</vt:i4>
      </vt:variant>
      <vt:variant>
        <vt:lpwstr/>
      </vt:variant>
      <vt:variant>
        <vt:lpwstr>_Toc44115897</vt:lpwstr>
      </vt:variant>
      <vt:variant>
        <vt:i4>8257630</vt:i4>
      </vt:variant>
      <vt:variant>
        <vt:i4>1189300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2003-06-25T18:39:00Z</cp:lastPrinted>
  <dcterms:created xsi:type="dcterms:W3CDTF">2003-06-27T15:17:00Z</dcterms:created>
  <dcterms:modified xsi:type="dcterms:W3CDTF">2003-06-27T16:47:00Z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0325052</vt:lpwstr>
  </property>
  <property fmtid="{D5CDD505-2E9C-101B-9397-08002B2CF9AE}" pid="3" name="Symbol1">
    <vt:lpwstr>CEDAW/C/DEU/5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237</vt:lpwstr>
  </property>
  <property fmtid="{D5CDD505-2E9C-101B-9397-08002B2CF9AE}" pid="8" name="Operator">
    <vt:lpwstr>SOKOLOVA</vt:lpwstr>
  </property>
</Properties>
</file>