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3E4F8A9" w14:textId="77777777" w:rsidTr="00EE2AFF">
        <w:trPr>
          <w:trHeight w:hRule="exact" w:val="851"/>
        </w:trPr>
        <w:tc>
          <w:tcPr>
            <w:tcW w:w="1274" w:type="dxa"/>
            <w:tcBorders>
              <w:bottom w:val="single" w:sz="4" w:space="0" w:color="auto"/>
            </w:tcBorders>
          </w:tcPr>
          <w:p w14:paraId="180B96D9" w14:textId="77777777" w:rsidR="006B3E27" w:rsidRPr="003E159A" w:rsidRDefault="006B3E27" w:rsidP="00EC3F02">
            <w:pPr>
              <w:pStyle w:val="H4GA"/>
              <w:kinsoku w:val="0"/>
              <w:overflowPunct w:val="0"/>
              <w:autoSpaceDE w:val="0"/>
              <w:autoSpaceDN w:val="0"/>
              <w:bidi w:val="0"/>
              <w:adjustRightInd w:val="0"/>
              <w:snapToGrid w:val="0"/>
            </w:pPr>
          </w:p>
        </w:tc>
        <w:tc>
          <w:tcPr>
            <w:tcW w:w="4963" w:type="dxa"/>
            <w:tcBorders>
              <w:bottom w:val="single" w:sz="4" w:space="0" w:color="auto"/>
            </w:tcBorders>
            <w:vAlign w:val="bottom"/>
          </w:tcPr>
          <w:p w14:paraId="0FA6C513"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0BE323E6" w14:textId="77777777" w:rsidR="006B3E27" w:rsidRPr="00EC3F02" w:rsidRDefault="00EC3F02" w:rsidP="00EC3F02">
            <w:pPr>
              <w:bidi w:val="0"/>
              <w:jc w:val="left"/>
              <w:rPr>
                <w:szCs w:val="20"/>
              </w:rPr>
            </w:pPr>
            <w:r w:rsidRPr="00EC3F02">
              <w:rPr>
                <w:sz w:val="40"/>
                <w:szCs w:val="20"/>
              </w:rPr>
              <w:t>E</w:t>
            </w:r>
            <w:r>
              <w:rPr>
                <w:szCs w:val="20"/>
              </w:rPr>
              <w:t>/</w:t>
            </w:r>
            <w:proofErr w:type="spellStart"/>
            <w:r>
              <w:rPr>
                <w:szCs w:val="20"/>
              </w:rPr>
              <w:t>C.</w:t>
            </w:r>
            <w:r w:rsidRPr="00B17403">
              <w:rPr>
                <w:szCs w:val="20"/>
              </w:rPr>
              <w:t>12</w:t>
            </w:r>
            <w:proofErr w:type="spellEnd"/>
            <w:r>
              <w:rPr>
                <w:szCs w:val="20"/>
              </w:rPr>
              <w:t>/</w:t>
            </w:r>
            <w:r w:rsidRPr="00B17403">
              <w:rPr>
                <w:szCs w:val="20"/>
              </w:rPr>
              <w:t>2020</w:t>
            </w:r>
            <w:r>
              <w:rPr>
                <w:szCs w:val="20"/>
              </w:rPr>
              <w:t>/</w:t>
            </w:r>
            <w:r w:rsidRPr="00B17403">
              <w:rPr>
                <w:szCs w:val="20"/>
              </w:rPr>
              <w:t>2</w:t>
            </w:r>
          </w:p>
        </w:tc>
      </w:tr>
      <w:tr w:rsidR="006B3E27" w:rsidRPr="00ED7442" w14:paraId="343B98BB" w14:textId="77777777" w:rsidTr="00EE2AFF">
        <w:trPr>
          <w:trHeight w:hRule="exact" w:val="2835"/>
        </w:trPr>
        <w:tc>
          <w:tcPr>
            <w:tcW w:w="1274" w:type="dxa"/>
            <w:tcBorders>
              <w:top w:val="single" w:sz="4" w:space="0" w:color="auto"/>
              <w:bottom w:val="single" w:sz="12" w:space="0" w:color="auto"/>
            </w:tcBorders>
          </w:tcPr>
          <w:p w14:paraId="22243786" w14:textId="77777777" w:rsidR="006B3E27" w:rsidRPr="00ED7442" w:rsidRDefault="0059622A" w:rsidP="00EE2AFF">
            <w:pPr>
              <w:jc w:val="center"/>
              <w:rPr>
                <w:sz w:val="56"/>
                <w:szCs w:val="56"/>
                <w:rtl/>
              </w:rPr>
            </w:pPr>
            <w:r w:rsidRPr="00ED7442">
              <w:rPr>
                <w:noProof/>
                <w:sz w:val="56"/>
                <w:szCs w:val="56"/>
              </w:rPr>
              <w:drawing>
                <wp:inline distT="0" distB="0" distL="0" distR="0" wp14:anchorId="02743FE2" wp14:editId="40C36A3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272D822"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6ADA82FD" w14:textId="77777777" w:rsidR="00B17403" w:rsidRPr="00E44974" w:rsidRDefault="00B17403" w:rsidP="00B17403">
            <w:pPr>
              <w:bidi w:val="0"/>
              <w:spacing w:before="240"/>
            </w:pPr>
            <w:r w:rsidRPr="00E44974">
              <w:t>Distr.: General</w:t>
            </w:r>
          </w:p>
          <w:p w14:paraId="5BE020AA" w14:textId="77777777" w:rsidR="00B17403" w:rsidRPr="00E44974" w:rsidRDefault="00B17403" w:rsidP="00B17403">
            <w:pPr>
              <w:bidi w:val="0"/>
            </w:pPr>
            <w:r w:rsidRPr="00B17403">
              <w:rPr>
                <w:szCs w:val="20"/>
              </w:rPr>
              <w:t>15</w:t>
            </w:r>
            <w:r w:rsidRPr="00E44974">
              <w:t xml:space="preserve"> December </w:t>
            </w:r>
            <w:r w:rsidRPr="00B17403">
              <w:rPr>
                <w:szCs w:val="20"/>
              </w:rPr>
              <w:t>2020</w:t>
            </w:r>
          </w:p>
          <w:p w14:paraId="4052043B" w14:textId="77777777" w:rsidR="00B17403" w:rsidRPr="00E44974" w:rsidRDefault="00B17403" w:rsidP="00B17403">
            <w:pPr>
              <w:bidi w:val="0"/>
            </w:pPr>
            <w:r>
              <w:t>Arabic</w:t>
            </w:r>
          </w:p>
          <w:p w14:paraId="2579298C" w14:textId="77777777" w:rsidR="00EC3F02" w:rsidRPr="00EC3F02" w:rsidRDefault="00B17403" w:rsidP="00B17403">
            <w:pPr>
              <w:bidi w:val="0"/>
              <w:spacing w:line="240" w:lineRule="exact"/>
              <w:jc w:val="left"/>
              <w:rPr>
                <w:szCs w:val="20"/>
              </w:rPr>
            </w:pPr>
            <w:r w:rsidRPr="00E44974">
              <w:t>Original: English</w:t>
            </w:r>
          </w:p>
        </w:tc>
      </w:tr>
    </w:tbl>
    <w:p w14:paraId="6D5F129A" w14:textId="77777777" w:rsidR="00B17403" w:rsidRPr="007E4D29" w:rsidRDefault="00B17403" w:rsidP="00B17403">
      <w:pPr>
        <w:spacing w:before="120" w:line="360" w:lineRule="exact"/>
        <w:textDirection w:val="tbRlV"/>
        <w:rPr>
          <w:rFonts w:eastAsiaTheme="minorEastAsia"/>
          <w:b/>
          <w:bCs/>
          <w:sz w:val="34"/>
          <w:szCs w:val="34"/>
          <w:lang w:val="ar-SA" w:eastAsia="zh-TW" w:bidi="en-GB"/>
        </w:rPr>
      </w:pPr>
      <w:r w:rsidRPr="007E4D29">
        <w:rPr>
          <w:rFonts w:eastAsiaTheme="minorEastAsia"/>
          <w:b/>
          <w:bCs/>
          <w:sz w:val="34"/>
          <w:szCs w:val="34"/>
          <w:rtl/>
        </w:rPr>
        <w:t>‎‎اللجنة المعنية بالحقوق الاقتصا</w:t>
      </w:r>
      <w:bookmarkStart w:id="0" w:name="_GoBack"/>
      <w:bookmarkEnd w:id="0"/>
      <w:r w:rsidRPr="007E4D29">
        <w:rPr>
          <w:rFonts w:eastAsiaTheme="minorEastAsia"/>
          <w:b/>
          <w:bCs/>
          <w:sz w:val="34"/>
          <w:szCs w:val="34"/>
          <w:rtl/>
        </w:rPr>
        <w:t>دية والاجتماعية والثقافية‏‏</w:t>
      </w:r>
    </w:p>
    <w:p w14:paraId="73598186" w14:textId="77777777" w:rsidR="00B17403" w:rsidRPr="007E4D29" w:rsidRDefault="00B17403" w:rsidP="00B17403">
      <w:pPr>
        <w:pStyle w:val="HChGA"/>
        <w:rPr>
          <w:rFonts w:eastAsiaTheme="minorEastAsia"/>
          <w:lang w:val="ar-SA" w:eastAsia="zh-TW" w:bidi="en-GB"/>
        </w:rPr>
      </w:pPr>
      <w:r w:rsidRPr="007E4D29">
        <w:rPr>
          <w:rFonts w:eastAsiaTheme="minorEastAsia"/>
          <w:rtl/>
        </w:rPr>
        <w:tab/>
      </w:r>
      <w:r w:rsidRPr="007E4D29">
        <w:rPr>
          <w:rFonts w:eastAsiaTheme="minorEastAsia"/>
          <w:rtl/>
        </w:rPr>
        <w:tab/>
        <w:t>بيان بشأن توفير لقاحات مضادة لمرض فيروس كورونا (</w:t>
      </w:r>
      <w:proofErr w:type="spellStart"/>
      <w:r w:rsidRPr="007E4D29">
        <w:rPr>
          <w:rFonts w:eastAsiaTheme="minorEastAsia"/>
          <w:rtl/>
        </w:rPr>
        <w:t>كوفيد</w:t>
      </w:r>
      <w:proofErr w:type="spellEnd"/>
      <w:r w:rsidRPr="007E4D29">
        <w:rPr>
          <w:rFonts w:eastAsiaTheme="minorEastAsia"/>
          <w:rtl/>
        </w:rPr>
        <w:t>-</w:t>
      </w:r>
      <w:r w:rsidRPr="007E4D29">
        <w:rPr>
          <w:rFonts w:eastAsiaTheme="minorEastAsia"/>
          <w:szCs w:val="28"/>
          <w:rtl/>
        </w:rPr>
        <w:t>19</w:t>
      </w:r>
      <w:r w:rsidRPr="007E4D29">
        <w:rPr>
          <w:rFonts w:eastAsiaTheme="minorEastAsia"/>
          <w:rtl/>
        </w:rPr>
        <w:t xml:space="preserve">) للجميع على قدم المساواة </w:t>
      </w:r>
    </w:p>
    <w:p w14:paraId="4BCADAF4" w14:textId="77777777" w:rsidR="00B17403" w:rsidRPr="007E4D29" w:rsidRDefault="00B17403" w:rsidP="00B17403">
      <w:pPr>
        <w:pStyle w:val="H1GA"/>
        <w:rPr>
          <w:rFonts w:eastAsiaTheme="minorEastAsia"/>
          <w:lang w:val="ar-SA" w:eastAsia="zh-TW" w:bidi="en-GB"/>
        </w:rPr>
      </w:pPr>
      <w:r w:rsidRPr="007E4D29">
        <w:rPr>
          <w:rFonts w:eastAsiaTheme="minorEastAsia"/>
          <w:rtl/>
        </w:rPr>
        <w:tab/>
      </w:r>
      <w:r w:rsidRPr="007E4D29">
        <w:rPr>
          <w:rFonts w:eastAsiaTheme="minorEastAsia"/>
          <w:rtl/>
        </w:rPr>
        <w:tab/>
        <w:t>بيان من اللجنة المعنية بالحقوق الاقتصادية والاجتماعية والثقافية</w:t>
      </w:r>
      <w:r w:rsidRPr="007E4D29">
        <w:rPr>
          <w:rStyle w:val="FootnoteReference"/>
          <w:rFonts w:ascii="Traditional Arabic" w:eastAsiaTheme="minorEastAsia" w:hAnsi="Traditional Arabic"/>
          <w:b/>
          <w:sz w:val="34"/>
        </w:rPr>
        <w:footnoteReference w:customMarkFollows="1" w:id="1"/>
        <w:t>*</w:t>
      </w:r>
    </w:p>
    <w:p w14:paraId="403EA46C" w14:textId="77777777" w:rsidR="00B17403" w:rsidRPr="007E4D29" w:rsidRDefault="00B17403" w:rsidP="00B17403">
      <w:pPr>
        <w:pStyle w:val="SingleTxtGA"/>
        <w:rPr>
          <w:rFonts w:eastAsiaTheme="minorEastAsia" w:hint="cs"/>
          <w:rtl/>
          <w:lang w:eastAsia="zh-TW"/>
        </w:rPr>
      </w:pPr>
      <w:r w:rsidRPr="007E4D29">
        <w:rPr>
          <w:rFonts w:eastAsiaTheme="minorEastAsia" w:hint="cs"/>
          <w:szCs w:val="20"/>
          <w:rtl/>
        </w:rPr>
        <w:t>1</w:t>
      </w:r>
      <w:r w:rsidRPr="007E4D29">
        <w:rPr>
          <w:rFonts w:eastAsiaTheme="minorEastAsia" w:hint="cs"/>
          <w:rtl/>
        </w:rPr>
        <w:t>-</w:t>
      </w:r>
      <w:r w:rsidRPr="007E4D29">
        <w:rPr>
          <w:rFonts w:eastAsiaTheme="minorEastAsia"/>
          <w:rtl/>
        </w:rPr>
        <w:tab/>
      </w:r>
      <w:r w:rsidRPr="007E4D29">
        <w:rPr>
          <w:rFonts w:eastAsiaTheme="minorEastAsia"/>
          <w:rtl/>
        </w:rPr>
        <w:t>من المتوقع أن يؤدي لقاح مأمون وناجع إلى الحد من المخاطر الصحية والحياتية التي يطرحها مرض فيروس كورونا (</w:t>
      </w:r>
      <w:proofErr w:type="spellStart"/>
      <w:r w:rsidRPr="007E4D29">
        <w:rPr>
          <w:rFonts w:eastAsiaTheme="minorEastAsia"/>
          <w:rtl/>
        </w:rPr>
        <w:t>كوفيد</w:t>
      </w:r>
      <w:proofErr w:type="spellEnd"/>
      <w:r w:rsidRPr="007E4D29">
        <w:rPr>
          <w:rFonts w:eastAsiaTheme="minorEastAsia"/>
          <w:rtl/>
        </w:rPr>
        <w:t>-</w:t>
      </w:r>
      <w:r w:rsidRPr="007E4D29">
        <w:rPr>
          <w:rFonts w:eastAsiaTheme="minorEastAsia"/>
          <w:szCs w:val="20"/>
          <w:rtl/>
        </w:rPr>
        <w:t>19</w:t>
      </w:r>
      <w:r w:rsidRPr="007E4D29">
        <w:rPr>
          <w:rFonts w:eastAsiaTheme="minorEastAsia"/>
          <w:rtl/>
        </w:rPr>
        <w:t>)، مع السماح في الوقت نفسه برفع بعض التدابير التقييدية التي كانت ضرورية لمكافحة انتشار الفيروس. وسيساعد أيضا</w:t>
      </w:r>
      <w:r w:rsidR="007E4D29" w:rsidRPr="007E4D29">
        <w:rPr>
          <w:rFonts w:eastAsiaTheme="minorEastAsia" w:hint="cs"/>
          <w:rtl/>
        </w:rPr>
        <w:t>ً</w:t>
      </w:r>
      <w:r w:rsidRPr="007E4D29">
        <w:rPr>
          <w:rFonts w:eastAsiaTheme="minorEastAsia"/>
          <w:rtl/>
        </w:rPr>
        <w:t xml:space="preserve"> على التعافي من الأثر السلبي الخطير الذي أحدثته هذه التدابير على تمتع السكان، ولا سيما أشدّهم حرماناً وتهميشاً، بالحقوق الاقتصادية والاجتماعية والثقافية. ولهذا السبب، من المهم والمشجع أن تُنشر أنباء للعالم عن إمكانية إقرار السلطات الصحية قريباً لقاحات عدة مضادة </w:t>
      </w:r>
      <w:proofErr w:type="spellStart"/>
      <w:r w:rsidRPr="007E4D29">
        <w:rPr>
          <w:rFonts w:eastAsiaTheme="minorEastAsia"/>
          <w:rtl/>
        </w:rPr>
        <w:t>لكوفيد</w:t>
      </w:r>
      <w:proofErr w:type="spellEnd"/>
      <w:r w:rsidRPr="007E4D29">
        <w:rPr>
          <w:rFonts w:eastAsiaTheme="minorEastAsia"/>
          <w:rtl/>
        </w:rPr>
        <w:t>-</w:t>
      </w:r>
      <w:r w:rsidRPr="007E4D29">
        <w:rPr>
          <w:rFonts w:eastAsiaTheme="minorEastAsia"/>
          <w:szCs w:val="20"/>
          <w:rtl/>
        </w:rPr>
        <w:t>19</w:t>
      </w:r>
      <w:r w:rsidRPr="007E4D29">
        <w:rPr>
          <w:rFonts w:eastAsiaTheme="minorEastAsia"/>
          <w:rtl/>
        </w:rPr>
        <w:t xml:space="preserve">، بعد اتباع وثائق التوجيه التقني ذات الصلة الصادرة عن منظمة الصحة العالمية بشأن لقاحات </w:t>
      </w:r>
      <w:proofErr w:type="spellStart"/>
      <w:r w:rsidRPr="007E4D29">
        <w:rPr>
          <w:rFonts w:eastAsiaTheme="minorEastAsia"/>
          <w:rtl/>
        </w:rPr>
        <w:t>كوفيد</w:t>
      </w:r>
      <w:proofErr w:type="spellEnd"/>
      <w:r w:rsidRPr="007E4D29">
        <w:rPr>
          <w:rFonts w:eastAsiaTheme="minorEastAsia"/>
          <w:rtl/>
        </w:rPr>
        <w:t>-</w:t>
      </w:r>
      <w:r w:rsidRPr="007E4D29">
        <w:rPr>
          <w:rFonts w:eastAsiaTheme="minorEastAsia"/>
          <w:szCs w:val="20"/>
          <w:rtl/>
        </w:rPr>
        <w:t>19</w:t>
      </w:r>
      <w:r w:rsidRPr="007E4D29">
        <w:rPr>
          <w:rFonts w:eastAsiaTheme="minorEastAsia"/>
          <w:rtl/>
        </w:rPr>
        <w:t xml:space="preserve"> ومواد بيولوجية أخرى لضمان سلامتها </w:t>
      </w:r>
      <w:proofErr w:type="spellStart"/>
      <w:r w:rsidRPr="007E4D29">
        <w:rPr>
          <w:rFonts w:eastAsiaTheme="minorEastAsia"/>
          <w:rtl/>
        </w:rPr>
        <w:t>ونجاعتها</w:t>
      </w:r>
      <w:proofErr w:type="spellEnd"/>
      <w:r w:rsidRPr="007E4D29">
        <w:rPr>
          <w:rFonts w:eastAsiaTheme="minorEastAsia" w:hint="cs"/>
          <w:sz w:val="28"/>
          <w:vertAlign w:val="superscript"/>
          <w:rtl/>
        </w:rPr>
        <w:t>(</w:t>
      </w:r>
      <w:r w:rsidRPr="007E4D29">
        <w:rPr>
          <w:rStyle w:val="FootnoteReference"/>
          <w:rFonts w:ascii="Times New Roman" w:eastAsiaTheme="minorEastAsia" w:hAnsi="Times New Roman" w:cs="Times New Roman"/>
          <w:b w:val="0"/>
          <w:position w:val="4"/>
          <w:sz w:val="20"/>
        </w:rPr>
        <w:footnoteReference w:id="2"/>
      </w:r>
      <w:r w:rsidRPr="007E4D29">
        <w:rPr>
          <w:rFonts w:eastAsiaTheme="minorEastAsia" w:hint="cs"/>
          <w:vertAlign w:val="superscript"/>
          <w:rtl/>
        </w:rPr>
        <w:t>)</w:t>
      </w:r>
      <w:r w:rsidRPr="007E4D29">
        <w:rPr>
          <w:rFonts w:eastAsiaTheme="minorEastAsia" w:hint="cs"/>
          <w:rtl/>
        </w:rPr>
        <w:t>. و</w:t>
      </w:r>
      <w:r w:rsidRPr="007E4D29">
        <w:rPr>
          <w:rFonts w:eastAsiaTheme="minorEastAsia"/>
          <w:rtl/>
        </w:rPr>
        <w:t xml:space="preserve">في هذا السياق، ترى اللجنة أن من الضروري تذكير الدول الأطراف بالتزامها بموجب العهد في هذا المجال، قصد تجنب التمييز وعدم المساواة غير المبررين في الحصول على لقاحات </w:t>
      </w:r>
      <w:proofErr w:type="spellStart"/>
      <w:r w:rsidRPr="007E4D29">
        <w:rPr>
          <w:rFonts w:eastAsiaTheme="minorEastAsia"/>
          <w:rtl/>
        </w:rPr>
        <w:t>كوفيد</w:t>
      </w:r>
      <w:proofErr w:type="spellEnd"/>
      <w:r w:rsidRPr="007E4D29">
        <w:rPr>
          <w:rFonts w:eastAsiaTheme="minorEastAsia"/>
          <w:rtl/>
        </w:rPr>
        <w:t>-</w:t>
      </w:r>
      <w:r w:rsidRPr="007E4D29">
        <w:rPr>
          <w:rFonts w:eastAsiaTheme="minorEastAsia"/>
          <w:szCs w:val="20"/>
          <w:rtl/>
        </w:rPr>
        <w:t>19</w:t>
      </w:r>
      <w:r w:rsidRPr="007E4D29">
        <w:rPr>
          <w:rFonts w:eastAsiaTheme="minorEastAsia"/>
          <w:sz w:val="28"/>
          <w:vertAlign w:val="superscript"/>
          <w:rtl/>
        </w:rPr>
        <w:t>(</w:t>
      </w:r>
      <w:r w:rsidRPr="007E4D29">
        <w:rPr>
          <w:rFonts w:eastAsiaTheme="minorEastAsia" w:cs="Times New Roman"/>
          <w:position w:val="4"/>
          <w:vertAlign w:val="superscript"/>
        </w:rPr>
        <w:footnoteReference w:id="3"/>
      </w:r>
      <w:r w:rsidRPr="007E4D29">
        <w:rPr>
          <w:rFonts w:eastAsiaTheme="minorEastAsia"/>
          <w:sz w:val="28"/>
          <w:vertAlign w:val="superscript"/>
          <w:rtl/>
        </w:rPr>
        <w:t>)</w:t>
      </w:r>
      <w:r w:rsidRPr="007E4D29">
        <w:rPr>
          <w:rFonts w:eastAsiaTheme="minorEastAsia" w:hint="cs"/>
          <w:rtl/>
          <w:lang w:eastAsia="zh-TW"/>
        </w:rPr>
        <w:t>.</w:t>
      </w:r>
    </w:p>
    <w:p w14:paraId="3E369EA6" w14:textId="77777777" w:rsidR="00B17403" w:rsidRPr="007E4D29" w:rsidRDefault="00B17403" w:rsidP="00B17403">
      <w:pPr>
        <w:pStyle w:val="SingleTxtGA"/>
        <w:rPr>
          <w:rFonts w:eastAsiaTheme="minorEastAsia"/>
          <w:lang w:val="ar-SA" w:eastAsia="zh-TW" w:bidi="en-GB"/>
        </w:rPr>
      </w:pPr>
      <w:r w:rsidRPr="007E4D29">
        <w:rPr>
          <w:rFonts w:eastAsiaTheme="minorEastAsia" w:hint="cs"/>
          <w:szCs w:val="20"/>
          <w:rtl/>
        </w:rPr>
        <w:t>2</w:t>
      </w:r>
      <w:r w:rsidRPr="007E4D29">
        <w:rPr>
          <w:rFonts w:eastAsiaTheme="minorEastAsia" w:hint="cs"/>
          <w:rtl/>
        </w:rPr>
        <w:t>-</w:t>
      </w:r>
      <w:r w:rsidRPr="007E4D29">
        <w:rPr>
          <w:rFonts w:eastAsiaTheme="minorEastAsia"/>
          <w:rtl/>
        </w:rPr>
        <w:tab/>
      </w:r>
      <w:r w:rsidRPr="007E4D29">
        <w:rPr>
          <w:rFonts w:eastAsiaTheme="minorEastAsia"/>
          <w:rtl/>
        </w:rPr>
        <w:t>ولكل شخص الحق في التمتع بأعلى مستوى من الصحة البدنية والعقلية يمكن بلوغه</w:t>
      </w:r>
      <w:r w:rsidRPr="007E4D29">
        <w:rPr>
          <w:rFonts w:eastAsiaTheme="minorEastAsia"/>
          <w:sz w:val="28"/>
          <w:vertAlign w:val="superscript"/>
          <w:rtl/>
        </w:rPr>
        <w:t>(</w:t>
      </w:r>
      <w:r w:rsidRPr="007E4D29">
        <w:rPr>
          <w:rFonts w:eastAsiaTheme="minorEastAsia" w:cs="Times New Roman"/>
          <w:position w:val="4"/>
          <w:vertAlign w:val="superscript"/>
        </w:rPr>
        <w:footnoteReference w:id="4"/>
      </w:r>
      <w:r w:rsidRPr="007E4D29">
        <w:rPr>
          <w:rFonts w:eastAsiaTheme="minorEastAsia"/>
          <w:sz w:val="28"/>
          <w:vertAlign w:val="superscript"/>
          <w:rtl/>
        </w:rPr>
        <w:t>)</w:t>
      </w:r>
      <w:r w:rsidRPr="007E4D29">
        <w:rPr>
          <w:rFonts w:eastAsiaTheme="minorEastAsia"/>
          <w:rtl/>
        </w:rPr>
        <w:t>، بما</w:t>
      </w:r>
      <w:r w:rsidR="007E4D29">
        <w:rPr>
          <w:rFonts w:eastAsiaTheme="minorEastAsia" w:hint="cs"/>
          <w:rtl/>
        </w:rPr>
        <w:t> </w:t>
      </w:r>
      <w:r w:rsidRPr="007E4D29">
        <w:rPr>
          <w:rFonts w:eastAsiaTheme="minorEastAsia"/>
          <w:rtl/>
        </w:rPr>
        <w:t>في ذلك الاستفادة من برامج التحصين من الأمراض المعدية الرئيسَة</w:t>
      </w:r>
      <w:r w:rsidRPr="007E4D29">
        <w:rPr>
          <w:rFonts w:eastAsiaTheme="minorEastAsia"/>
          <w:sz w:val="28"/>
          <w:vertAlign w:val="superscript"/>
          <w:rtl/>
        </w:rPr>
        <w:t>(</w:t>
      </w:r>
      <w:r w:rsidRPr="007E4D29">
        <w:rPr>
          <w:rFonts w:eastAsiaTheme="minorEastAsia" w:cs="Times New Roman"/>
          <w:position w:val="4"/>
          <w:vertAlign w:val="superscript"/>
        </w:rPr>
        <w:footnoteReference w:id="5"/>
      </w:r>
      <w:r w:rsidRPr="007E4D29">
        <w:rPr>
          <w:rFonts w:eastAsiaTheme="minorEastAsia"/>
          <w:sz w:val="28"/>
          <w:vertAlign w:val="superscript"/>
          <w:rtl/>
        </w:rPr>
        <w:t>)</w:t>
      </w:r>
      <w:r w:rsidRPr="007E4D29">
        <w:rPr>
          <w:rFonts w:eastAsiaTheme="minorEastAsia" w:hint="cs"/>
          <w:rtl/>
        </w:rPr>
        <w:t xml:space="preserve">. </w:t>
      </w:r>
      <w:r w:rsidRPr="007E4D29">
        <w:rPr>
          <w:rFonts w:eastAsiaTheme="minorEastAsia"/>
          <w:rtl/>
        </w:rPr>
        <w:t>ولكل شخص أيضاً الحق في التمتع بمنافع التقدم العلمي</w:t>
      </w:r>
      <w:r w:rsidRPr="007E4D29">
        <w:rPr>
          <w:rFonts w:eastAsiaTheme="minorEastAsia"/>
          <w:sz w:val="28"/>
          <w:vertAlign w:val="superscript"/>
          <w:rtl/>
        </w:rPr>
        <w:t>(</w:t>
      </w:r>
      <w:r w:rsidRPr="007E4D29">
        <w:rPr>
          <w:rFonts w:eastAsiaTheme="minorEastAsia" w:cs="Times New Roman"/>
          <w:position w:val="4"/>
          <w:vertAlign w:val="superscript"/>
        </w:rPr>
        <w:footnoteReference w:id="6"/>
      </w:r>
      <w:r w:rsidRPr="007E4D29">
        <w:rPr>
          <w:rFonts w:eastAsiaTheme="minorEastAsia"/>
          <w:sz w:val="28"/>
          <w:vertAlign w:val="superscript"/>
          <w:rtl/>
        </w:rPr>
        <w:t>)</w:t>
      </w:r>
      <w:r w:rsidRPr="007E4D29">
        <w:rPr>
          <w:rFonts w:eastAsiaTheme="minorEastAsia"/>
          <w:rtl/>
        </w:rPr>
        <w:t>، مما يشمل الحصول على أفضل التطبيقات المتاحة للتقدم العلمي اللازمة للتمتع بأعلى مستوى من الصحة يمكن بلوغه</w:t>
      </w:r>
      <w:r w:rsidRPr="007E4D29">
        <w:rPr>
          <w:rFonts w:eastAsiaTheme="minorEastAsia"/>
          <w:sz w:val="28"/>
          <w:vertAlign w:val="superscript"/>
          <w:rtl/>
        </w:rPr>
        <w:t>(</w:t>
      </w:r>
      <w:r w:rsidRPr="007E4D29">
        <w:rPr>
          <w:rFonts w:eastAsiaTheme="minorEastAsia" w:cs="Times New Roman"/>
          <w:position w:val="4"/>
          <w:vertAlign w:val="superscript"/>
        </w:rPr>
        <w:footnoteReference w:id="7"/>
      </w:r>
      <w:r w:rsidRPr="007E4D29">
        <w:rPr>
          <w:rFonts w:eastAsiaTheme="minorEastAsia"/>
          <w:sz w:val="28"/>
          <w:vertAlign w:val="superscript"/>
          <w:rtl/>
        </w:rPr>
        <w:t>)</w:t>
      </w:r>
      <w:r w:rsidR="007E4D29" w:rsidRPr="007E4D29">
        <w:rPr>
          <w:rFonts w:eastAsiaTheme="minorEastAsia" w:hint="cs"/>
          <w:rtl/>
        </w:rPr>
        <w:t xml:space="preserve">. </w:t>
      </w:r>
      <w:r w:rsidRPr="007E4D29">
        <w:rPr>
          <w:rFonts w:eastAsiaTheme="minorEastAsia"/>
          <w:rtl/>
        </w:rPr>
        <w:t xml:space="preserve">وكلا الحقين يعنيان أن لكل شخص الحق في الحصول على لقاح </w:t>
      </w:r>
      <w:proofErr w:type="spellStart"/>
      <w:r w:rsidRPr="007E4D29">
        <w:rPr>
          <w:rFonts w:eastAsiaTheme="minorEastAsia"/>
          <w:rtl/>
        </w:rPr>
        <w:t>لكوفيد</w:t>
      </w:r>
      <w:proofErr w:type="spellEnd"/>
      <w:r w:rsidRPr="007E4D29">
        <w:rPr>
          <w:rFonts w:eastAsiaTheme="minorEastAsia"/>
          <w:rtl/>
        </w:rPr>
        <w:t>-</w:t>
      </w:r>
      <w:r w:rsidRPr="007E4D29">
        <w:rPr>
          <w:rFonts w:eastAsiaTheme="minorEastAsia"/>
          <w:szCs w:val="20"/>
          <w:rtl/>
        </w:rPr>
        <w:t>19</w:t>
      </w:r>
      <w:r w:rsidRPr="007E4D29">
        <w:rPr>
          <w:rFonts w:eastAsiaTheme="minorEastAsia"/>
          <w:rtl/>
        </w:rPr>
        <w:t xml:space="preserve"> يكون مأموناً وناجعاً وقائماً على تطبيق أفضل التطورات العلمية. </w:t>
      </w:r>
    </w:p>
    <w:p w14:paraId="507110DC" w14:textId="77777777" w:rsidR="00B17403" w:rsidRPr="001852C7" w:rsidRDefault="001852C7" w:rsidP="00B17403">
      <w:pPr>
        <w:pStyle w:val="SingleTxtGA"/>
        <w:rPr>
          <w:rFonts w:eastAsiaTheme="minorEastAsia"/>
          <w:spacing w:val="-4"/>
          <w:lang w:eastAsia="zh-TW" w:bidi="en-GB"/>
        </w:rPr>
      </w:pPr>
      <w:r w:rsidRPr="001852C7">
        <w:rPr>
          <w:rFonts w:eastAsiaTheme="minorEastAsia" w:hint="cs"/>
          <w:spacing w:val="-4"/>
          <w:sz w:val="12"/>
          <w:szCs w:val="20"/>
          <w:rtl/>
        </w:rPr>
        <w:lastRenderedPageBreak/>
        <w:t>3</w:t>
      </w:r>
      <w:r w:rsidRPr="001852C7">
        <w:rPr>
          <w:rFonts w:eastAsiaTheme="minorEastAsia" w:hint="cs"/>
          <w:spacing w:val="-4"/>
          <w:rtl/>
        </w:rPr>
        <w:t>-</w:t>
      </w:r>
      <w:r w:rsidRPr="001852C7">
        <w:rPr>
          <w:rFonts w:eastAsiaTheme="minorEastAsia"/>
          <w:spacing w:val="-4"/>
          <w:rtl/>
        </w:rPr>
        <w:tab/>
      </w:r>
      <w:r w:rsidR="00B17403" w:rsidRPr="001852C7">
        <w:rPr>
          <w:rFonts w:eastAsiaTheme="minorEastAsia"/>
          <w:spacing w:val="-4"/>
          <w:rtl/>
        </w:rPr>
        <w:t xml:space="preserve">وعلى الدول التزام باتخاذ جميع التدابير اللازمة، بأقصى ما هو متاح من موارد، لضمان حصول جميع الأشخاص، دون تمييز، على لقاحات </w:t>
      </w:r>
      <w:proofErr w:type="spellStart"/>
      <w:r w:rsidR="00B17403" w:rsidRPr="001852C7">
        <w:rPr>
          <w:rFonts w:eastAsiaTheme="minorEastAsia"/>
          <w:spacing w:val="-4"/>
          <w:rtl/>
        </w:rPr>
        <w:t>لكوفيد</w:t>
      </w:r>
      <w:proofErr w:type="spellEnd"/>
      <w:r w:rsidR="00B17403" w:rsidRPr="001852C7">
        <w:rPr>
          <w:rFonts w:eastAsiaTheme="minorEastAsia"/>
          <w:spacing w:val="-4"/>
          <w:rtl/>
        </w:rPr>
        <w:t>-</w:t>
      </w:r>
      <w:r w:rsidR="00B17403" w:rsidRPr="001852C7">
        <w:rPr>
          <w:rFonts w:eastAsiaTheme="minorEastAsia"/>
          <w:spacing w:val="-4"/>
          <w:szCs w:val="20"/>
          <w:rtl/>
        </w:rPr>
        <w:t>19</w:t>
      </w:r>
      <w:r w:rsidR="00B17403" w:rsidRPr="001852C7">
        <w:rPr>
          <w:rFonts w:eastAsiaTheme="minorEastAsia"/>
          <w:spacing w:val="-4"/>
          <w:sz w:val="28"/>
          <w:vertAlign w:val="superscript"/>
          <w:rtl/>
        </w:rPr>
        <w:t>(</w:t>
      </w:r>
      <w:r w:rsidR="00B17403" w:rsidRPr="001852C7">
        <w:rPr>
          <w:rFonts w:eastAsiaTheme="minorEastAsia" w:cs="Times New Roman"/>
          <w:spacing w:val="-4"/>
          <w:position w:val="4"/>
          <w:vertAlign w:val="superscript"/>
        </w:rPr>
        <w:footnoteReference w:id="8"/>
      </w:r>
      <w:r w:rsidR="00B17403" w:rsidRPr="001852C7">
        <w:rPr>
          <w:rFonts w:eastAsiaTheme="minorEastAsia"/>
          <w:spacing w:val="-4"/>
          <w:sz w:val="28"/>
          <w:vertAlign w:val="superscript"/>
          <w:rtl/>
        </w:rPr>
        <w:t>)</w:t>
      </w:r>
      <w:r w:rsidR="00B17403" w:rsidRPr="001852C7">
        <w:rPr>
          <w:rFonts w:eastAsiaTheme="minorEastAsia" w:hint="cs"/>
          <w:spacing w:val="-4"/>
          <w:rtl/>
        </w:rPr>
        <w:t xml:space="preserve">. </w:t>
      </w:r>
      <w:r w:rsidR="00B17403" w:rsidRPr="001852C7">
        <w:rPr>
          <w:rFonts w:eastAsiaTheme="minorEastAsia"/>
          <w:spacing w:val="-4"/>
          <w:rtl/>
        </w:rPr>
        <w:t>وواجب الدول في توفير التحصين من الأمراض المعدية الرئيسَة والوقاية من الأوبئة ومكافحتها التزام ذو أولوية فيما يتعلق بالحق في الصحة</w:t>
      </w:r>
      <w:r w:rsidR="00B17403" w:rsidRPr="001852C7">
        <w:rPr>
          <w:rFonts w:eastAsiaTheme="minorEastAsia"/>
          <w:spacing w:val="-4"/>
          <w:sz w:val="28"/>
          <w:vertAlign w:val="superscript"/>
          <w:rtl/>
        </w:rPr>
        <w:t>(</w:t>
      </w:r>
      <w:r w:rsidR="00B17403" w:rsidRPr="001852C7">
        <w:rPr>
          <w:rFonts w:eastAsiaTheme="minorEastAsia" w:cs="Times New Roman"/>
          <w:spacing w:val="-4"/>
          <w:position w:val="4"/>
          <w:vertAlign w:val="superscript"/>
        </w:rPr>
        <w:footnoteReference w:id="9"/>
      </w:r>
      <w:r w:rsidR="00B17403" w:rsidRPr="001852C7">
        <w:rPr>
          <w:rFonts w:eastAsiaTheme="minorEastAsia"/>
          <w:spacing w:val="-4"/>
          <w:sz w:val="28"/>
          <w:vertAlign w:val="superscript"/>
          <w:rtl/>
        </w:rPr>
        <w:t>)</w:t>
      </w:r>
      <w:r w:rsidR="00B17403" w:rsidRPr="001852C7">
        <w:rPr>
          <w:rFonts w:eastAsiaTheme="minorEastAsia" w:hint="cs"/>
          <w:spacing w:val="-4"/>
          <w:rtl/>
        </w:rPr>
        <w:t xml:space="preserve">. </w:t>
      </w:r>
      <w:r w:rsidR="00B17403" w:rsidRPr="001852C7">
        <w:rPr>
          <w:rFonts w:eastAsiaTheme="minorEastAsia"/>
          <w:spacing w:val="-4"/>
          <w:rtl/>
        </w:rPr>
        <w:t xml:space="preserve">وعلى الدول، في الظروف الراهنة، أن تعطي الأولوية القصوى لتوفير لقاحات مضادة </w:t>
      </w:r>
      <w:proofErr w:type="spellStart"/>
      <w:r w:rsidR="00B17403" w:rsidRPr="001852C7">
        <w:rPr>
          <w:rFonts w:eastAsiaTheme="minorEastAsia"/>
          <w:spacing w:val="-4"/>
          <w:rtl/>
        </w:rPr>
        <w:t>لكوفيد</w:t>
      </w:r>
      <w:proofErr w:type="spellEnd"/>
      <w:r w:rsidR="00B17403" w:rsidRPr="001852C7">
        <w:rPr>
          <w:rFonts w:eastAsiaTheme="minorEastAsia"/>
          <w:spacing w:val="-4"/>
          <w:rtl/>
        </w:rPr>
        <w:t>-</w:t>
      </w:r>
      <w:r w:rsidR="00B17403" w:rsidRPr="001852C7">
        <w:rPr>
          <w:rFonts w:eastAsiaTheme="minorEastAsia"/>
          <w:spacing w:val="-4"/>
          <w:szCs w:val="20"/>
          <w:rtl/>
        </w:rPr>
        <w:t>19</w:t>
      </w:r>
      <w:r w:rsidR="00B17403" w:rsidRPr="001852C7">
        <w:rPr>
          <w:rFonts w:eastAsiaTheme="minorEastAsia"/>
          <w:spacing w:val="-4"/>
          <w:rtl/>
        </w:rPr>
        <w:t xml:space="preserve"> لجميع الناس. </w:t>
      </w:r>
    </w:p>
    <w:p w14:paraId="1CA09780" w14:textId="77777777" w:rsidR="00B17403" w:rsidRPr="007E4D29" w:rsidRDefault="001852C7" w:rsidP="00B17403">
      <w:pPr>
        <w:pStyle w:val="SingleTxtGA"/>
        <w:rPr>
          <w:rFonts w:eastAsiaTheme="minorEastAsia"/>
          <w:lang w:val="ar-SA" w:eastAsia="zh-TW" w:bidi="en-GB"/>
        </w:rPr>
      </w:pPr>
      <w:r>
        <w:rPr>
          <w:rFonts w:eastAsiaTheme="minorEastAsia" w:hint="cs"/>
          <w:szCs w:val="20"/>
          <w:rtl/>
        </w:rPr>
        <w:t>4</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ويقتضي الحق في الصحة من الدول أن تجعل المرافق والخدمات والسلع الصحية، بما فيها اللقاحات، متاحة وميسورة ومقبولة وذات نوعية جيدة</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0"/>
      </w:r>
      <w:r w:rsidR="00B17403" w:rsidRPr="007E4D29">
        <w:rPr>
          <w:rFonts w:eastAsiaTheme="minorEastAsia"/>
          <w:sz w:val="28"/>
          <w:vertAlign w:val="superscript"/>
          <w:rtl/>
        </w:rPr>
        <w:t>)</w:t>
      </w:r>
      <w:r w:rsidR="00B17403" w:rsidRPr="007E4D29">
        <w:rPr>
          <w:rFonts w:eastAsiaTheme="minorEastAsia"/>
          <w:rtl/>
        </w:rPr>
        <w:t xml:space="preserve">. فلقاحات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يجب عدم الاكتفاء بإنتاجها وإتاحتها، بل يجب تَجاوز ذلك إلى تيسير حصول جميع الناس عليها. ولضمان الحصول على لقاحات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يجب على الدول، أولاً، أن تقضي على أي تمييز قائم على أسباب من قبيل الدين، أو الأصل القومي، أو الجنس، أو الميل الجنسي والهوية الجنسانية، أو العرق والهوية الإثنية، أو السن، أو الإعاقة، أو الوضع من حيث الهجرة، أو الوضع الاجتماعي، أو الفقر، أو أي وضع آخر ذي صلة؛ وثانياً، أن تضمن إمكانية الوصول المادي إلى اللقاحات، لا سيما للفئات المهمشة والأشخاص الذين يعيشون في مناطق نائية، باستخدام القنوات التي تديرها الدولة والقنوات الخاصة على السواء، وعن طريق تعزيز قدرة النظم الصحية على إيصال اللقاحات؛ وثالثا</w:t>
      </w:r>
      <w:r w:rsidR="007E4D29">
        <w:rPr>
          <w:rFonts w:eastAsiaTheme="minorEastAsia" w:hint="cs"/>
          <w:rtl/>
        </w:rPr>
        <w:t>ً</w:t>
      </w:r>
      <w:r w:rsidR="00B17403" w:rsidRPr="007E4D29">
        <w:rPr>
          <w:rFonts w:eastAsiaTheme="minorEastAsia"/>
          <w:rtl/>
        </w:rPr>
        <w:t>، أن تضمن يسر تكلفة اللقاحات على الجميع أو كونها في متناولهم اقتصاديا</w:t>
      </w:r>
      <w:r w:rsidR="007E4D29">
        <w:rPr>
          <w:rFonts w:eastAsiaTheme="minorEastAsia" w:hint="cs"/>
          <w:rtl/>
        </w:rPr>
        <w:t>ً</w:t>
      </w:r>
      <w:r w:rsidR="00B17403" w:rsidRPr="007E4D29">
        <w:rPr>
          <w:rFonts w:eastAsiaTheme="minorEastAsia"/>
          <w:rtl/>
        </w:rPr>
        <w:t>، بما في ذلك توفيرها مجانا</w:t>
      </w:r>
      <w:r w:rsidR="007E4D29">
        <w:rPr>
          <w:rFonts w:eastAsiaTheme="minorEastAsia" w:hint="cs"/>
          <w:rtl/>
        </w:rPr>
        <w:t>ً</w:t>
      </w:r>
      <w:r w:rsidR="00B17403" w:rsidRPr="007E4D29">
        <w:rPr>
          <w:rFonts w:eastAsiaTheme="minorEastAsia"/>
          <w:rtl/>
        </w:rPr>
        <w:t xml:space="preserve">، على الأقل لذوي الدخل المنخفض والفقراء؛ ورابعاً، أن تضمن الوصول إلى المعلومات ذات الصلة، خاصة من خلال نشر معلومات علمية دقيقة عن سلامة اللقاحات المختلفة </w:t>
      </w:r>
      <w:proofErr w:type="spellStart"/>
      <w:r w:rsidR="00B17403" w:rsidRPr="007E4D29">
        <w:rPr>
          <w:rFonts w:eastAsiaTheme="minorEastAsia"/>
          <w:rtl/>
        </w:rPr>
        <w:t>ونجاعتها</w:t>
      </w:r>
      <w:proofErr w:type="spellEnd"/>
      <w:r w:rsidR="00B17403" w:rsidRPr="007E4D29">
        <w:rPr>
          <w:rFonts w:eastAsiaTheme="minorEastAsia"/>
          <w:rtl/>
        </w:rPr>
        <w:t>، وتنظيم حملات عامة لحماية الناس من المعلومات الكاذبة أو المضللة أو الزائفة من الناحية العلمية المتعلقة باللقاحات التي تنتشر بسرعة على الإنترنت ووسائل التواصل الاجتماعي</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1"/>
      </w:r>
      <w:r w:rsidR="00B17403" w:rsidRPr="007E4D29">
        <w:rPr>
          <w:rFonts w:eastAsiaTheme="minorEastAsia"/>
          <w:sz w:val="28"/>
          <w:vertAlign w:val="superscript"/>
          <w:rtl/>
        </w:rPr>
        <w:t>)</w:t>
      </w:r>
      <w:r w:rsidR="00B17403" w:rsidRPr="007E4D29">
        <w:rPr>
          <w:rFonts w:eastAsiaTheme="minorEastAsia" w:cs="Times New Roman" w:hint="cs"/>
          <w:position w:val="4"/>
          <w:rtl/>
        </w:rPr>
        <w:t>.</w:t>
      </w:r>
    </w:p>
    <w:p w14:paraId="57E0B93A" w14:textId="77777777" w:rsidR="00B17403" w:rsidRPr="007E4D29" w:rsidRDefault="001852C7" w:rsidP="00B17403">
      <w:pPr>
        <w:pStyle w:val="SingleTxtGA"/>
        <w:rPr>
          <w:rFonts w:eastAsiaTheme="minorEastAsia"/>
          <w:lang w:val="ar-SA" w:eastAsia="zh-TW" w:bidi="en-GB"/>
        </w:rPr>
      </w:pPr>
      <w:r>
        <w:rPr>
          <w:rFonts w:eastAsiaTheme="minorEastAsia" w:hint="cs"/>
          <w:szCs w:val="20"/>
          <w:rtl/>
        </w:rPr>
        <w:t>5</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ومن المستحيل ضمان حصول الجميع فورا</w:t>
      </w:r>
      <w:r w:rsidR="007E4D29">
        <w:rPr>
          <w:rFonts w:eastAsiaTheme="minorEastAsia" w:hint="cs"/>
          <w:rtl/>
        </w:rPr>
        <w:t>ً</w:t>
      </w:r>
      <w:r w:rsidR="00B17403" w:rsidRPr="007E4D29">
        <w:rPr>
          <w:rFonts w:eastAsiaTheme="minorEastAsia"/>
          <w:rtl/>
        </w:rPr>
        <w:t xml:space="preserve"> على لقاح لجائحة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حتى لو أُقرت لقاحات عدة قريباً. فإنتاج اللقاحات وتوزيعها على نطاق واسع لا ينطوي على تكاليف مالية هائلة فحسب، بل أيضاً على إجراءات إدارية وصحية معقدة. ولا يمكن تجنب ترتيب الأولويات لحصول فئات محددة على اللقاحات، على الأقل في المراحل الأولية، ليس على الصعيد الوطني فحسب، بل أيضاً على الصعيد الدولي. وعملاً بالحظر العام للتمييز</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2"/>
      </w:r>
      <w:r w:rsidR="00B17403" w:rsidRPr="007E4D29">
        <w:rPr>
          <w:rFonts w:eastAsiaTheme="minorEastAsia"/>
          <w:sz w:val="28"/>
          <w:vertAlign w:val="superscript"/>
          <w:rtl/>
        </w:rPr>
        <w:t>)</w:t>
      </w:r>
      <w:r w:rsidR="00B17403" w:rsidRPr="007E4D29">
        <w:rPr>
          <w:rFonts w:eastAsiaTheme="minorEastAsia"/>
          <w:rtl/>
        </w:rPr>
        <w:t>، يجب أن يستند ترتيب الأولويات هذا إلى الاحتياجات الطبية ودواعي الصحة العامة. ووفقا</w:t>
      </w:r>
      <w:r w:rsidR="007E4D29">
        <w:rPr>
          <w:rFonts w:eastAsiaTheme="minorEastAsia" w:hint="cs"/>
          <w:rtl/>
        </w:rPr>
        <w:t>ً</w:t>
      </w:r>
      <w:r w:rsidR="00B17403" w:rsidRPr="007E4D29">
        <w:rPr>
          <w:rFonts w:eastAsiaTheme="minorEastAsia"/>
          <w:rtl/>
        </w:rPr>
        <w:t xml:space="preserve"> لهذه المعايير، يمكن إعطاء الأولوية، على سبيل المثال، للعاملين في القطاع الصحي وفي مجال الرعاية أو للأشخاص المعرضين أكثر من غيرهم لظهور أعراض صحية خطيرة إن أُصيبوا بفيروس كورونا</w:t>
      </w:r>
      <w:r w:rsidR="007C3B93">
        <w:rPr>
          <w:rFonts w:eastAsiaTheme="minorEastAsia" w:hint="cs"/>
          <w:rtl/>
        </w:rPr>
        <w:t xml:space="preserve"> </w:t>
      </w:r>
      <w:r w:rsidR="00B17403" w:rsidRPr="007E4D29">
        <w:rPr>
          <w:rFonts w:eastAsiaTheme="minorEastAsia"/>
          <w:rtl/>
        </w:rPr>
        <w:t>-</w:t>
      </w:r>
      <w:r w:rsidR="007C3B93">
        <w:rPr>
          <w:rFonts w:eastAsiaTheme="minorEastAsia" w:hint="cs"/>
          <w:rtl/>
        </w:rPr>
        <w:t xml:space="preserve"> </w:t>
      </w:r>
      <w:r w:rsidR="00B17403" w:rsidRPr="007E4D29">
        <w:rPr>
          <w:rFonts w:eastAsiaTheme="minorEastAsia"/>
          <w:rtl/>
        </w:rPr>
        <w:t>سارس-</w:t>
      </w:r>
      <w:r w:rsidR="00B17403" w:rsidRPr="007E4D29">
        <w:rPr>
          <w:rFonts w:eastAsiaTheme="minorEastAsia"/>
          <w:szCs w:val="20"/>
          <w:rtl/>
        </w:rPr>
        <w:t>2</w:t>
      </w:r>
      <w:r w:rsidR="00B17403" w:rsidRPr="007E4D29">
        <w:rPr>
          <w:rFonts w:eastAsiaTheme="minorEastAsia"/>
          <w:rtl/>
        </w:rPr>
        <w:t xml:space="preserve"> بسبب السن أو المشاكل الصحية الموجودة مسبقا</w:t>
      </w:r>
      <w:r w:rsidR="007C3B93">
        <w:rPr>
          <w:rFonts w:eastAsiaTheme="minorEastAsia" w:hint="cs"/>
          <w:rtl/>
        </w:rPr>
        <w:t>ً</w:t>
      </w:r>
      <w:r w:rsidR="00B17403" w:rsidRPr="007E4D29">
        <w:rPr>
          <w:rFonts w:eastAsiaTheme="minorEastAsia"/>
          <w:rtl/>
        </w:rPr>
        <w:t>، أو لأكثر الناس تعرضاً للفيروس وأكثرهم قابلية للإصابة به بسبب المحددات الاجتماعية للصحة، مثل الأشخاص الذين يعيشون في الأحياء العشوائية أو أشكال أخرى من المساكن المكتظة أو غير المستقرة، والأشخاص الذين يعيشون في الفقر، والشعوب الأصلية، والأقليات العرقية، والمهاجرين، واللاجئين، والمشردين، والسجناء، وغيرهم من السكان المهمشين والمحرومين. وأيّا</w:t>
      </w:r>
      <w:r w:rsidR="007C3B93">
        <w:rPr>
          <w:rFonts w:eastAsiaTheme="minorEastAsia" w:hint="cs"/>
          <w:rtl/>
        </w:rPr>
        <w:t>ً</w:t>
      </w:r>
      <w:r>
        <w:rPr>
          <w:rFonts w:eastAsiaTheme="minorEastAsia" w:hint="cs"/>
          <w:rtl/>
        </w:rPr>
        <w:t> </w:t>
      </w:r>
      <w:r w:rsidR="00B17403" w:rsidRPr="007E4D29">
        <w:rPr>
          <w:rFonts w:eastAsiaTheme="minorEastAsia"/>
          <w:rtl/>
        </w:rPr>
        <w:t xml:space="preserve">يكن الأمر، يجب أن توضع معايير ترتيب الأولويات من خلال عملية مشاورة عامة كافية، وأن تكون شفافة وخاضعة للمراقبة العامة وللمراجعة القضائية في حال وجود نزاع لتجنب التمييز. </w:t>
      </w:r>
    </w:p>
    <w:p w14:paraId="632EDAF5" w14:textId="77777777" w:rsidR="00B17403" w:rsidRPr="007E4D29" w:rsidRDefault="001852C7" w:rsidP="00B17403">
      <w:pPr>
        <w:pStyle w:val="SingleTxtGA"/>
        <w:rPr>
          <w:rFonts w:eastAsiaTheme="minorEastAsia"/>
          <w:lang w:val="ar-SA" w:eastAsia="zh-TW" w:bidi="en-GB"/>
        </w:rPr>
      </w:pPr>
      <w:r>
        <w:rPr>
          <w:rFonts w:eastAsiaTheme="minorEastAsia" w:hint="cs"/>
          <w:szCs w:val="20"/>
          <w:rtl/>
        </w:rPr>
        <w:t>6</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وصنعت شركات خاصة العديد من اللقاحات التي قد يتم إقرارها وقد تخضع لنظام الملكية الفكرية. وتتوقع هذه الشركات الحصول على ربح، ومن الإنصاف أن تحصل على تعويض معقول عن استثماراتها وأبحاثها. غير أن اللجنة تذكّر الدول الأطراف بأن الملكية الفكرية ليست حقاً من حقوق الإنسان بل هي نتاج اجتماعي ذو وظيفة اجتماعية</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3"/>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ومن واجب الدول الأطراف من ثم منع نظامَي الملكية الفكرية والبراءات القانونيَّين من تقويض التمتع بالحقوق الاقتصادية والاجتماعية والثقافية، بسل منها مثلاً جعل المنافع العامة الحيوية، مثل اللقاحات أو الأدوية، غير متاحة للبلدان النامية أو المجتمعات المحلية الفقيرة بسبب هياكل التكاليف غير المعقولة</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4"/>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وعلى هذا، كما جاء في إعلان الدوحة بشأن الاتفاق المتعلق بجوانب حقوق الملكية الفكرية المتصلة بالتجارة والصحة العامة، ينبغي تفسير نظام الملكية الفكرية وتنفيذه بطريقة تدعم واجب الدول المتمثل في "حماية الصحة العامة"</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5"/>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 xml:space="preserve">وينبغي أن تستخدم الدول الأطراف، عند الاقتضاء، جميع أوجه المرونة في الاتفاق المتعلق بجوانب حقوق الملكية الفكرية المتصلة بالتجارة، مثل الرخص الإلزامية، لضمان حصول الجميع على لقاح لجائحة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بيد أن أوجه المرونة هذه لن تكون على الأرجح كافية لمواجهة الجائحة كما يجب، لا سيما في البلدان النامية. لذلك اقترحت بعض الدول تدبيرا</w:t>
      </w:r>
      <w:r w:rsidR="007C3B93">
        <w:rPr>
          <w:rFonts w:eastAsiaTheme="minorEastAsia" w:hint="cs"/>
          <w:rtl/>
        </w:rPr>
        <w:t>ً</w:t>
      </w:r>
      <w:r w:rsidR="00B17403" w:rsidRPr="007E4D29">
        <w:rPr>
          <w:rFonts w:eastAsiaTheme="minorEastAsia"/>
          <w:rtl/>
        </w:rPr>
        <w:t xml:space="preserve"> إضافيا</w:t>
      </w:r>
      <w:r w:rsidR="007C3B93">
        <w:rPr>
          <w:rFonts w:eastAsiaTheme="minorEastAsia" w:hint="cs"/>
          <w:rtl/>
        </w:rPr>
        <w:t>ً</w:t>
      </w:r>
      <w:r w:rsidR="00B17403" w:rsidRPr="007E4D29">
        <w:rPr>
          <w:rFonts w:eastAsiaTheme="minorEastAsia"/>
          <w:rtl/>
        </w:rPr>
        <w:t xml:space="preserve"> مؤداه أن تتنازل منظمة التجارة العالمية عن بعض أحكام الاتفاق المذكور، في سياق الأزمة الصحية العالمية. وينبغي النظر في الاقتراح، الذي يدعمه عدد من الإجراءات الخاصة لمجلس حقوق الإنسان</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6"/>
      </w:r>
      <w:r w:rsidR="00B17403" w:rsidRPr="007E4D29">
        <w:rPr>
          <w:rFonts w:eastAsiaTheme="minorEastAsia"/>
          <w:sz w:val="28"/>
          <w:vertAlign w:val="superscript"/>
          <w:rtl/>
        </w:rPr>
        <w:t>)</w:t>
      </w:r>
      <w:r w:rsidR="00B17403" w:rsidRPr="007E4D29">
        <w:rPr>
          <w:rFonts w:eastAsiaTheme="minorEastAsia"/>
          <w:rtl/>
        </w:rPr>
        <w:t xml:space="preserve">، وتنفيذه من أجل تيسير الوقاية من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واحتوائه ومعالجته من خلال توافر اللقاحات بتكلفة ميسورة على الصعيد العالمي. </w:t>
      </w:r>
    </w:p>
    <w:p w14:paraId="1792D0A2" w14:textId="77777777" w:rsidR="00B17403" w:rsidRPr="007E4D29" w:rsidRDefault="001852C7" w:rsidP="00B17403">
      <w:pPr>
        <w:pStyle w:val="SingleTxtGA"/>
        <w:rPr>
          <w:rFonts w:eastAsiaTheme="minorEastAsia"/>
          <w:lang w:val="ar-SA" w:eastAsia="zh-TW" w:bidi="en-GB"/>
        </w:rPr>
      </w:pPr>
      <w:r>
        <w:rPr>
          <w:rFonts w:eastAsiaTheme="minorEastAsia" w:hint="cs"/>
          <w:szCs w:val="20"/>
          <w:rtl/>
        </w:rPr>
        <w:t>7</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وتنص المعايير الدولية على أن الكيانات التجارية، بما فيها شركات صناعة الأدوية، ملزمة، على الأقل، باحترام الحقوق المبينة في العهد الدولي الخاص بالحقوق الاقتصادية والاجتماعية والثقافية</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17"/>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 xml:space="preserve">ولذلك ينبغي لهذه الكيانات أن تحجم عن الاحتجاج بحقوق الملكية الفكرية بطريقة غير متوافقة مع حق كل شخص في الحصول على لقاح مأمون وناجع لجائحة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ومع التزام الدول بضمان حصول الجميع على هذا اللقاح بأسرع ما يمكن وعلى قدم المساواة.</w:t>
      </w:r>
    </w:p>
    <w:p w14:paraId="765A9257" w14:textId="77777777" w:rsidR="00B17403" w:rsidRPr="007E4D29" w:rsidRDefault="001852C7" w:rsidP="00B17403">
      <w:pPr>
        <w:pStyle w:val="SingleTxtGA"/>
        <w:rPr>
          <w:rFonts w:eastAsiaTheme="minorEastAsia"/>
          <w:spacing w:val="-2"/>
          <w:lang w:eastAsia="zh-TW" w:bidi="en-GB"/>
        </w:rPr>
      </w:pPr>
      <w:r>
        <w:rPr>
          <w:rFonts w:eastAsiaTheme="minorEastAsia" w:hint="cs"/>
          <w:spacing w:val="-2"/>
          <w:szCs w:val="20"/>
          <w:rtl/>
        </w:rPr>
        <w:t>8</w:t>
      </w:r>
      <w:r w:rsidR="00B17403" w:rsidRPr="007E4D29">
        <w:rPr>
          <w:rFonts w:eastAsiaTheme="minorEastAsia" w:hint="cs"/>
          <w:spacing w:val="-2"/>
          <w:rtl/>
        </w:rPr>
        <w:t>-</w:t>
      </w:r>
      <w:r w:rsidR="00B17403" w:rsidRPr="007E4D29">
        <w:rPr>
          <w:rFonts w:eastAsiaTheme="minorEastAsia"/>
          <w:spacing w:val="-2"/>
          <w:rtl/>
        </w:rPr>
        <w:tab/>
      </w:r>
      <w:r w:rsidR="00B17403" w:rsidRPr="007E4D29">
        <w:rPr>
          <w:rFonts w:eastAsiaTheme="minorEastAsia"/>
          <w:spacing w:val="-2"/>
          <w:rtl/>
        </w:rPr>
        <w:t>ويجيز العهد تحميل الدول الأطراف المسؤولية المباشرة عما تفعله الكيانات التجارية أو لا تفعله في ظروف معينة</w:t>
      </w:r>
      <w:r w:rsidR="00B17403" w:rsidRPr="007E4D29">
        <w:rPr>
          <w:rFonts w:eastAsiaTheme="minorEastAsia"/>
          <w:spacing w:val="-2"/>
          <w:sz w:val="28"/>
          <w:vertAlign w:val="superscript"/>
          <w:rtl/>
        </w:rPr>
        <w:t>(</w:t>
      </w:r>
      <w:r w:rsidR="00B17403" w:rsidRPr="007E4D29">
        <w:rPr>
          <w:rFonts w:eastAsiaTheme="minorEastAsia" w:cs="Times New Roman"/>
          <w:spacing w:val="-2"/>
          <w:position w:val="4"/>
          <w:vertAlign w:val="superscript"/>
        </w:rPr>
        <w:footnoteReference w:id="18"/>
      </w:r>
      <w:r w:rsidR="00B17403" w:rsidRPr="007E4D29">
        <w:rPr>
          <w:rFonts w:eastAsiaTheme="minorEastAsia"/>
          <w:spacing w:val="-2"/>
          <w:sz w:val="28"/>
          <w:vertAlign w:val="superscript"/>
          <w:rtl/>
        </w:rPr>
        <w:t>)</w:t>
      </w:r>
      <w:r w:rsidR="00B17403" w:rsidRPr="007E4D29">
        <w:rPr>
          <w:rFonts w:eastAsiaTheme="minorEastAsia" w:hint="cs"/>
          <w:spacing w:val="-2"/>
          <w:rtl/>
        </w:rPr>
        <w:t xml:space="preserve">. </w:t>
      </w:r>
      <w:r w:rsidR="00B17403" w:rsidRPr="007E4D29">
        <w:rPr>
          <w:rFonts w:eastAsiaTheme="minorEastAsia"/>
          <w:spacing w:val="-2"/>
          <w:rtl/>
        </w:rPr>
        <w:t>وإضافة إلى ذلك، يقع على عاتق هذه الدول التزام خارج الحدود الإقليمية باتخاذ التدابير اللازمة لحماية الحقوق الاقتصادية والاجتماعية والثقافية لضمان عدم انتهاك هذه الحقوق في الخارج من جانب الشركات المقيمة في إقليمها و/أو الخاضعة لولايتها القضائية</w:t>
      </w:r>
      <w:r w:rsidR="00B17403" w:rsidRPr="007E4D29">
        <w:rPr>
          <w:rFonts w:eastAsiaTheme="minorEastAsia"/>
          <w:spacing w:val="-2"/>
          <w:sz w:val="28"/>
          <w:vertAlign w:val="superscript"/>
          <w:rtl/>
        </w:rPr>
        <w:t>(</w:t>
      </w:r>
      <w:r w:rsidR="00B17403" w:rsidRPr="007E4D29">
        <w:rPr>
          <w:rFonts w:eastAsiaTheme="minorEastAsia" w:cs="Times New Roman"/>
          <w:spacing w:val="-2"/>
          <w:position w:val="4"/>
          <w:vertAlign w:val="superscript"/>
        </w:rPr>
        <w:footnoteReference w:id="19"/>
      </w:r>
      <w:r w:rsidR="00B17403" w:rsidRPr="007E4D29">
        <w:rPr>
          <w:rFonts w:eastAsiaTheme="minorEastAsia"/>
          <w:spacing w:val="-2"/>
          <w:sz w:val="28"/>
          <w:vertAlign w:val="superscript"/>
          <w:rtl/>
        </w:rPr>
        <w:t>)</w:t>
      </w:r>
      <w:r w:rsidR="00B17403" w:rsidRPr="007E4D29">
        <w:rPr>
          <w:rFonts w:eastAsiaTheme="minorEastAsia" w:hint="cs"/>
          <w:spacing w:val="-2"/>
          <w:rtl/>
        </w:rPr>
        <w:t xml:space="preserve">. </w:t>
      </w:r>
      <w:r w:rsidR="00B17403" w:rsidRPr="007E4D29">
        <w:rPr>
          <w:rFonts w:eastAsiaTheme="minorEastAsia"/>
          <w:spacing w:val="-2"/>
          <w:rtl/>
        </w:rPr>
        <w:t xml:space="preserve">لذلك ينبغي للدول أن تتخذ جميع التدابير اللازمة لضمان عدم احتجاج هذه الكيانات التجارية بقانون الملكية الفكرية، سواء في إقليمها أو في الخارج، بطريقة غير متوافقة مع حق كل شخص في الحصول على لقاح مأمون وناجع لجائحة </w:t>
      </w:r>
      <w:proofErr w:type="spellStart"/>
      <w:r w:rsidR="00B17403" w:rsidRPr="007E4D29">
        <w:rPr>
          <w:rFonts w:eastAsiaTheme="minorEastAsia"/>
          <w:spacing w:val="-2"/>
          <w:rtl/>
        </w:rPr>
        <w:t>كوفيد</w:t>
      </w:r>
      <w:proofErr w:type="spellEnd"/>
      <w:r w:rsidR="00B17403" w:rsidRPr="007E4D29">
        <w:rPr>
          <w:rFonts w:eastAsiaTheme="minorEastAsia"/>
          <w:spacing w:val="-2"/>
          <w:rtl/>
        </w:rPr>
        <w:t>-</w:t>
      </w:r>
      <w:r w:rsidR="00B17403" w:rsidRPr="007E4D29">
        <w:rPr>
          <w:rFonts w:eastAsiaTheme="minorEastAsia"/>
          <w:spacing w:val="-2"/>
          <w:szCs w:val="20"/>
          <w:rtl/>
        </w:rPr>
        <w:t>19</w:t>
      </w:r>
      <w:r w:rsidR="00B17403" w:rsidRPr="007E4D29">
        <w:rPr>
          <w:rFonts w:eastAsiaTheme="minorEastAsia"/>
          <w:spacing w:val="-2"/>
          <w:rtl/>
        </w:rPr>
        <w:t>.</w:t>
      </w:r>
    </w:p>
    <w:p w14:paraId="0BAD1C5A" w14:textId="77777777" w:rsidR="00B17403" w:rsidRPr="007E4D29" w:rsidRDefault="001852C7" w:rsidP="007C3B93">
      <w:pPr>
        <w:pStyle w:val="SingleTxtGA"/>
        <w:spacing w:line="346" w:lineRule="exact"/>
        <w:rPr>
          <w:rFonts w:eastAsiaTheme="minorEastAsia"/>
          <w:lang w:val="ar-SA" w:eastAsia="zh-TW" w:bidi="en-GB"/>
        </w:rPr>
      </w:pPr>
      <w:r>
        <w:rPr>
          <w:rFonts w:eastAsiaTheme="minorEastAsia" w:hint="cs"/>
          <w:szCs w:val="20"/>
          <w:rtl/>
        </w:rPr>
        <w:t>9</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ومن واجب الدول، بمقتضى العهد، التعاون والمساعدة على المستوى الدولي لضمان حصول الجميع على اللقاحات على قدم المساواة حيثما دعت الحاجة</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20"/>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وكون الأزمة الحالية جائحة يعزز التزام الدول هذا</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21"/>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 xml:space="preserve">ولذلك، على الدول أن توثّق تعاونها الدولي لكي تضمن في أقرب وقت ممكن الحصول على لقاحات لجائحة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على قدم المساواة في جميع أنحاء العالم، بما في ذلك لسكان أقل البلدان نموا</w:t>
      </w:r>
      <w:r w:rsidR="007C3B93">
        <w:rPr>
          <w:rFonts w:eastAsiaTheme="minorEastAsia" w:hint="cs"/>
          <w:rtl/>
        </w:rPr>
        <w:t>ً</w:t>
      </w:r>
      <w:r w:rsidR="00B17403" w:rsidRPr="007E4D29">
        <w:rPr>
          <w:rFonts w:eastAsiaTheme="minorEastAsia"/>
          <w:rtl/>
        </w:rPr>
        <w:t xml:space="preserve"> التي قد لا تتوفر لديها الموارد المالية اللازمة لضمان حصول شعوبها على اللقاحات. </w:t>
      </w:r>
    </w:p>
    <w:p w14:paraId="0B256F35" w14:textId="77777777" w:rsidR="00B17403" w:rsidRPr="007C3B93" w:rsidRDefault="001852C7" w:rsidP="007C3B93">
      <w:pPr>
        <w:pStyle w:val="SingleTxtGA"/>
        <w:spacing w:line="346" w:lineRule="exact"/>
        <w:rPr>
          <w:rFonts w:eastAsiaTheme="minorEastAsia" w:hint="cs"/>
          <w:spacing w:val="-2"/>
          <w:rtl/>
          <w:lang w:eastAsia="zh-TW"/>
        </w:rPr>
      </w:pPr>
      <w:r>
        <w:rPr>
          <w:rFonts w:eastAsiaTheme="minorEastAsia" w:hint="cs"/>
          <w:spacing w:val="-2"/>
          <w:szCs w:val="20"/>
          <w:rtl/>
        </w:rPr>
        <w:t>10</w:t>
      </w:r>
      <w:r w:rsidR="00B17403" w:rsidRPr="007C3B93">
        <w:rPr>
          <w:rFonts w:eastAsiaTheme="minorEastAsia" w:hint="cs"/>
          <w:spacing w:val="-2"/>
          <w:rtl/>
        </w:rPr>
        <w:t>-</w:t>
      </w:r>
      <w:r w:rsidR="00B17403" w:rsidRPr="007C3B93">
        <w:rPr>
          <w:rFonts w:eastAsiaTheme="minorEastAsia"/>
          <w:spacing w:val="-2"/>
          <w:rtl/>
        </w:rPr>
        <w:tab/>
      </w:r>
      <w:r w:rsidR="00B17403" w:rsidRPr="007C3B93">
        <w:rPr>
          <w:rFonts w:eastAsiaTheme="minorEastAsia"/>
          <w:spacing w:val="-2"/>
          <w:rtl/>
        </w:rPr>
        <w:t xml:space="preserve">ومن المفهوم أن تعطي الدول أولوية معينة لضمان حصول مواطنيها على اللقاحات قبل غيرهم. غير أن هذا الشاغل لا ينبغي أن يؤدي إلى شكل من أشكال الانعزالية الصحية أو إلى سباق بين الدول للحصول على لقاحات </w:t>
      </w:r>
      <w:proofErr w:type="spellStart"/>
      <w:r w:rsidR="00B17403" w:rsidRPr="007C3B93">
        <w:rPr>
          <w:rFonts w:eastAsiaTheme="minorEastAsia"/>
          <w:spacing w:val="-2"/>
          <w:rtl/>
        </w:rPr>
        <w:t>كوفيد</w:t>
      </w:r>
      <w:proofErr w:type="spellEnd"/>
      <w:r w:rsidR="00B17403" w:rsidRPr="007C3B93">
        <w:rPr>
          <w:rFonts w:eastAsiaTheme="minorEastAsia"/>
          <w:spacing w:val="-2"/>
          <w:rtl/>
        </w:rPr>
        <w:t>-</w:t>
      </w:r>
      <w:r w:rsidR="00B17403" w:rsidRPr="007C3B93">
        <w:rPr>
          <w:rFonts w:eastAsiaTheme="minorEastAsia"/>
          <w:spacing w:val="-2"/>
          <w:szCs w:val="20"/>
          <w:rtl/>
        </w:rPr>
        <w:t>19</w:t>
      </w:r>
      <w:r w:rsidR="00B17403" w:rsidRPr="007C3B93">
        <w:rPr>
          <w:rFonts w:eastAsiaTheme="minorEastAsia"/>
          <w:spacing w:val="-2"/>
          <w:rtl/>
        </w:rPr>
        <w:t>، حيث تتنافس بعض الدول، وخاصة الدول المتقدمة، مع دول أخرى لعقد صفقات مكلفة وغير شفافة مع شركات خاصة لتأمين اللقاحات لجميع مواطنيها أو معظمهم أوّلا</w:t>
      </w:r>
      <w:r w:rsidR="007E4D29" w:rsidRPr="007C3B93">
        <w:rPr>
          <w:rFonts w:eastAsiaTheme="minorEastAsia" w:hint="cs"/>
          <w:spacing w:val="-2"/>
          <w:rtl/>
        </w:rPr>
        <w:t>ً</w:t>
      </w:r>
      <w:r w:rsidR="00B17403" w:rsidRPr="007C3B93">
        <w:rPr>
          <w:rFonts w:eastAsiaTheme="minorEastAsia"/>
          <w:spacing w:val="-2"/>
          <w:rtl/>
        </w:rPr>
        <w:t>.</w:t>
      </w:r>
      <w:r w:rsidR="007C3B93">
        <w:rPr>
          <w:rFonts w:eastAsiaTheme="minorEastAsia" w:hint="cs"/>
          <w:spacing w:val="-2"/>
          <w:rtl/>
        </w:rPr>
        <w:t> </w:t>
      </w:r>
      <w:r w:rsidR="00B17403" w:rsidRPr="007C3B93">
        <w:rPr>
          <w:rFonts w:eastAsiaTheme="minorEastAsia"/>
          <w:spacing w:val="-2"/>
          <w:rtl/>
        </w:rPr>
        <w:t>وقد يؤدي هذا التنافس بين الدول إلى زيادة في سعر اللقاحات، بل قد ينشئ حالة احتكار مؤقت للحصول على اللقاحات الأولى المنتَجة لصالح بعض الدول المتقدمة، الأمر الذي يقوض، على الأقل مؤقتا</w:t>
      </w:r>
      <w:r w:rsidR="007C3B93">
        <w:rPr>
          <w:rFonts w:eastAsiaTheme="minorEastAsia" w:hint="cs"/>
          <w:spacing w:val="-2"/>
          <w:rtl/>
        </w:rPr>
        <w:t>ً</w:t>
      </w:r>
      <w:r w:rsidR="00B17403" w:rsidRPr="007C3B93">
        <w:rPr>
          <w:rFonts w:eastAsiaTheme="minorEastAsia"/>
          <w:spacing w:val="-2"/>
          <w:rtl/>
        </w:rPr>
        <w:t xml:space="preserve">، إمكانية ضمان بلدان أخرى، ولا سيما الدول النامية، حصول سكانها على لقاح. وهذا التنافس بين الدول على اللقاحات يفضي إلى نتائج عكسية من حيث انتهاج نهج صحي عالمي لأنه يجعل السيطرة على الجائحة أصعب وأطول مدة بكثير. وما دامت أجزاء كبيرة من سكان العالم لا يمكنها الوصول إلى تدابير التحكم في جائحة </w:t>
      </w:r>
      <w:proofErr w:type="spellStart"/>
      <w:r w:rsidR="00B17403" w:rsidRPr="007C3B93">
        <w:rPr>
          <w:rFonts w:eastAsiaTheme="minorEastAsia"/>
          <w:spacing w:val="-2"/>
          <w:rtl/>
        </w:rPr>
        <w:t>كوفيد</w:t>
      </w:r>
      <w:proofErr w:type="spellEnd"/>
      <w:r w:rsidR="00B17403" w:rsidRPr="007C3B93">
        <w:rPr>
          <w:rFonts w:eastAsiaTheme="minorEastAsia"/>
          <w:spacing w:val="-2"/>
          <w:rtl/>
        </w:rPr>
        <w:t>-</w:t>
      </w:r>
      <w:r w:rsidR="00B17403" w:rsidRPr="007C3B93">
        <w:rPr>
          <w:rFonts w:eastAsiaTheme="minorEastAsia"/>
          <w:spacing w:val="-2"/>
          <w:szCs w:val="20"/>
          <w:rtl/>
        </w:rPr>
        <w:t>19</w:t>
      </w:r>
      <w:r w:rsidR="00B17403" w:rsidRPr="007C3B93">
        <w:rPr>
          <w:rFonts w:eastAsiaTheme="minorEastAsia"/>
          <w:spacing w:val="-2"/>
          <w:rtl/>
        </w:rPr>
        <w:t xml:space="preserve"> والوقاية منها وعلاجها، وإلى لقاحاتها، فإن خطر الارتفاعات المفاجئة في حالات الإصابة بالجائحة يظل قائما</w:t>
      </w:r>
      <w:r w:rsidR="007C3B93">
        <w:rPr>
          <w:rFonts w:eastAsiaTheme="minorEastAsia" w:hint="cs"/>
          <w:spacing w:val="-2"/>
          <w:rtl/>
        </w:rPr>
        <w:t>ً</w:t>
      </w:r>
      <w:r w:rsidR="00B17403" w:rsidRPr="007C3B93">
        <w:rPr>
          <w:rFonts w:eastAsiaTheme="minorEastAsia"/>
          <w:spacing w:val="-2"/>
          <w:rtl/>
        </w:rPr>
        <w:t>. ويضاف إلى ذلك أن هذه المنافسة على اللقاح تتعارض مع التزامات الدول خارج الحدود الإقليمية بتفادي اتخاذ قرارات تحد من فرص الدول الأخرى في إعمال حقها في الصحة. وتعيق هذه المنافسة أيضاً وصول اللقاحات إلى من هم في أشد الحاجة إليها في أقل البلدان نموا</w:t>
      </w:r>
      <w:r w:rsidR="00B17403" w:rsidRPr="007C3B93">
        <w:rPr>
          <w:rFonts w:eastAsiaTheme="minorEastAsia" w:hint="cs"/>
          <w:spacing w:val="-2"/>
          <w:rtl/>
        </w:rPr>
        <w:t>ً</w:t>
      </w:r>
      <w:r w:rsidR="00B17403" w:rsidRPr="007C3B93">
        <w:rPr>
          <w:rFonts w:eastAsiaTheme="minorEastAsia"/>
          <w:spacing w:val="-2"/>
          <w:sz w:val="28"/>
          <w:vertAlign w:val="superscript"/>
          <w:rtl/>
        </w:rPr>
        <w:t>(</w:t>
      </w:r>
      <w:r w:rsidR="00B17403" w:rsidRPr="007C3B93">
        <w:rPr>
          <w:rFonts w:eastAsiaTheme="minorEastAsia" w:cs="Times New Roman"/>
          <w:spacing w:val="-2"/>
          <w:position w:val="4"/>
          <w:vertAlign w:val="superscript"/>
        </w:rPr>
        <w:footnoteReference w:id="22"/>
      </w:r>
      <w:r w:rsidR="00B17403" w:rsidRPr="007C3B93">
        <w:rPr>
          <w:rFonts w:eastAsiaTheme="minorEastAsia"/>
          <w:spacing w:val="-2"/>
          <w:sz w:val="28"/>
          <w:vertAlign w:val="superscript"/>
          <w:rtl/>
        </w:rPr>
        <w:t>)</w:t>
      </w:r>
      <w:r w:rsidR="00B17403" w:rsidRPr="007C3B93">
        <w:rPr>
          <w:rFonts w:eastAsiaTheme="minorEastAsia" w:hint="cs"/>
          <w:spacing w:val="-2"/>
          <w:rtl/>
        </w:rPr>
        <w:t xml:space="preserve">. </w:t>
      </w:r>
      <w:r w:rsidR="00B17403" w:rsidRPr="007C3B93">
        <w:rPr>
          <w:rFonts w:eastAsiaTheme="minorEastAsia"/>
          <w:spacing w:val="-2"/>
          <w:rtl/>
        </w:rPr>
        <w:t>والطبيعة السرية لبعض الصفقات تتعارض أيضاً مع واجب الدول القاضي بإنشاء آليات شفافة تسمح بالمساءلة والمراقبة العامة للقرارات المتعلقة بتخصيص الموارد وتطبيق التكنولوجيات من أجل إعمال الحق في الصحة ومشاركة المواطنين في تلك القرارات</w:t>
      </w:r>
      <w:r w:rsidR="00B17403" w:rsidRPr="007C3B93">
        <w:rPr>
          <w:rFonts w:eastAsiaTheme="minorEastAsia"/>
          <w:spacing w:val="-2"/>
          <w:sz w:val="28"/>
          <w:vertAlign w:val="superscript"/>
          <w:rtl/>
        </w:rPr>
        <w:t>(</w:t>
      </w:r>
      <w:r w:rsidR="00B17403" w:rsidRPr="007C3B93">
        <w:rPr>
          <w:rFonts w:eastAsiaTheme="minorEastAsia" w:cs="Times New Roman"/>
          <w:spacing w:val="-2"/>
          <w:position w:val="4"/>
          <w:vertAlign w:val="superscript"/>
        </w:rPr>
        <w:footnoteReference w:id="23"/>
      </w:r>
      <w:r w:rsidR="00B17403" w:rsidRPr="007C3B93">
        <w:rPr>
          <w:rFonts w:eastAsiaTheme="minorEastAsia"/>
          <w:spacing w:val="-2"/>
          <w:sz w:val="28"/>
          <w:vertAlign w:val="superscript"/>
          <w:rtl/>
        </w:rPr>
        <w:t>)</w:t>
      </w:r>
      <w:r w:rsidR="00B17403" w:rsidRPr="007C3B93">
        <w:rPr>
          <w:rFonts w:eastAsiaTheme="minorEastAsia" w:hint="cs"/>
          <w:spacing w:val="-2"/>
          <w:rtl/>
          <w:lang w:eastAsia="zh-TW"/>
        </w:rPr>
        <w:t>.</w:t>
      </w:r>
    </w:p>
    <w:p w14:paraId="3627F4CF" w14:textId="77777777" w:rsidR="00B17403" w:rsidRPr="007E4D29" w:rsidRDefault="001852C7" w:rsidP="007C3B93">
      <w:pPr>
        <w:pStyle w:val="SingleTxtGA"/>
        <w:spacing w:line="346" w:lineRule="exact"/>
        <w:rPr>
          <w:rFonts w:eastAsiaTheme="minorEastAsia"/>
          <w:lang w:val="ar-SA" w:eastAsia="zh-TW" w:bidi="en-GB"/>
        </w:rPr>
      </w:pPr>
      <w:r>
        <w:rPr>
          <w:rFonts w:eastAsiaTheme="minorEastAsia" w:hint="cs"/>
          <w:szCs w:val="20"/>
          <w:rtl/>
        </w:rPr>
        <w:t>11</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وبدلاً من السعي إلى الانعزالية الصحية والسباق للحصول على لقاح، ينبغي للدول أن تفي بالتزاماتها بالمساهمة في التمتع بجميع حقوق الإنسان، بما في ذلك الحق في الصحة، على الصعيد العالمي</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24"/>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وينبغي تنظيم ودعم توزيع اللقاحات وترتيب أولويات الحصول عليها عن طريق التعاون والمساعدة على الصعيد الدولي، مما</w:t>
      </w:r>
      <w:r w:rsidR="00B17403" w:rsidRPr="007E4D29">
        <w:rPr>
          <w:rFonts w:eastAsiaTheme="minorEastAsia" w:hint="cs"/>
          <w:rtl/>
        </w:rPr>
        <w:t xml:space="preserve"> </w:t>
      </w:r>
      <w:r w:rsidR="00B17403" w:rsidRPr="007E4D29">
        <w:rPr>
          <w:rFonts w:eastAsiaTheme="minorEastAsia"/>
          <w:rtl/>
        </w:rPr>
        <w:t>يشمل تقاسم مزايا التقدم العلمي وتطبيقاته</w:t>
      </w:r>
      <w:r w:rsidR="00B17403" w:rsidRPr="007E4D29">
        <w:rPr>
          <w:rFonts w:eastAsiaTheme="minorEastAsia"/>
          <w:sz w:val="28"/>
          <w:vertAlign w:val="superscript"/>
          <w:rtl/>
        </w:rPr>
        <w:t>(</w:t>
      </w:r>
      <w:r w:rsidR="00B17403" w:rsidRPr="007E4D29">
        <w:rPr>
          <w:rFonts w:eastAsiaTheme="minorEastAsia" w:cs="Times New Roman"/>
          <w:position w:val="4"/>
          <w:vertAlign w:val="superscript"/>
        </w:rPr>
        <w:footnoteReference w:id="25"/>
      </w:r>
      <w:r w:rsidR="00B17403" w:rsidRPr="007E4D29">
        <w:rPr>
          <w:rFonts w:eastAsiaTheme="minorEastAsia"/>
          <w:sz w:val="28"/>
          <w:vertAlign w:val="superscript"/>
          <w:rtl/>
        </w:rPr>
        <w:t>)</w:t>
      </w:r>
      <w:r w:rsidR="00B17403" w:rsidRPr="007E4D29">
        <w:rPr>
          <w:rFonts w:eastAsiaTheme="minorEastAsia" w:hint="cs"/>
          <w:rtl/>
        </w:rPr>
        <w:t xml:space="preserve">. </w:t>
      </w:r>
      <w:r w:rsidR="00B17403" w:rsidRPr="007E4D29">
        <w:rPr>
          <w:rFonts w:eastAsiaTheme="minorEastAsia"/>
          <w:rtl/>
        </w:rPr>
        <w:t xml:space="preserve">لذلك ينبغي للدول الأطراف أن ترسم استراتيجيات وتنشئ آليات لتوزيع عادل للتكاليف المالية المرتبطة بالبحوث المتصلة بلقاحات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وبإنتاجها وتوزيعها، بطرق منها تقليص عبء الدين على البلدان التي تحتاجه. وينبغي لها أيضاً أن تعتمد آليات شفافة وتشاركية تكفل استناد ترتيب الأولويات في توزيع اللقاحات على الصعيد العالمي</w:t>
      </w:r>
      <w:r w:rsidR="007C3B93">
        <w:rPr>
          <w:rFonts w:eastAsiaTheme="minorEastAsia" w:hint="cs"/>
          <w:rtl/>
        </w:rPr>
        <w:t xml:space="preserve"> </w:t>
      </w:r>
      <w:r w:rsidR="00B17403" w:rsidRPr="007E4D29">
        <w:rPr>
          <w:rFonts w:eastAsiaTheme="minorEastAsia"/>
          <w:rtl/>
        </w:rPr>
        <w:t>-</w:t>
      </w:r>
      <w:r w:rsidR="007C3B93">
        <w:rPr>
          <w:rFonts w:eastAsiaTheme="minorEastAsia" w:hint="cs"/>
          <w:rtl/>
        </w:rPr>
        <w:t xml:space="preserve"> </w:t>
      </w:r>
      <w:r w:rsidR="00B17403" w:rsidRPr="007E4D29">
        <w:rPr>
          <w:rFonts w:eastAsiaTheme="minorEastAsia"/>
          <w:rtl/>
        </w:rPr>
        <w:t>وكذلك على الصعيد الوطني</w:t>
      </w:r>
      <w:r w:rsidR="00B17403" w:rsidRPr="007E4D29">
        <w:rPr>
          <w:rFonts w:eastAsiaTheme="minorEastAsia" w:hint="cs"/>
          <w:rtl/>
        </w:rPr>
        <w:t xml:space="preserve"> </w:t>
      </w:r>
      <w:r w:rsidR="00B17403" w:rsidRPr="007E4D29">
        <w:rPr>
          <w:rFonts w:eastAsiaTheme="minorEastAsia"/>
          <w:rtl/>
        </w:rPr>
        <w:t xml:space="preserve">- إلى الاحتياجات الطبية واعتبارات الصحة العامة. ويمكن تنظيم هذا الدعم باستخدام مرفق </w:t>
      </w:r>
      <w:proofErr w:type="spellStart"/>
      <w:r w:rsidR="00B17403" w:rsidRPr="007E4D29">
        <w:rPr>
          <w:rFonts w:eastAsiaTheme="minorEastAsia"/>
          <w:rtl/>
        </w:rPr>
        <w:t>كوفاكس</w:t>
      </w:r>
      <w:proofErr w:type="spellEnd"/>
      <w:r w:rsidR="00B17403" w:rsidRPr="007E4D29">
        <w:rPr>
          <w:rFonts w:eastAsiaTheme="minorEastAsia"/>
          <w:rtl/>
        </w:rPr>
        <w:t xml:space="preserve"> لإتاحة اللقاحات على الصعيد العالمي الذي تدعمه منظمة الصحة العالمية. </w:t>
      </w:r>
    </w:p>
    <w:p w14:paraId="35E777A6" w14:textId="77777777" w:rsidR="00B17403" w:rsidRPr="007E4D29" w:rsidRDefault="001852C7" w:rsidP="00B17403">
      <w:pPr>
        <w:pStyle w:val="SingleTxtGA"/>
        <w:rPr>
          <w:rFonts w:eastAsiaTheme="minorEastAsia"/>
          <w:szCs w:val="20"/>
          <w:lang w:eastAsia="zh-TW" w:bidi="en-GB"/>
        </w:rPr>
      </w:pPr>
      <w:r>
        <w:rPr>
          <w:rFonts w:eastAsiaTheme="minorEastAsia" w:hint="cs"/>
          <w:szCs w:val="20"/>
          <w:rtl/>
        </w:rPr>
        <w:t>12</w:t>
      </w:r>
      <w:r w:rsidR="00B17403" w:rsidRPr="007E4D29">
        <w:rPr>
          <w:rFonts w:eastAsiaTheme="minorEastAsia" w:hint="cs"/>
          <w:rtl/>
        </w:rPr>
        <w:t>-</w:t>
      </w:r>
      <w:r w:rsidR="00B17403" w:rsidRPr="007E4D29">
        <w:rPr>
          <w:rFonts w:eastAsiaTheme="minorEastAsia"/>
          <w:rtl/>
        </w:rPr>
        <w:tab/>
      </w:r>
      <w:r w:rsidR="00B17403" w:rsidRPr="007E4D29">
        <w:rPr>
          <w:rFonts w:eastAsiaTheme="minorEastAsia"/>
          <w:rtl/>
        </w:rPr>
        <w:t>وأخيرا</w:t>
      </w:r>
      <w:r w:rsidR="00B17403" w:rsidRPr="007E4D29">
        <w:rPr>
          <w:rFonts w:eastAsiaTheme="minorEastAsia" w:hint="cs"/>
          <w:rtl/>
        </w:rPr>
        <w:t>ً</w:t>
      </w:r>
      <w:r w:rsidR="00B17403" w:rsidRPr="007E4D29">
        <w:rPr>
          <w:rFonts w:eastAsiaTheme="minorEastAsia"/>
          <w:rtl/>
        </w:rPr>
        <w:t>، على الرغم من أن هذا البيان يركز أساسا</w:t>
      </w:r>
      <w:r w:rsidR="00B17403" w:rsidRPr="007E4D29">
        <w:rPr>
          <w:rFonts w:eastAsiaTheme="minorEastAsia" w:hint="cs"/>
          <w:rtl/>
        </w:rPr>
        <w:t>ً</w:t>
      </w:r>
      <w:r w:rsidR="00B17403" w:rsidRPr="007E4D29">
        <w:rPr>
          <w:rFonts w:eastAsiaTheme="minorEastAsia"/>
          <w:rtl/>
        </w:rPr>
        <w:t xml:space="preserve"> على إتاحة لقاحات لجائحة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للجميع على قدم المساواة، فإن اللجنة ترى أن اعتباراته الرئيسَة تتصل، مع تغيير ما يلزم تغييره، بالتزامات الدول بأن تكفل أيضا</w:t>
      </w:r>
      <w:r w:rsidR="007C3B93">
        <w:rPr>
          <w:rFonts w:eastAsiaTheme="minorEastAsia" w:hint="cs"/>
          <w:rtl/>
        </w:rPr>
        <w:t>ً</w:t>
      </w:r>
      <w:r w:rsidR="00B17403" w:rsidRPr="007E4D29">
        <w:rPr>
          <w:rFonts w:eastAsiaTheme="minorEastAsia"/>
          <w:rtl/>
        </w:rPr>
        <w:t xml:space="preserve"> حصول الجميع على قدم المساواة على علاج لجائحة </w:t>
      </w:r>
      <w:proofErr w:type="spellStart"/>
      <w:r w:rsidR="00B17403" w:rsidRPr="007E4D29">
        <w:rPr>
          <w:rFonts w:eastAsiaTheme="minorEastAsia"/>
          <w:rtl/>
        </w:rPr>
        <w:t>كوفيد</w:t>
      </w:r>
      <w:proofErr w:type="spellEnd"/>
      <w:r w:rsidR="00B17403" w:rsidRPr="007E4D29">
        <w:rPr>
          <w:rFonts w:eastAsiaTheme="minorEastAsia"/>
          <w:rtl/>
        </w:rPr>
        <w:t>-</w:t>
      </w:r>
      <w:r w:rsidR="00B17403" w:rsidRPr="007E4D29">
        <w:rPr>
          <w:rFonts w:eastAsiaTheme="minorEastAsia"/>
          <w:szCs w:val="20"/>
          <w:rtl/>
        </w:rPr>
        <w:t>19</w:t>
      </w:r>
      <w:r w:rsidR="00B17403" w:rsidRPr="007E4D29">
        <w:rPr>
          <w:rFonts w:eastAsiaTheme="minorEastAsia"/>
          <w:rtl/>
        </w:rPr>
        <w:t xml:space="preserve">. وإضافة إلى ذلك، تذكّر اللجنة الدول الأطراف بأن أي تدابير تتخذ للحد من الحقوق الاقتصادية والاجتماعية والثقافية بسبب الجائحة يجب أن تمتثل الشروط المنصوص عليها في المادة </w:t>
      </w:r>
      <w:r w:rsidR="00B17403" w:rsidRPr="007E4D29">
        <w:rPr>
          <w:rFonts w:eastAsiaTheme="minorEastAsia"/>
          <w:szCs w:val="20"/>
          <w:rtl/>
        </w:rPr>
        <w:t>4</w:t>
      </w:r>
      <w:r w:rsidR="00B17403" w:rsidRPr="007E4D29">
        <w:rPr>
          <w:rFonts w:eastAsiaTheme="minorEastAsia"/>
          <w:rtl/>
        </w:rPr>
        <w:t xml:space="preserve"> من العهد. وتذكّر في هذا الصدد ببيانها الصادر في </w:t>
      </w:r>
      <w:r w:rsidR="00B17403" w:rsidRPr="007E4D29">
        <w:rPr>
          <w:rFonts w:eastAsiaTheme="minorEastAsia"/>
          <w:szCs w:val="20"/>
          <w:rtl/>
        </w:rPr>
        <w:t>6</w:t>
      </w:r>
      <w:r w:rsidR="00B17403" w:rsidRPr="007E4D29">
        <w:rPr>
          <w:rFonts w:eastAsiaTheme="minorEastAsia"/>
          <w:rtl/>
        </w:rPr>
        <w:t xml:space="preserve"> نيسان/أبريل </w:t>
      </w:r>
      <w:r w:rsidR="00B17403" w:rsidRPr="007E4D29">
        <w:rPr>
          <w:rFonts w:eastAsiaTheme="minorEastAsia"/>
          <w:szCs w:val="20"/>
          <w:rtl/>
        </w:rPr>
        <w:t>2020</w:t>
      </w:r>
      <w:r w:rsidR="00B17403" w:rsidRPr="007E4D29">
        <w:rPr>
          <w:rFonts w:eastAsiaTheme="minorEastAsia"/>
          <w:rtl/>
        </w:rPr>
        <w:t xml:space="preserve"> بشأن الجائحة والحقوق الاقتصادية والاجتماعية والثقافية </w:t>
      </w:r>
      <w:r w:rsidR="00B17403" w:rsidRPr="007E4D29">
        <w:rPr>
          <w:rFonts w:eastAsiaTheme="minorEastAsia"/>
          <w:szCs w:val="20"/>
          <w:rtl/>
        </w:rPr>
        <w:t>(</w:t>
      </w:r>
      <w:r w:rsidR="00B17403" w:rsidRPr="007E4D29">
        <w:rPr>
          <w:rFonts w:eastAsiaTheme="minorEastAsia" w:cs="Times New Roman"/>
          <w:szCs w:val="20"/>
        </w:rPr>
        <w:t>E/</w:t>
      </w:r>
      <w:proofErr w:type="spellStart"/>
      <w:r w:rsidR="00B17403" w:rsidRPr="007E4D29">
        <w:rPr>
          <w:rFonts w:eastAsiaTheme="minorEastAsia" w:cs="Times New Roman"/>
          <w:szCs w:val="20"/>
        </w:rPr>
        <w:t>C.12</w:t>
      </w:r>
      <w:proofErr w:type="spellEnd"/>
      <w:r w:rsidR="00B17403" w:rsidRPr="007E4D29">
        <w:rPr>
          <w:rFonts w:eastAsiaTheme="minorEastAsia" w:cs="Times New Roman"/>
          <w:szCs w:val="20"/>
        </w:rPr>
        <w:t>/2020/1</w:t>
      </w:r>
      <w:r w:rsidR="00B17403" w:rsidRPr="007E4D29">
        <w:rPr>
          <w:rFonts w:eastAsiaTheme="minorEastAsia"/>
          <w:szCs w:val="20"/>
          <w:rtl/>
        </w:rPr>
        <w:t>)</w:t>
      </w:r>
      <w:r w:rsidR="00B17403" w:rsidRPr="007E4D29">
        <w:rPr>
          <w:rFonts w:eastAsiaTheme="minorEastAsia"/>
          <w:rtl/>
        </w:rPr>
        <w:t>.</w:t>
      </w:r>
    </w:p>
    <w:p w14:paraId="0BE5FBF7" w14:textId="77777777" w:rsidR="00B17403" w:rsidRPr="00B17403" w:rsidRDefault="00B17403" w:rsidP="00B17403">
      <w:pPr>
        <w:pStyle w:val="SingleTxtGA"/>
        <w:jc w:val="center"/>
        <w:rPr>
          <w:u w:val="single"/>
          <w:rtl/>
        </w:rPr>
      </w:pPr>
      <w:r>
        <w:rPr>
          <w:u w:val="single"/>
          <w:rtl/>
        </w:rPr>
        <w:tab/>
      </w:r>
      <w:r>
        <w:rPr>
          <w:u w:val="single"/>
          <w:rtl/>
        </w:rPr>
        <w:tab/>
      </w:r>
      <w:r>
        <w:rPr>
          <w:u w:val="single"/>
          <w:rtl/>
        </w:rPr>
        <w:tab/>
      </w:r>
    </w:p>
    <w:sectPr w:rsidR="00B17403" w:rsidRPr="00B17403" w:rsidSect="00EC3F0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7AF2F" w14:textId="77777777" w:rsidR="00AB1CA5" w:rsidRPr="002901D9" w:rsidRDefault="00AB1CA5" w:rsidP="002901D9">
      <w:pPr>
        <w:spacing w:after="60" w:line="240" w:lineRule="auto"/>
        <w:rPr>
          <w:i/>
          <w:iCs/>
        </w:rPr>
      </w:pPr>
      <w:r>
        <w:rPr>
          <w:rFonts w:hint="cs"/>
          <w:i/>
          <w:iCs/>
          <w:rtl/>
        </w:rPr>
        <w:t>الحواشي</w:t>
      </w:r>
    </w:p>
  </w:endnote>
  <w:endnote w:type="continuationSeparator" w:id="0">
    <w:p w14:paraId="55216E6F" w14:textId="77777777" w:rsidR="00AB1CA5" w:rsidRDefault="00AB1CA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04BB0" w14:textId="77777777" w:rsidR="00EC3F02" w:rsidRPr="00EC3F02" w:rsidRDefault="00EC3F02" w:rsidP="00EC3F02">
    <w:pPr>
      <w:pStyle w:val="Footer"/>
      <w:tabs>
        <w:tab w:val="right" w:pos="9638"/>
      </w:tabs>
      <w:rPr>
        <w:b/>
        <w:sz w:val="18"/>
        <w:lang w:val="en-US"/>
      </w:rPr>
    </w:pPr>
    <w:r>
      <w:rPr>
        <w:lang w:val="en-US"/>
      </w:rPr>
      <w:t>GE.20-17009</w:t>
    </w:r>
    <w:r>
      <w:rPr>
        <w:lang w:val="en-US"/>
      </w:rPr>
      <w:tab/>
    </w:r>
    <w:r w:rsidRPr="00EC3F02">
      <w:rPr>
        <w:b/>
        <w:sz w:val="18"/>
        <w:lang w:val="en-US"/>
      </w:rPr>
      <w:fldChar w:fldCharType="begin"/>
    </w:r>
    <w:r w:rsidRPr="00EC3F02">
      <w:rPr>
        <w:b/>
        <w:sz w:val="18"/>
        <w:lang w:val="en-US"/>
      </w:rPr>
      <w:instrText xml:space="preserve"> PAGE  \* MERGEFORMAT </w:instrText>
    </w:r>
    <w:r w:rsidRPr="00EC3F02">
      <w:rPr>
        <w:b/>
        <w:sz w:val="18"/>
        <w:lang w:val="en-US"/>
      </w:rPr>
      <w:fldChar w:fldCharType="separate"/>
    </w:r>
    <w:r w:rsidRPr="00EC3F02">
      <w:rPr>
        <w:b/>
        <w:noProof/>
        <w:sz w:val="18"/>
        <w:lang w:val="en-US"/>
      </w:rPr>
      <w:t>2</w:t>
    </w:r>
    <w:r w:rsidRPr="00EC3F0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8CCFB" w14:textId="77777777" w:rsidR="006959B0" w:rsidRPr="00EC3F02" w:rsidRDefault="00EC3F02" w:rsidP="00EC3F0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GE.20-17009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952A3" w14:textId="77777777" w:rsidR="00FD4BC9" w:rsidRPr="00EC3F02" w:rsidRDefault="00EC3F02" w:rsidP="00EC3F02">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BB7F670" wp14:editId="4B75F17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20-17009 (A)</w:t>
    </w:r>
    <w:r>
      <w:rPr>
        <w:noProof/>
        <w:sz w:val="20"/>
        <w:lang w:val="en-US"/>
      </w:rPr>
      <w:drawing>
        <wp:anchor distT="0" distB="0" distL="114300" distR="114300" simplePos="0" relativeHeight="251659264" behindDoc="0" locked="0" layoutInCell="1" allowOverlap="1" wp14:anchorId="06BD46B7" wp14:editId="264E7DD9">
          <wp:simplePos x="0" y="0"/>
          <wp:positionH relativeFrom="margin">
            <wp:posOffset>0</wp:posOffset>
          </wp:positionH>
          <wp:positionV relativeFrom="margin">
            <wp:posOffset>8891905</wp:posOffset>
          </wp:positionV>
          <wp:extent cx="561975" cy="561975"/>
          <wp:effectExtent l="0" t="0" r="9525" b="9525"/>
          <wp:wrapSquare wrapText="bothSides"/>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F754A" w14:textId="77777777" w:rsidR="00AB1CA5" w:rsidRPr="0054762C" w:rsidRDefault="00AB1CA5" w:rsidP="000E524A">
      <w:pPr>
        <w:pStyle w:val="Footer"/>
        <w:bidi/>
        <w:spacing w:after="80" w:line="200" w:lineRule="exact"/>
        <w:ind w:left="680"/>
      </w:pPr>
      <w:r>
        <w:rPr>
          <w:rtl/>
        </w:rPr>
        <w:t>__________</w:t>
      </w:r>
    </w:p>
  </w:footnote>
  <w:footnote w:type="continuationSeparator" w:id="0">
    <w:p w14:paraId="0F5D5ECF" w14:textId="77777777" w:rsidR="00AB1CA5" w:rsidRDefault="00AB1CA5" w:rsidP="00656392">
      <w:pPr>
        <w:spacing w:line="240" w:lineRule="auto"/>
      </w:pPr>
      <w:r>
        <w:continuationSeparator/>
      </w:r>
    </w:p>
  </w:footnote>
  <w:footnote w:id="1">
    <w:p w14:paraId="2CF0F422" w14:textId="77777777" w:rsidR="00B17403" w:rsidRPr="00B17403" w:rsidRDefault="00B17403" w:rsidP="00B17403">
      <w:pPr>
        <w:pStyle w:val="FootnoteText1"/>
        <w:rPr>
          <w:lang w:val="ar-SA" w:eastAsia="zh-TW" w:bidi="en-GB"/>
        </w:rPr>
      </w:pPr>
      <w:r w:rsidRPr="00B17403">
        <w:rPr>
          <w:rFonts w:eastAsiaTheme="minorEastAsia"/>
          <w:szCs w:val="24"/>
        </w:rPr>
        <w:t>*</w:t>
      </w:r>
      <w:r w:rsidRPr="00B17403">
        <w:rPr>
          <w:rFonts w:eastAsiaTheme="minorEastAsia"/>
          <w:szCs w:val="24"/>
          <w:rtl/>
        </w:rPr>
        <w:tab/>
        <w:t xml:space="preserve">اعتمدته اللجنة بين دورتين بتاريخ </w:t>
      </w:r>
      <w:r w:rsidRPr="00B17403">
        <w:rPr>
          <w:rFonts w:eastAsiaTheme="minorEastAsia"/>
          <w:szCs w:val="18"/>
          <w:rtl/>
        </w:rPr>
        <w:t>27</w:t>
      </w:r>
      <w:r w:rsidRPr="00B17403">
        <w:rPr>
          <w:rFonts w:eastAsiaTheme="minorEastAsia"/>
          <w:szCs w:val="24"/>
          <w:rtl/>
        </w:rPr>
        <w:t xml:space="preserve"> تشرين الثاني/نوفمبر </w:t>
      </w:r>
      <w:r w:rsidRPr="00B17403">
        <w:rPr>
          <w:rFonts w:eastAsiaTheme="minorEastAsia"/>
          <w:szCs w:val="18"/>
          <w:rtl/>
        </w:rPr>
        <w:t>2020</w:t>
      </w:r>
      <w:r w:rsidRPr="00B17403">
        <w:rPr>
          <w:rFonts w:eastAsiaTheme="minorEastAsia"/>
          <w:szCs w:val="24"/>
          <w:rtl/>
        </w:rPr>
        <w:t>.</w:t>
      </w:r>
    </w:p>
  </w:footnote>
  <w:footnote w:id="2">
    <w:p w14:paraId="32D279DE"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منظمة الصحة العالمية، </w:t>
      </w:r>
      <w:r w:rsidRPr="00B17403">
        <w:rPr>
          <w:rFonts w:eastAsiaTheme="minorEastAsia"/>
          <w:szCs w:val="24"/>
        </w:rPr>
        <w:t>“Relevant WHO technical documents for COVID-</w:t>
      </w:r>
      <w:r w:rsidRPr="00B17403">
        <w:rPr>
          <w:rFonts w:eastAsiaTheme="minorEastAsia"/>
          <w:szCs w:val="18"/>
        </w:rPr>
        <w:t>19</w:t>
      </w:r>
      <w:r w:rsidRPr="00B17403">
        <w:rPr>
          <w:rFonts w:eastAsiaTheme="minorEastAsia"/>
          <w:szCs w:val="24"/>
        </w:rPr>
        <w:t xml:space="preserve"> vaccines and other biologicals”, </w:t>
      </w:r>
      <w:r w:rsidRPr="00B17403">
        <w:rPr>
          <w:rFonts w:eastAsiaTheme="minorEastAsia"/>
          <w:szCs w:val="18"/>
        </w:rPr>
        <w:t>25</w:t>
      </w:r>
      <w:r w:rsidRPr="00B17403">
        <w:rPr>
          <w:rFonts w:eastAsiaTheme="minorEastAsia"/>
          <w:szCs w:val="24"/>
        </w:rPr>
        <w:t xml:space="preserve"> September </w:t>
      </w:r>
      <w:r w:rsidRPr="00B17403">
        <w:rPr>
          <w:rFonts w:eastAsiaTheme="minorEastAsia"/>
          <w:szCs w:val="18"/>
        </w:rPr>
        <w:t>2020</w:t>
      </w:r>
      <w:r w:rsidRPr="00B17403">
        <w:rPr>
          <w:rFonts w:eastAsiaTheme="minorEastAsia"/>
          <w:szCs w:val="24"/>
        </w:rPr>
        <w:t xml:space="preserve">, </w:t>
      </w:r>
      <w:r w:rsidRPr="00B17403">
        <w:rPr>
          <w:rFonts w:eastAsiaTheme="minorEastAsia"/>
          <w:szCs w:val="18"/>
        </w:rPr>
        <w:t>25</w:t>
      </w:r>
      <w:r w:rsidRPr="00B17403">
        <w:rPr>
          <w:rFonts w:eastAsiaTheme="minorEastAsia"/>
          <w:szCs w:val="24"/>
        </w:rPr>
        <w:t xml:space="preserve"> September </w:t>
      </w:r>
      <w:r w:rsidRPr="00B17403">
        <w:rPr>
          <w:rFonts w:eastAsiaTheme="minorEastAsia"/>
          <w:szCs w:val="18"/>
        </w:rPr>
        <w:t>2020</w:t>
      </w:r>
      <w:r w:rsidRPr="00B17403">
        <w:rPr>
          <w:rFonts w:eastAsiaTheme="minorEastAsia"/>
          <w:szCs w:val="24"/>
          <w:rtl/>
        </w:rPr>
        <w:t xml:space="preserve">. </w:t>
      </w:r>
    </w:p>
  </w:footnote>
  <w:footnote w:id="3">
    <w:p w14:paraId="4F9A185B"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للوقوف على نظرة عامة عن التزامات الدول الأطراف بموجب العهد فيما يخص هذه الجائحة، انظر(ي) بيان اللجنة الصادر في </w:t>
      </w:r>
      <w:r w:rsidRPr="00B17403">
        <w:rPr>
          <w:rFonts w:eastAsiaTheme="minorEastAsia"/>
          <w:szCs w:val="18"/>
          <w:rtl/>
        </w:rPr>
        <w:t>6</w:t>
      </w:r>
      <w:r w:rsidRPr="00B17403">
        <w:rPr>
          <w:rFonts w:eastAsiaTheme="minorEastAsia"/>
          <w:szCs w:val="24"/>
          <w:rtl/>
        </w:rPr>
        <w:t xml:space="preserve"> نيسان/أبريل </w:t>
      </w:r>
      <w:r w:rsidRPr="00B17403">
        <w:rPr>
          <w:rFonts w:eastAsiaTheme="minorEastAsia"/>
          <w:szCs w:val="18"/>
          <w:rtl/>
        </w:rPr>
        <w:t>2020</w:t>
      </w:r>
      <w:r w:rsidRPr="00B17403">
        <w:rPr>
          <w:rFonts w:eastAsiaTheme="minorEastAsia"/>
          <w:szCs w:val="24"/>
          <w:rtl/>
        </w:rPr>
        <w:t xml:space="preserve"> بشأن جائحة مرض فيروس كورونا (</w:t>
      </w:r>
      <w:proofErr w:type="spellStart"/>
      <w:r w:rsidRPr="00B17403">
        <w:rPr>
          <w:rFonts w:eastAsiaTheme="minorEastAsia"/>
          <w:szCs w:val="24"/>
          <w:rtl/>
        </w:rPr>
        <w:t>كوفيد</w:t>
      </w:r>
      <w:proofErr w:type="spellEnd"/>
      <w:r w:rsidRPr="00B17403">
        <w:rPr>
          <w:rFonts w:eastAsiaTheme="minorEastAsia"/>
          <w:szCs w:val="24"/>
        </w:rPr>
        <w:t>-</w:t>
      </w:r>
      <w:r w:rsidRPr="00B17403">
        <w:rPr>
          <w:rFonts w:eastAsiaTheme="minorEastAsia"/>
          <w:szCs w:val="18"/>
          <w:rtl/>
        </w:rPr>
        <w:t>19</w:t>
      </w:r>
      <w:r w:rsidRPr="00B17403">
        <w:rPr>
          <w:rFonts w:eastAsiaTheme="minorEastAsia"/>
          <w:szCs w:val="24"/>
          <w:rtl/>
        </w:rPr>
        <w:t>) والحقوق الاقتصادية والاجتماعية والثقافية (</w:t>
      </w:r>
      <w:r w:rsidRPr="00B17403">
        <w:rPr>
          <w:rFonts w:eastAsiaTheme="minorEastAsia"/>
          <w:szCs w:val="24"/>
        </w:rPr>
        <w:t>E/</w:t>
      </w:r>
      <w:proofErr w:type="spellStart"/>
      <w:r w:rsidRPr="00B17403">
        <w:rPr>
          <w:rFonts w:eastAsiaTheme="minorEastAsia"/>
          <w:szCs w:val="24"/>
        </w:rPr>
        <w:t>C.</w:t>
      </w:r>
      <w:r w:rsidRPr="00B17403">
        <w:rPr>
          <w:rFonts w:eastAsiaTheme="minorEastAsia"/>
          <w:szCs w:val="18"/>
        </w:rPr>
        <w:t>12</w:t>
      </w:r>
      <w:proofErr w:type="spellEnd"/>
      <w:r w:rsidRPr="00B17403">
        <w:rPr>
          <w:rFonts w:eastAsiaTheme="minorEastAsia"/>
          <w:szCs w:val="24"/>
        </w:rPr>
        <w:t>/</w:t>
      </w:r>
      <w:r w:rsidRPr="00B17403">
        <w:rPr>
          <w:rFonts w:eastAsiaTheme="minorEastAsia"/>
          <w:szCs w:val="18"/>
        </w:rPr>
        <w:t>2020</w:t>
      </w:r>
      <w:r w:rsidRPr="00B17403">
        <w:rPr>
          <w:rFonts w:eastAsiaTheme="minorEastAsia"/>
          <w:szCs w:val="24"/>
        </w:rPr>
        <w:t>/</w:t>
      </w:r>
      <w:r w:rsidRPr="00B17403">
        <w:rPr>
          <w:rFonts w:eastAsiaTheme="minorEastAsia"/>
          <w:szCs w:val="18"/>
        </w:rPr>
        <w:t>1</w:t>
      </w:r>
      <w:r w:rsidRPr="00B17403">
        <w:rPr>
          <w:rFonts w:eastAsiaTheme="minorEastAsia"/>
          <w:szCs w:val="24"/>
          <w:rtl/>
        </w:rPr>
        <w:t>).</w:t>
      </w:r>
    </w:p>
  </w:footnote>
  <w:footnote w:id="4">
    <w:p w14:paraId="65A54BAD"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العهد الدولي الخاص بالحقوق الاقتصادية والاجتماعية والثقافية، المادة </w:t>
      </w:r>
      <w:r w:rsidRPr="00B17403">
        <w:rPr>
          <w:rFonts w:eastAsiaTheme="minorEastAsia"/>
          <w:szCs w:val="18"/>
          <w:rtl/>
        </w:rPr>
        <w:t>12</w:t>
      </w:r>
      <w:r w:rsidRPr="00B17403">
        <w:rPr>
          <w:rFonts w:eastAsiaTheme="minorEastAsia"/>
          <w:szCs w:val="24"/>
          <w:rtl/>
        </w:rPr>
        <w:t xml:space="preserve">؛ والإعلان العالمي لحقوق الإنسان، المادة </w:t>
      </w:r>
      <w:r w:rsidRPr="00B17403">
        <w:rPr>
          <w:rFonts w:eastAsiaTheme="minorEastAsia"/>
          <w:szCs w:val="18"/>
          <w:rtl/>
        </w:rPr>
        <w:t>25</w:t>
      </w:r>
      <w:r w:rsidRPr="00B17403">
        <w:rPr>
          <w:rFonts w:eastAsiaTheme="minorEastAsia"/>
          <w:szCs w:val="24"/>
          <w:rtl/>
        </w:rPr>
        <w:t>.</w:t>
      </w:r>
    </w:p>
  </w:footnote>
  <w:footnote w:id="5">
    <w:p w14:paraId="115505EA"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اللجنة المعنية بالحقوق الاقتصادية والاجتماعية والثقافية، التعليق العام رقم </w:t>
      </w:r>
      <w:r w:rsidRPr="00B17403">
        <w:rPr>
          <w:rFonts w:eastAsiaTheme="minorEastAsia"/>
          <w:szCs w:val="18"/>
          <w:rtl/>
        </w:rPr>
        <w:t>14</w:t>
      </w:r>
      <w:r w:rsidRPr="00B17403">
        <w:rPr>
          <w:rFonts w:eastAsiaTheme="minorEastAsia"/>
          <w:szCs w:val="24"/>
          <w:rtl/>
        </w:rPr>
        <w:t>(</w:t>
      </w:r>
      <w:r w:rsidRPr="00B17403">
        <w:rPr>
          <w:rFonts w:eastAsiaTheme="minorEastAsia"/>
          <w:szCs w:val="18"/>
          <w:rtl/>
        </w:rPr>
        <w:t>2000</w:t>
      </w:r>
      <w:r w:rsidRPr="00B17403">
        <w:rPr>
          <w:rFonts w:eastAsiaTheme="minorEastAsia"/>
          <w:szCs w:val="24"/>
          <w:rtl/>
        </w:rPr>
        <w:t xml:space="preserve">)، الفقرة </w:t>
      </w:r>
      <w:r w:rsidRPr="00B17403">
        <w:rPr>
          <w:rFonts w:eastAsiaTheme="minorEastAsia"/>
          <w:szCs w:val="18"/>
          <w:rtl/>
        </w:rPr>
        <w:t>36</w:t>
      </w:r>
      <w:r w:rsidRPr="00B17403">
        <w:rPr>
          <w:rFonts w:eastAsiaTheme="minorEastAsia"/>
          <w:szCs w:val="24"/>
          <w:rtl/>
        </w:rPr>
        <w:t>.</w:t>
      </w:r>
    </w:p>
  </w:footnote>
  <w:footnote w:id="6">
    <w:p w14:paraId="05D0A23A"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العهد الدولي الخاص بالحقوق الاقتصادية والاجتماعية والثقافية، المادة </w:t>
      </w:r>
      <w:r w:rsidRPr="00B17403">
        <w:rPr>
          <w:rFonts w:eastAsiaTheme="minorEastAsia"/>
          <w:szCs w:val="18"/>
          <w:rtl/>
        </w:rPr>
        <w:t>15</w:t>
      </w:r>
      <w:r w:rsidRPr="00B17403">
        <w:rPr>
          <w:rFonts w:eastAsiaTheme="minorEastAsia"/>
          <w:szCs w:val="24"/>
          <w:rtl/>
        </w:rPr>
        <w:t xml:space="preserve">؛ والإعلان العالمي لحقوق الإنسان، المادة </w:t>
      </w:r>
      <w:r w:rsidRPr="00B17403">
        <w:rPr>
          <w:rFonts w:eastAsiaTheme="minorEastAsia"/>
          <w:szCs w:val="18"/>
          <w:rtl/>
        </w:rPr>
        <w:t>27</w:t>
      </w:r>
      <w:r w:rsidRPr="00B17403">
        <w:rPr>
          <w:rFonts w:eastAsiaTheme="minorEastAsia"/>
          <w:szCs w:val="24"/>
          <w:rtl/>
        </w:rPr>
        <w:t>.</w:t>
      </w:r>
    </w:p>
  </w:footnote>
  <w:footnote w:id="7">
    <w:p w14:paraId="2FEC31BC"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اللجنة المعنية بالحقوق الاقتصادية والاجتماعية والثقافية، التعليق العام رقم </w:t>
      </w:r>
      <w:r w:rsidRPr="00B17403">
        <w:rPr>
          <w:rFonts w:eastAsiaTheme="minorEastAsia"/>
          <w:szCs w:val="18"/>
          <w:rtl/>
        </w:rPr>
        <w:t>25</w:t>
      </w:r>
      <w:r w:rsidRPr="00B17403">
        <w:rPr>
          <w:rFonts w:eastAsiaTheme="minorEastAsia"/>
          <w:szCs w:val="24"/>
          <w:rtl/>
        </w:rPr>
        <w:t>(</w:t>
      </w:r>
      <w:r w:rsidRPr="00B17403">
        <w:rPr>
          <w:rFonts w:eastAsiaTheme="minorEastAsia"/>
          <w:szCs w:val="18"/>
          <w:rtl/>
        </w:rPr>
        <w:t>2020</w:t>
      </w:r>
      <w:r w:rsidRPr="00B17403">
        <w:rPr>
          <w:rFonts w:eastAsiaTheme="minorEastAsia"/>
          <w:szCs w:val="24"/>
          <w:rtl/>
        </w:rPr>
        <w:t xml:space="preserve">)، الفقرة </w:t>
      </w:r>
      <w:r w:rsidRPr="00B17403">
        <w:rPr>
          <w:rFonts w:eastAsiaTheme="minorEastAsia"/>
          <w:szCs w:val="18"/>
          <w:rtl/>
        </w:rPr>
        <w:t>70</w:t>
      </w:r>
      <w:r w:rsidRPr="00B17403">
        <w:rPr>
          <w:rFonts w:eastAsiaTheme="minorEastAsia"/>
          <w:szCs w:val="24"/>
          <w:rtl/>
        </w:rPr>
        <w:t>.</w:t>
      </w:r>
    </w:p>
  </w:footnote>
  <w:footnote w:id="8">
    <w:p w14:paraId="133CC8A6"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العهد الدولي الخاص بالحقوق الاقتصادية والاجتماعية والثقافية، المواد </w:t>
      </w:r>
      <w:r w:rsidRPr="00B17403">
        <w:rPr>
          <w:rFonts w:eastAsiaTheme="minorEastAsia"/>
          <w:szCs w:val="18"/>
          <w:rtl/>
        </w:rPr>
        <w:t>2</w:t>
      </w:r>
      <w:r w:rsidRPr="00B17403">
        <w:rPr>
          <w:rFonts w:eastAsiaTheme="minorEastAsia"/>
          <w:szCs w:val="24"/>
          <w:rtl/>
        </w:rPr>
        <w:t xml:space="preserve"> </w:t>
      </w:r>
      <w:proofErr w:type="spellStart"/>
      <w:r w:rsidRPr="00B17403">
        <w:rPr>
          <w:rFonts w:eastAsiaTheme="minorEastAsia"/>
          <w:szCs w:val="24"/>
          <w:rtl/>
        </w:rPr>
        <w:t>و</w:t>
      </w:r>
      <w:r w:rsidRPr="00B17403">
        <w:rPr>
          <w:rFonts w:eastAsiaTheme="minorEastAsia"/>
          <w:szCs w:val="18"/>
          <w:rtl/>
        </w:rPr>
        <w:t>12</w:t>
      </w:r>
      <w:proofErr w:type="spellEnd"/>
      <w:r w:rsidRPr="00B17403">
        <w:rPr>
          <w:rFonts w:eastAsiaTheme="minorEastAsia"/>
          <w:szCs w:val="24"/>
          <w:rtl/>
        </w:rPr>
        <w:t xml:space="preserve"> </w:t>
      </w:r>
      <w:proofErr w:type="spellStart"/>
      <w:r w:rsidRPr="00B17403">
        <w:rPr>
          <w:rFonts w:eastAsiaTheme="minorEastAsia"/>
          <w:szCs w:val="24"/>
          <w:rtl/>
        </w:rPr>
        <w:t>و</w:t>
      </w:r>
      <w:r w:rsidRPr="00B17403">
        <w:rPr>
          <w:rFonts w:eastAsiaTheme="minorEastAsia"/>
          <w:szCs w:val="18"/>
          <w:rtl/>
        </w:rPr>
        <w:t>15</w:t>
      </w:r>
      <w:proofErr w:type="spellEnd"/>
      <w:r w:rsidRPr="00B17403">
        <w:rPr>
          <w:rFonts w:eastAsiaTheme="minorEastAsia"/>
          <w:szCs w:val="24"/>
          <w:rtl/>
        </w:rPr>
        <w:t>.</w:t>
      </w:r>
    </w:p>
  </w:footnote>
  <w:footnote w:id="9">
    <w:p w14:paraId="1DEA497F"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اللجنة المعنية بالحقوق الاقتصادية والاجتماعية والثقافية، التعليق العام رقم </w:t>
      </w:r>
      <w:r w:rsidRPr="00B17403">
        <w:rPr>
          <w:rFonts w:eastAsiaTheme="minorEastAsia"/>
          <w:szCs w:val="18"/>
          <w:rtl/>
        </w:rPr>
        <w:t>14</w:t>
      </w:r>
      <w:r w:rsidRPr="00B17403">
        <w:rPr>
          <w:rFonts w:eastAsiaTheme="minorEastAsia"/>
          <w:szCs w:val="24"/>
          <w:rtl/>
        </w:rPr>
        <w:t>(</w:t>
      </w:r>
      <w:r w:rsidRPr="00B17403">
        <w:rPr>
          <w:rFonts w:eastAsiaTheme="minorEastAsia"/>
          <w:szCs w:val="18"/>
          <w:rtl/>
        </w:rPr>
        <w:t>2000</w:t>
      </w:r>
      <w:r w:rsidRPr="00B17403">
        <w:rPr>
          <w:rFonts w:eastAsiaTheme="minorEastAsia"/>
          <w:szCs w:val="24"/>
          <w:rtl/>
        </w:rPr>
        <w:t xml:space="preserve">)، الفقرة </w:t>
      </w:r>
      <w:r w:rsidRPr="00B17403">
        <w:rPr>
          <w:rFonts w:eastAsiaTheme="minorEastAsia"/>
          <w:szCs w:val="18"/>
          <w:rtl/>
        </w:rPr>
        <w:t>44</w:t>
      </w:r>
      <w:r w:rsidRPr="00B17403">
        <w:rPr>
          <w:rFonts w:eastAsiaTheme="minorEastAsia"/>
          <w:szCs w:val="24"/>
          <w:rtl/>
        </w:rPr>
        <w:t>.</w:t>
      </w:r>
    </w:p>
  </w:footnote>
  <w:footnote w:id="10">
    <w:p w14:paraId="401241A9"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المرجع نفسه، الفقرة </w:t>
      </w:r>
      <w:r w:rsidRPr="00B17403">
        <w:rPr>
          <w:rFonts w:eastAsiaTheme="minorEastAsia"/>
          <w:szCs w:val="18"/>
          <w:rtl/>
        </w:rPr>
        <w:t>12</w:t>
      </w:r>
      <w:r w:rsidRPr="00B17403">
        <w:rPr>
          <w:rFonts w:eastAsiaTheme="minorEastAsia"/>
          <w:szCs w:val="24"/>
          <w:rtl/>
        </w:rPr>
        <w:t>.</w:t>
      </w:r>
    </w:p>
  </w:footnote>
  <w:footnote w:id="11">
    <w:p w14:paraId="176DD6E6"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اللجنة المعنية بالحقوق الاقتصادية والاجتماعية والثقافية، التعليق العام رقم </w:t>
      </w:r>
      <w:r w:rsidRPr="00B17403">
        <w:rPr>
          <w:rFonts w:eastAsiaTheme="minorEastAsia"/>
          <w:szCs w:val="18"/>
          <w:rtl/>
        </w:rPr>
        <w:t>25</w:t>
      </w:r>
      <w:r w:rsidRPr="00B17403">
        <w:rPr>
          <w:rFonts w:eastAsiaTheme="minorEastAsia"/>
          <w:szCs w:val="24"/>
          <w:rtl/>
        </w:rPr>
        <w:t>(</w:t>
      </w:r>
      <w:r w:rsidRPr="00B17403">
        <w:rPr>
          <w:rFonts w:eastAsiaTheme="minorEastAsia"/>
          <w:szCs w:val="18"/>
          <w:rtl/>
        </w:rPr>
        <w:t>2020</w:t>
      </w:r>
      <w:r w:rsidRPr="00B17403">
        <w:rPr>
          <w:rFonts w:eastAsiaTheme="minorEastAsia"/>
          <w:szCs w:val="24"/>
          <w:rtl/>
        </w:rPr>
        <w:t xml:space="preserve">)، الفقرة </w:t>
      </w:r>
      <w:r w:rsidRPr="00B17403">
        <w:rPr>
          <w:rFonts w:eastAsiaTheme="minorEastAsia"/>
          <w:szCs w:val="18"/>
          <w:rtl/>
        </w:rPr>
        <w:t>52</w:t>
      </w:r>
      <w:r w:rsidRPr="00B17403">
        <w:rPr>
          <w:rFonts w:eastAsiaTheme="minorEastAsia"/>
          <w:szCs w:val="24"/>
          <w:rtl/>
        </w:rPr>
        <w:t>.</w:t>
      </w:r>
    </w:p>
  </w:footnote>
  <w:footnote w:id="12">
    <w:p w14:paraId="6BD9FB9C"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العهد الدولي الخاص بالحقوق الاقتصادية والاجتماعية والثقافية، المادة </w:t>
      </w:r>
      <w:r w:rsidRPr="00B17403">
        <w:rPr>
          <w:rFonts w:eastAsiaTheme="minorEastAsia"/>
          <w:szCs w:val="18"/>
          <w:rtl/>
        </w:rPr>
        <w:t>2</w:t>
      </w:r>
      <w:r w:rsidRPr="00B17403">
        <w:rPr>
          <w:rFonts w:eastAsiaTheme="minorEastAsia"/>
          <w:szCs w:val="24"/>
          <w:rtl/>
        </w:rPr>
        <w:t>؛ وانظر(ي) أيضا</w:t>
      </w:r>
      <w:r w:rsidR="007C3B93">
        <w:rPr>
          <w:rFonts w:eastAsiaTheme="minorEastAsia" w:hint="cs"/>
          <w:szCs w:val="24"/>
          <w:rtl/>
        </w:rPr>
        <w:t>ً</w:t>
      </w:r>
      <w:r w:rsidRPr="00B17403">
        <w:rPr>
          <w:rFonts w:eastAsiaTheme="minorEastAsia"/>
          <w:szCs w:val="24"/>
          <w:rtl/>
        </w:rPr>
        <w:t xml:space="preserve"> اللجنة المعنية بالحقوق الاقتصادية والاجتماعية والثقافية، التعليق العام رقم </w:t>
      </w:r>
      <w:r w:rsidRPr="00B17403">
        <w:rPr>
          <w:rFonts w:eastAsiaTheme="minorEastAsia"/>
          <w:szCs w:val="18"/>
          <w:rtl/>
        </w:rPr>
        <w:t>20</w:t>
      </w:r>
      <w:r w:rsidRPr="00B17403">
        <w:rPr>
          <w:rFonts w:eastAsiaTheme="minorEastAsia"/>
          <w:szCs w:val="24"/>
          <w:rtl/>
        </w:rPr>
        <w:t>(</w:t>
      </w:r>
      <w:r w:rsidRPr="00B17403">
        <w:rPr>
          <w:rFonts w:eastAsiaTheme="minorEastAsia"/>
          <w:szCs w:val="18"/>
          <w:rtl/>
        </w:rPr>
        <w:t>2009</w:t>
      </w:r>
      <w:r w:rsidRPr="00B17403">
        <w:rPr>
          <w:rFonts w:eastAsiaTheme="minorEastAsia"/>
          <w:szCs w:val="24"/>
          <w:rtl/>
        </w:rPr>
        <w:t>).</w:t>
      </w:r>
    </w:p>
  </w:footnote>
  <w:footnote w:id="13">
    <w:p w14:paraId="24968982"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اللجنة المعنية بالحقوق الاقتصادية والاجتماعية والثقافية، التعليق العام رقم </w:t>
      </w:r>
      <w:r w:rsidRPr="00B17403">
        <w:rPr>
          <w:rFonts w:eastAsiaTheme="minorEastAsia"/>
          <w:szCs w:val="18"/>
          <w:rtl/>
        </w:rPr>
        <w:t>17</w:t>
      </w:r>
      <w:r w:rsidRPr="00B17403">
        <w:rPr>
          <w:rFonts w:eastAsiaTheme="minorEastAsia"/>
          <w:szCs w:val="24"/>
          <w:rtl/>
        </w:rPr>
        <w:t>(</w:t>
      </w:r>
      <w:r w:rsidRPr="00B17403">
        <w:rPr>
          <w:rFonts w:eastAsiaTheme="minorEastAsia"/>
          <w:szCs w:val="18"/>
          <w:rtl/>
        </w:rPr>
        <w:t>2006</w:t>
      </w:r>
      <w:r w:rsidRPr="00B17403">
        <w:rPr>
          <w:rFonts w:eastAsiaTheme="minorEastAsia"/>
          <w:szCs w:val="24"/>
          <w:rtl/>
        </w:rPr>
        <w:t xml:space="preserve">)، الفقرتان </w:t>
      </w:r>
      <w:r w:rsidRPr="00B17403">
        <w:rPr>
          <w:rFonts w:eastAsiaTheme="minorEastAsia"/>
          <w:szCs w:val="18"/>
          <w:rtl/>
        </w:rPr>
        <w:t>1</w:t>
      </w:r>
      <w:r w:rsidRPr="00B17403">
        <w:rPr>
          <w:rFonts w:eastAsiaTheme="minorEastAsia"/>
          <w:szCs w:val="24"/>
          <w:rtl/>
        </w:rPr>
        <w:t xml:space="preserve"> </w:t>
      </w:r>
      <w:proofErr w:type="spellStart"/>
      <w:r w:rsidRPr="00B17403">
        <w:rPr>
          <w:rFonts w:eastAsiaTheme="minorEastAsia"/>
          <w:szCs w:val="24"/>
          <w:rtl/>
        </w:rPr>
        <w:t>و</w:t>
      </w:r>
      <w:r w:rsidRPr="00B17403">
        <w:rPr>
          <w:rFonts w:eastAsiaTheme="minorEastAsia"/>
          <w:szCs w:val="18"/>
          <w:rtl/>
        </w:rPr>
        <w:t>2</w:t>
      </w:r>
      <w:proofErr w:type="spellEnd"/>
      <w:r w:rsidRPr="00B17403">
        <w:rPr>
          <w:rFonts w:eastAsiaTheme="minorEastAsia"/>
          <w:szCs w:val="24"/>
          <w:rtl/>
        </w:rPr>
        <w:t>.</w:t>
      </w:r>
    </w:p>
  </w:footnote>
  <w:footnote w:id="14">
    <w:p w14:paraId="3E260131"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المرجع نفسه، الفقرة </w:t>
      </w:r>
      <w:r w:rsidRPr="00B17403">
        <w:rPr>
          <w:rFonts w:eastAsiaTheme="minorEastAsia"/>
          <w:szCs w:val="18"/>
          <w:rtl/>
        </w:rPr>
        <w:t>35</w:t>
      </w:r>
      <w:r w:rsidRPr="00B17403">
        <w:rPr>
          <w:rFonts w:eastAsiaTheme="minorEastAsia"/>
          <w:szCs w:val="24"/>
          <w:rtl/>
        </w:rPr>
        <w:t>.</w:t>
      </w:r>
    </w:p>
  </w:footnote>
  <w:footnote w:id="15">
    <w:p w14:paraId="53087AC8"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اللجنة المعنية بالحقوق الاقتصادية والاجتماعية والثقافية، التعليق العام رقم </w:t>
      </w:r>
      <w:r w:rsidRPr="00B17403">
        <w:rPr>
          <w:rFonts w:eastAsiaTheme="minorEastAsia"/>
          <w:szCs w:val="18"/>
          <w:rtl/>
        </w:rPr>
        <w:t>25</w:t>
      </w:r>
      <w:r w:rsidRPr="00B17403">
        <w:rPr>
          <w:rFonts w:eastAsiaTheme="minorEastAsia"/>
          <w:szCs w:val="24"/>
          <w:rtl/>
        </w:rPr>
        <w:t>(</w:t>
      </w:r>
      <w:r w:rsidRPr="00B17403">
        <w:rPr>
          <w:rFonts w:eastAsiaTheme="minorEastAsia"/>
          <w:szCs w:val="18"/>
          <w:rtl/>
        </w:rPr>
        <w:t>2020</w:t>
      </w:r>
      <w:r w:rsidRPr="00B17403">
        <w:rPr>
          <w:rFonts w:eastAsiaTheme="minorEastAsia"/>
          <w:szCs w:val="24"/>
          <w:rtl/>
        </w:rPr>
        <w:t xml:space="preserve">)، الفقرة </w:t>
      </w:r>
      <w:r w:rsidRPr="00B17403">
        <w:rPr>
          <w:rFonts w:eastAsiaTheme="minorEastAsia"/>
          <w:szCs w:val="18"/>
          <w:rtl/>
        </w:rPr>
        <w:t>69</w:t>
      </w:r>
      <w:r w:rsidRPr="00B17403">
        <w:rPr>
          <w:rFonts w:eastAsiaTheme="minorEastAsia"/>
          <w:szCs w:val="24"/>
          <w:rtl/>
        </w:rPr>
        <w:t>.</w:t>
      </w:r>
    </w:p>
  </w:footnote>
  <w:footnote w:id="16">
    <w:p w14:paraId="075B3D86"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r>
      <w:r w:rsidRPr="00B17403">
        <w:rPr>
          <w:rFonts w:eastAsiaTheme="minorEastAsia"/>
          <w:szCs w:val="24"/>
        </w:rPr>
        <w:t>Office of the United Nations High Commissioner for Human Rights (OHCHR), “Statement by UN Human Rights Experts: Universal access to vaccines is essential for prevention and containment of COVID-</w:t>
      </w:r>
      <w:r w:rsidRPr="00B17403">
        <w:rPr>
          <w:rFonts w:eastAsiaTheme="minorEastAsia"/>
          <w:szCs w:val="18"/>
        </w:rPr>
        <w:t>19</w:t>
      </w:r>
      <w:r w:rsidRPr="00B17403">
        <w:rPr>
          <w:rFonts w:eastAsiaTheme="minorEastAsia"/>
          <w:szCs w:val="24"/>
        </w:rPr>
        <w:t xml:space="preserve"> around the world”, press statement, </w:t>
      </w:r>
      <w:r w:rsidRPr="00B17403">
        <w:rPr>
          <w:rFonts w:eastAsiaTheme="minorEastAsia"/>
          <w:szCs w:val="18"/>
        </w:rPr>
        <w:t>9</w:t>
      </w:r>
      <w:r w:rsidRPr="00B17403">
        <w:rPr>
          <w:rFonts w:eastAsiaTheme="minorEastAsia"/>
          <w:szCs w:val="24"/>
        </w:rPr>
        <w:t xml:space="preserve"> November </w:t>
      </w:r>
      <w:r w:rsidRPr="00B17403">
        <w:rPr>
          <w:rFonts w:eastAsiaTheme="minorEastAsia"/>
          <w:szCs w:val="18"/>
        </w:rPr>
        <w:t>2020</w:t>
      </w:r>
      <w:r w:rsidRPr="00B17403">
        <w:rPr>
          <w:rFonts w:eastAsiaTheme="minorEastAsia"/>
          <w:szCs w:val="24"/>
          <w:rtl/>
        </w:rPr>
        <w:t xml:space="preserve">. </w:t>
      </w:r>
    </w:p>
  </w:footnote>
  <w:footnote w:id="17">
    <w:p w14:paraId="5254029D"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اللجنة المعنية بالحقوق الاقتصادية والاجتماعية والثقافية، التعليق العام رقم </w:t>
      </w:r>
      <w:r w:rsidRPr="00B17403">
        <w:rPr>
          <w:rFonts w:eastAsiaTheme="minorEastAsia"/>
          <w:szCs w:val="18"/>
          <w:rtl/>
        </w:rPr>
        <w:t>14</w:t>
      </w:r>
      <w:r w:rsidRPr="00B17403">
        <w:rPr>
          <w:rFonts w:eastAsiaTheme="minorEastAsia"/>
          <w:szCs w:val="24"/>
          <w:rtl/>
        </w:rPr>
        <w:t>(</w:t>
      </w:r>
      <w:r w:rsidRPr="00B17403">
        <w:rPr>
          <w:rFonts w:eastAsiaTheme="minorEastAsia"/>
          <w:szCs w:val="18"/>
          <w:rtl/>
        </w:rPr>
        <w:t>2017</w:t>
      </w:r>
      <w:r w:rsidRPr="00B17403">
        <w:rPr>
          <w:rFonts w:eastAsiaTheme="minorEastAsia"/>
          <w:szCs w:val="24"/>
          <w:rtl/>
        </w:rPr>
        <w:t xml:space="preserve">)، الفقرة </w:t>
      </w:r>
      <w:r w:rsidRPr="00B17403">
        <w:rPr>
          <w:rFonts w:eastAsiaTheme="minorEastAsia"/>
          <w:szCs w:val="18"/>
          <w:rtl/>
        </w:rPr>
        <w:t>5</w:t>
      </w:r>
      <w:r w:rsidRPr="00B17403">
        <w:rPr>
          <w:rFonts w:eastAsiaTheme="minorEastAsia"/>
          <w:szCs w:val="24"/>
          <w:rtl/>
        </w:rPr>
        <w:t xml:space="preserve">. وانظر(ي) المبادئ التوجيهية المتعلقة بالأعمال التجارية وحقوق الإنسان، المبدأ </w:t>
      </w:r>
      <w:r w:rsidRPr="00B17403">
        <w:rPr>
          <w:rFonts w:eastAsiaTheme="minorEastAsia"/>
          <w:szCs w:val="18"/>
          <w:rtl/>
        </w:rPr>
        <w:t>11</w:t>
      </w:r>
      <w:r w:rsidRPr="00B17403">
        <w:rPr>
          <w:rFonts w:eastAsiaTheme="minorEastAsia"/>
          <w:szCs w:val="24"/>
          <w:rtl/>
        </w:rPr>
        <w:t>.</w:t>
      </w:r>
    </w:p>
  </w:footnote>
  <w:footnote w:id="18">
    <w:p w14:paraId="7BF51F11"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اللجنة المعنية بالحقوق الاقتصادية والاجتماعية والثقافية، التعليق العام رقم </w:t>
      </w:r>
      <w:r w:rsidRPr="00B17403">
        <w:rPr>
          <w:rFonts w:eastAsiaTheme="minorEastAsia"/>
          <w:szCs w:val="18"/>
          <w:rtl/>
        </w:rPr>
        <w:t>24</w:t>
      </w:r>
      <w:r w:rsidRPr="00B17403">
        <w:rPr>
          <w:rFonts w:eastAsiaTheme="minorEastAsia"/>
          <w:szCs w:val="24"/>
          <w:rtl/>
        </w:rPr>
        <w:t>(</w:t>
      </w:r>
      <w:r w:rsidRPr="00B17403">
        <w:rPr>
          <w:rFonts w:eastAsiaTheme="minorEastAsia"/>
          <w:szCs w:val="18"/>
          <w:rtl/>
        </w:rPr>
        <w:t>2017</w:t>
      </w:r>
      <w:r w:rsidRPr="00B17403">
        <w:rPr>
          <w:rFonts w:eastAsiaTheme="minorEastAsia"/>
          <w:szCs w:val="24"/>
          <w:rtl/>
        </w:rPr>
        <w:t xml:space="preserve">)، الفقرة </w:t>
      </w:r>
      <w:r w:rsidRPr="00B17403">
        <w:rPr>
          <w:rFonts w:eastAsiaTheme="minorEastAsia"/>
          <w:szCs w:val="18"/>
          <w:rtl/>
        </w:rPr>
        <w:t>11</w:t>
      </w:r>
      <w:r w:rsidRPr="00B17403">
        <w:rPr>
          <w:rFonts w:eastAsiaTheme="minorEastAsia"/>
          <w:szCs w:val="24"/>
          <w:rtl/>
        </w:rPr>
        <w:t>.</w:t>
      </w:r>
    </w:p>
  </w:footnote>
  <w:footnote w:id="19">
    <w:p w14:paraId="05B5CDCF"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المرجع نفسه، الفقرتان </w:t>
      </w:r>
      <w:r w:rsidRPr="00B17403">
        <w:rPr>
          <w:rFonts w:eastAsiaTheme="minorEastAsia"/>
          <w:szCs w:val="18"/>
          <w:rtl/>
        </w:rPr>
        <w:t>26</w:t>
      </w:r>
      <w:r w:rsidRPr="00B17403">
        <w:rPr>
          <w:rFonts w:eastAsiaTheme="minorEastAsia"/>
          <w:szCs w:val="24"/>
          <w:rtl/>
        </w:rPr>
        <w:t xml:space="preserve"> </w:t>
      </w:r>
      <w:proofErr w:type="spellStart"/>
      <w:r w:rsidRPr="00B17403">
        <w:rPr>
          <w:rFonts w:eastAsiaTheme="minorEastAsia"/>
          <w:szCs w:val="24"/>
          <w:rtl/>
        </w:rPr>
        <w:t>و</w:t>
      </w:r>
      <w:r w:rsidRPr="00B17403">
        <w:rPr>
          <w:rFonts w:eastAsiaTheme="minorEastAsia"/>
          <w:szCs w:val="18"/>
          <w:rtl/>
        </w:rPr>
        <w:t>28</w:t>
      </w:r>
      <w:proofErr w:type="spellEnd"/>
      <w:r w:rsidRPr="00B17403">
        <w:rPr>
          <w:rFonts w:eastAsiaTheme="minorEastAsia"/>
          <w:szCs w:val="24"/>
          <w:rtl/>
        </w:rPr>
        <w:t>.</w:t>
      </w:r>
    </w:p>
  </w:footnote>
  <w:footnote w:id="20">
    <w:p w14:paraId="2AA530C7"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العهد الدولي الخاص بالحقوق الاقتصادية والاجتماعية والثقافية، المادة </w:t>
      </w:r>
      <w:r w:rsidRPr="00B17403">
        <w:rPr>
          <w:rFonts w:eastAsiaTheme="minorEastAsia"/>
          <w:szCs w:val="18"/>
          <w:rtl/>
        </w:rPr>
        <w:t>2</w:t>
      </w:r>
      <w:r w:rsidRPr="00B17403">
        <w:rPr>
          <w:rFonts w:eastAsiaTheme="minorEastAsia"/>
          <w:szCs w:val="24"/>
          <w:rtl/>
        </w:rPr>
        <w:t>(</w:t>
      </w:r>
      <w:r w:rsidRPr="00B17403">
        <w:rPr>
          <w:rFonts w:eastAsiaTheme="minorEastAsia"/>
          <w:szCs w:val="18"/>
          <w:rtl/>
        </w:rPr>
        <w:t>1</w:t>
      </w:r>
      <w:r w:rsidRPr="00B17403">
        <w:rPr>
          <w:rFonts w:eastAsiaTheme="minorEastAsia"/>
          <w:szCs w:val="24"/>
          <w:rtl/>
        </w:rPr>
        <w:t>).</w:t>
      </w:r>
    </w:p>
  </w:footnote>
  <w:footnote w:id="21">
    <w:p w14:paraId="1E4D0D13"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اللجنة المعنية بالحقوق الاقتصادية والاجتماعية والثقافية، التعليق العام رقم </w:t>
      </w:r>
      <w:r w:rsidRPr="00B17403">
        <w:rPr>
          <w:rFonts w:eastAsiaTheme="minorEastAsia"/>
          <w:szCs w:val="18"/>
          <w:rtl/>
        </w:rPr>
        <w:t>25</w:t>
      </w:r>
      <w:r w:rsidRPr="00B17403">
        <w:rPr>
          <w:rFonts w:eastAsiaTheme="minorEastAsia"/>
          <w:szCs w:val="24"/>
          <w:rtl/>
        </w:rPr>
        <w:t>(</w:t>
      </w:r>
      <w:r w:rsidRPr="00B17403">
        <w:rPr>
          <w:rFonts w:eastAsiaTheme="minorEastAsia"/>
          <w:szCs w:val="18"/>
          <w:rtl/>
        </w:rPr>
        <w:t>2020</w:t>
      </w:r>
      <w:r w:rsidRPr="00B17403">
        <w:rPr>
          <w:rFonts w:eastAsiaTheme="minorEastAsia"/>
          <w:szCs w:val="24"/>
          <w:rtl/>
        </w:rPr>
        <w:t xml:space="preserve">)، الفقرة </w:t>
      </w:r>
      <w:r w:rsidRPr="00B17403">
        <w:rPr>
          <w:rFonts w:eastAsiaTheme="minorEastAsia"/>
          <w:szCs w:val="18"/>
          <w:rtl/>
        </w:rPr>
        <w:t>82</w:t>
      </w:r>
      <w:r w:rsidRPr="00B17403">
        <w:rPr>
          <w:rFonts w:eastAsiaTheme="minorEastAsia"/>
          <w:szCs w:val="24"/>
          <w:rtl/>
        </w:rPr>
        <w:t>.</w:t>
      </w:r>
    </w:p>
  </w:footnote>
  <w:footnote w:id="22">
    <w:p w14:paraId="0CFB5005"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المرجع نفسه، التعليق العام رقم </w:t>
      </w:r>
      <w:r w:rsidRPr="00B17403">
        <w:rPr>
          <w:rFonts w:eastAsiaTheme="minorEastAsia"/>
          <w:szCs w:val="18"/>
          <w:rtl/>
        </w:rPr>
        <w:t>24</w:t>
      </w:r>
      <w:r w:rsidRPr="00B17403">
        <w:rPr>
          <w:rFonts w:eastAsiaTheme="minorEastAsia"/>
          <w:szCs w:val="24"/>
          <w:rtl/>
        </w:rPr>
        <w:t>(</w:t>
      </w:r>
      <w:r w:rsidRPr="00B17403">
        <w:rPr>
          <w:rFonts w:eastAsiaTheme="minorEastAsia"/>
          <w:szCs w:val="18"/>
          <w:rtl/>
        </w:rPr>
        <w:t>2017</w:t>
      </w:r>
      <w:r w:rsidRPr="00B17403">
        <w:rPr>
          <w:rFonts w:eastAsiaTheme="minorEastAsia"/>
          <w:szCs w:val="24"/>
          <w:rtl/>
        </w:rPr>
        <w:t>).</w:t>
      </w:r>
    </w:p>
  </w:footnote>
  <w:footnote w:id="23">
    <w:p w14:paraId="2039998C"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اللجنة المعنية بالحقوق الاقتصادية والاجتماعية والثقافية، التعليقان العامان رقم </w:t>
      </w:r>
      <w:r w:rsidRPr="00B17403">
        <w:rPr>
          <w:rFonts w:eastAsiaTheme="minorEastAsia"/>
          <w:szCs w:val="18"/>
          <w:rtl/>
        </w:rPr>
        <w:t>25</w:t>
      </w:r>
      <w:r w:rsidRPr="00B17403">
        <w:rPr>
          <w:rFonts w:eastAsiaTheme="minorEastAsia"/>
          <w:szCs w:val="24"/>
          <w:rtl/>
        </w:rPr>
        <w:t>(</w:t>
      </w:r>
      <w:r w:rsidRPr="00B17403">
        <w:rPr>
          <w:rFonts w:eastAsiaTheme="minorEastAsia"/>
          <w:szCs w:val="18"/>
          <w:rtl/>
        </w:rPr>
        <w:t>2020</w:t>
      </w:r>
      <w:r w:rsidRPr="00B17403">
        <w:rPr>
          <w:rFonts w:eastAsiaTheme="minorEastAsia"/>
          <w:szCs w:val="24"/>
          <w:rtl/>
        </w:rPr>
        <w:t xml:space="preserve">)، الفقرة </w:t>
      </w:r>
      <w:r w:rsidRPr="00B17403">
        <w:rPr>
          <w:rFonts w:eastAsiaTheme="minorEastAsia"/>
          <w:szCs w:val="18"/>
          <w:rtl/>
        </w:rPr>
        <w:t>55</w:t>
      </w:r>
      <w:r w:rsidRPr="00B17403">
        <w:rPr>
          <w:rFonts w:eastAsiaTheme="minorEastAsia"/>
          <w:szCs w:val="24"/>
          <w:rtl/>
        </w:rPr>
        <w:t>، ورقم</w:t>
      </w:r>
      <w:r w:rsidR="007E4D29">
        <w:rPr>
          <w:rFonts w:eastAsiaTheme="minorEastAsia" w:hint="cs"/>
          <w:szCs w:val="24"/>
          <w:rtl/>
        </w:rPr>
        <w:t> </w:t>
      </w:r>
      <w:r w:rsidRPr="00B17403">
        <w:rPr>
          <w:rFonts w:eastAsiaTheme="minorEastAsia"/>
          <w:szCs w:val="18"/>
          <w:rtl/>
        </w:rPr>
        <w:t>14</w:t>
      </w:r>
      <w:r w:rsidRPr="00B17403">
        <w:rPr>
          <w:rFonts w:eastAsiaTheme="minorEastAsia"/>
          <w:szCs w:val="24"/>
          <w:rtl/>
        </w:rPr>
        <w:t>(</w:t>
      </w:r>
      <w:r w:rsidRPr="00B17403">
        <w:rPr>
          <w:rFonts w:eastAsiaTheme="minorEastAsia"/>
          <w:szCs w:val="18"/>
          <w:rtl/>
        </w:rPr>
        <w:t>2000</w:t>
      </w:r>
      <w:r w:rsidRPr="00B17403">
        <w:rPr>
          <w:rFonts w:eastAsiaTheme="minorEastAsia"/>
          <w:szCs w:val="24"/>
          <w:rtl/>
        </w:rPr>
        <w:t xml:space="preserve">)، الفقرة </w:t>
      </w:r>
      <w:r w:rsidRPr="00B17403">
        <w:rPr>
          <w:rFonts w:eastAsiaTheme="minorEastAsia"/>
          <w:szCs w:val="18"/>
          <w:rtl/>
        </w:rPr>
        <w:t>55</w:t>
      </w:r>
      <w:r w:rsidRPr="00B17403">
        <w:rPr>
          <w:rFonts w:eastAsiaTheme="minorEastAsia"/>
          <w:szCs w:val="24"/>
          <w:rtl/>
        </w:rPr>
        <w:t>.</w:t>
      </w:r>
    </w:p>
  </w:footnote>
  <w:footnote w:id="24">
    <w:p w14:paraId="5CC45F82" w14:textId="77777777" w:rsidR="00B17403" w:rsidRPr="00B17403" w:rsidRDefault="00B17403" w:rsidP="00B17403">
      <w:pPr>
        <w:pStyle w:val="FootnoteText1"/>
        <w:rPr>
          <w:lang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ميثاق الأمم المتحدة، المادتان </w:t>
      </w:r>
      <w:r w:rsidRPr="00B17403">
        <w:rPr>
          <w:rFonts w:eastAsiaTheme="minorEastAsia"/>
          <w:szCs w:val="18"/>
          <w:rtl/>
        </w:rPr>
        <w:t>55</w:t>
      </w:r>
      <w:r w:rsidRPr="00B17403">
        <w:rPr>
          <w:rFonts w:eastAsiaTheme="minorEastAsia"/>
          <w:szCs w:val="24"/>
          <w:rtl/>
        </w:rPr>
        <w:t xml:space="preserve"> </w:t>
      </w:r>
      <w:proofErr w:type="spellStart"/>
      <w:r w:rsidRPr="00B17403">
        <w:rPr>
          <w:rFonts w:eastAsiaTheme="minorEastAsia"/>
          <w:szCs w:val="24"/>
          <w:rtl/>
        </w:rPr>
        <w:t>و</w:t>
      </w:r>
      <w:r w:rsidRPr="00B17403">
        <w:rPr>
          <w:rFonts w:eastAsiaTheme="minorEastAsia"/>
          <w:szCs w:val="18"/>
          <w:rtl/>
        </w:rPr>
        <w:t>56</w:t>
      </w:r>
      <w:proofErr w:type="spellEnd"/>
      <w:r w:rsidRPr="00B17403">
        <w:rPr>
          <w:rFonts w:eastAsiaTheme="minorEastAsia"/>
          <w:szCs w:val="24"/>
          <w:rtl/>
        </w:rPr>
        <w:t>. وانظر(ي) أيضا</w:t>
      </w:r>
      <w:r w:rsidR="007E4D29">
        <w:rPr>
          <w:rFonts w:eastAsiaTheme="minorEastAsia" w:hint="cs"/>
          <w:szCs w:val="24"/>
          <w:rtl/>
        </w:rPr>
        <w:t>ً</w:t>
      </w:r>
      <w:r w:rsidRPr="00B17403">
        <w:rPr>
          <w:rFonts w:eastAsiaTheme="minorEastAsia"/>
          <w:szCs w:val="24"/>
          <w:rtl/>
        </w:rPr>
        <w:t xml:space="preserve"> اللجنة المعنية بالحقوق الاقتصادية والاجتماعية والثقافية، التعليق العام رقم </w:t>
      </w:r>
      <w:r w:rsidRPr="00B17403">
        <w:rPr>
          <w:rFonts w:eastAsiaTheme="minorEastAsia"/>
          <w:szCs w:val="18"/>
          <w:rtl/>
        </w:rPr>
        <w:t>24</w:t>
      </w:r>
      <w:r w:rsidRPr="00B17403">
        <w:rPr>
          <w:rFonts w:eastAsiaTheme="minorEastAsia"/>
          <w:szCs w:val="24"/>
          <w:rtl/>
        </w:rPr>
        <w:t>(</w:t>
      </w:r>
      <w:r w:rsidRPr="00B17403">
        <w:rPr>
          <w:rFonts w:eastAsiaTheme="minorEastAsia"/>
          <w:szCs w:val="18"/>
          <w:rtl/>
        </w:rPr>
        <w:t>2017</w:t>
      </w:r>
      <w:r w:rsidRPr="00B17403">
        <w:rPr>
          <w:rFonts w:eastAsiaTheme="minorEastAsia"/>
          <w:szCs w:val="24"/>
          <w:rtl/>
        </w:rPr>
        <w:t>).</w:t>
      </w:r>
    </w:p>
  </w:footnote>
  <w:footnote w:id="25">
    <w:p w14:paraId="7490DB49" w14:textId="77777777" w:rsidR="00B17403" w:rsidRPr="00B17403" w:rsidRDefault="00B17403" w:rsidP="00B17403">
      <w:pPr>
        <w:pStyle w:val="FootnoteText1"/>
        <w:rPr>
          <w:lang w:val="ar-SA" w:eastAsia="zh-TW" w:bidi="en-GB"/>
        </w:rPr>
      </w:pPr>
      <w:r w:rsidRPr="00B17403">
        <w:rPr>
          <w:rFonts w:eastAsiaTheme="minorEastAsia"/>
          <w:szCs w:val="24"/>
          <w:rtl/>
        </w:rPr>
        <w:t>(</w:t>
      </w:r>
      <w:r w:rsidRPr="00B17403">
        <w:rPr>
          <w:rStyle w:val="FootnoteReference"/>
          <w:rFonts w:ascii="Times New Roman" w:eastAsiaTheme="minorEastAsia" w:hAnsi="Times New Roman" w:cs="Times New Roman" w:hint="eastAsia"/>
          <w:b w:val="0"/>
          <w:szCs w:val="24"/>
          <w:vertAlign w:val="baseline"/>
        </w:rPr>
        <w:footnoteRef/>
      </w:r>
      <w:r w:rsidRPr="00B17403">
        <w:rPr>
          <w:rFonts w:eastAsiaTheme="minorEastAsia"/>
          <w:szCs w:val="24"/>
          <w:rtl/>
        </w:rPr>
        <w:t>)</w:t>
      </w:r>
      <w:r w:rsidRPr="00B17403">
        <w:rPr>
          <w:rFonts w:eastAsiaTheme="minorEastAsia"/>
          <w:szCs w:val="24"/>
          <w:rtl/>
        </w:rPr>
        <w:tab/>
        <w:t xml:space="preserve">انظر(ي) العهد الدولي الخاص بالحقوق الاقتصادية والاجتماعية والثقافية، المادة </w:t>
      </w:r>
      <w:r w:rsidRPr="00B17403">
        <w:rPr>
          <w:rFonts w:eastAsiaTheme="minorEastAsia"/>
          <w:szCs w:val="18"/>
          <w:rtl/>
        </w:rPr>
        <w:t>2</w:t>
      </w:r>
      <w:r w:rsidRPr="00B17403">
        <w:rPr>
          <w:rFonts w:eastAsiaTheme="minorEastAsia"/>
          <w:szCs w:val="24"/>
          <w:rtl/>
        </w:rPr>
        <w:t>. وانظر(ي) أيضا</w:t>
      </w:r>
      <w:r w:rsidR="007E4D29">
        <w:rPr>
          <w:rFonts w:eastAsiaTheme="minorEastAsia" w:hint="cs"/>
          <w:szCs w:val="24"/>
          <w:rtl/>
        </w:rPr>
        <w:t>ً</w:t>
      </w:r>
      <w:r w:rsidRPr="00B17403">
        <w:rPr>
          <w:rFonts w:eastAsiaTheme="minorEastAsia"/>
          <w:szCs w:val="24"/>
          <w:rtl/>
        </w:rPr>
        <w:t xml:space="preserve"> الالتزامات المقطوعة في الهدف </w:t>
      </w:r>
      <w:r w:rsidRPr="00B17403">
        <w:rPr>
          <w:rFonts w:eastAsiaTheme="minorEastAsia"/>
          <w:szCs w:val="18"/>
          <w:rtl/>
        </w:rPr>
        <w:t>3</w:t>
      </w:r>
      <w:r w:rsidRPr="00B17403">
        <w:rPr>
          <w:rFonts w:eastAsiaTheme="minorEastAsia"/>
          <w:szCs w:val="24"/>
          <w:rtl/>
        </w:rPr>
        <w:t xml:space="preserve"> من أهداف التنمية المستدامة.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246BA" w14:textId="7D744B28" w:rsidR="00EC3F02" w:rsidRPr="00EC3F02" w:rsidRDefault="00EC3F02" w:rsidP="00EC3F02">
    <w:pPr>
      <w:pStyle w:val="Header"/>
      <w:jc w:val="right"/>
    </w:pPr>
    <w:r>
      <w:fldChar w:fldCharType="begin"/>
    </w:r>
    <w:r>
      <w:instrText xml:space="preserve"> TITLE  \* MERGEFORMAT </w:instrText>
    </w:r>
    <w:r>
      <w:fldChar w:fldCharType="separate"/>
    </w:r>
    <w:r w:rsidR="002459AA">
      <w:t>E/</w:t>
    </w:r>
    <w:proofErr w:type="spellStart"/>
    <w:r w:rsidR="002459AA">
      <w:t>C.12</w:t>
    </w:r>
    <w:proofErr w:type="spellEnd"/>
    <w:r w:rsidR="002459AA">
      <w:t>/2020/2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928DB" w14:textId="11F897EA" w:rsidR="00EC3F02" w:rsidRPr="00EC3F02" w:rsidRDefault="00EC3F02" w:rsidP="00EC3F02">
    <w:pPr>
      <w:pStyle w:val="Header"/>
    </w:pPr>
    <w:r>
      <w:fldChar w:fldCharType="begin"/>
    </w:r>
    <w:r>
      <w:instrText xml:space="preserve"> TITLE  \* MERGEFORMAT </w:instrText>
    </w:r>
    <w:r>
      <w:fldChar w:fldCharType="separate"/>
    </w:r>
    <w:r w:rsidR="002459AA">
      <w:t>E/</w:t>
    </w:r>
    <w:proofErr w:type="spellStart"/>
    <w:r w:rsidR="002459AA">
      <w:t>C.12</w:t>
    </w:r>
    <w:proofErr w:type="spellEnd"/>
    <w:r w:rsidR="002459AA">
      <w:t>/2020/2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0960A35"/>
    <w:multiLevelType w:val="hybridMultilevel"/>
    <w:tmpl w:val="A9AE22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7"/>
  </w:num>
  <w:num w:numId="8">
    <w:abstractNumId w:val="0"/>
  </w:num>
  <w:num w:numId="9">
    <w:abstractNumId w:val="4"/>
  </w:num>
  <w:num w:numId="10">
    <w:abstractNumId w:val="1"/>
  </w:num>
  <w:num w:numId="11">
    <w:abstractNumId w:val="7"/>
  </w:num>
  <w:num w:numId="12">
    <w:abstractNumId w:val="3"/>
    <w:lvlOverride w:ilvl="0">
      <w:lvl w:ilvl="0" w:tplc="240A000F">
        <w:start w:val="1"/>
        <w:numFmt w:val="decimal"/>
        <w:lvlText w:val="%1."/>
        <w:lvlJc w:val="left"/>
        <w:pPr>
          <w:ind w:left="720" w:hanging="3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A5"/>
    <w:rsid w:val="000076D5"/>
    <w:rsid w:val="00043663"/>
    <w:rsid w:val="000505CF"/>
    <w:rsid w:val="000D701C"/>
    <w:rsid w:val="000E2A71"/>
    <w:rsid w:val="000E524A"/>
    <w:rsid w:val="00147B99"/>
    <w:rsid w:val="00160263"/>
    <w:rsid w:val="00181F96"/>
    <w:rsid w:val="001852C7"/>
    <w:rsid w:val="001A1371"/>
    <w:rsid w:val="001B346A"/>
    <w:rsid w:val="001D1FE9"/>
    <w:rsid w:val="001E1CAD"/>
    <w:rsid w:val="001E290D"/>
    <w:rsid w:val="002144FA"/>
    <w:rsid w:val="0023469A"/>
    <w:rsid w:val="00243C8A"/>
    <w:rsid w:val="002459A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4F0"/>
    <w:rsid w:val="00517BC9"/>
    <w:rsid w:val="00527E4C"/>
    <w:rsid w:val="0054472E"/>
    <w:rsid w:val="0054762C"/>
    <w:rsid w:val="005662A9"/>
    <w:rsid w:val="005817D9"/>
    <w:rsid w:val="005827D4"/>
    <w:rsid w:val="0059622A"/>
    <w:rsid w:val="005C5878"/>
    <w:rsid w:val="005C7CEA"/>
    <w:rsid w:val="005D3C0B"/>
    <w:rsid w:val="005D57FB"/>
    <w:rsid w:val="005E5217"/>
    <w:rsid w:val="005F0FA4"/>
    <w:rsid w:val="005F30EE"/>
    <w:rsid w:val="0060473A"/>
    <w:rsid w:val="00606EDF"/>
    <w:rsid w:val="00656392"/>
    <w:rsid w:val="0068781D"/>
    <w:rsid w:val="006959B0"/>
    <w:rsid w:val="006B3E27"/>
    <w:rsid w:val="006B6507"/>
    <w:rsid w:val="006C104C"/>
    <w:rsid w:val="006E1F50"/>
    <w:rsid w:val="00733704"/>
    <w:rsid w:val="00740188"/>
    <w:rsid w:val="0078071A"/>
    <w:rsid w:val="007A70BB"/>
    <w:rsid w:val="007C3B93"/>
    <w:rsid w:val="007E4D29"/>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1CA5"/>
    <w:rsid w:val="00AB6758"/>
    <w:rsid w:val="00B13763"/>
    <w:rsid w:val="00B17403"/>
    <w:rsid w:val="00B24420"/>
    <w:rsid w:val="00B477A4"/>
    <w:rsid w:val="00B54045"/>
    <w:rsid w:val="00BA1F0F"/>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3601B"/>
    <w:rsid w:val="00E70E04"/>
    <w:rsid w:val="00EC05A7"/>
    <w:rsid w:val="00EC3F02"/>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A2A2047"/>
  <w15:docId w15:val="{587A5CC4-9D0C-4A83-845A-80FD159B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403"/>
    <w:pPr>
      <w:bidi/>
      <w:spacing w:after="0" w:line="240" w:lineRule="atLeast"/>
      <w:jc w:val="lowKashida"/>
    </w:pPr>
    <w:rPr>
      <w:rFonts w:ascii="Times New Roman" w:eastAsia="PMingLiU" w:hAnsi="Times New Roman" w:cs="Traditional Arabic"/>
      <w:sz w:val="20"/>
      <w:szCs w:val="28"/>
    </w:rPr>
  </w:style>
  <w:style w:type="paragraph" w:styleId="Heading1">
    <w:name w:val="heading 1"/>
    <w:aliases w:val="Table_GA"/>
    <w:basedOn w:val="SingleTxtGA"/>
    <w:next w:val="Normal"/>
    <w:link w:val="Heading1Char"/>
    <w:qFormat/>
    <w:rsid w:val="00B17403"/>
    <w:pPr>
      <w:suppressAutoHyphens/>
      <w:bidi w:val="0"/>
      <w:outlineLvl w:val="0"/>
    </w:pPr>
  </w:style>
  <w:style w:type="paragraph" w:styleId="Heading2">
    <w:name w:val="heading 2"/>
    <w:basedOn w:val="Normal"/>
    <w:next w:val="Normal"/>
    <w:link w:val="Heading2Char"/>
    <w:uiPriority w:val="9"/>
    <w:unhideWhenUsed/>
    <w:rsid w:val="00B17403"/>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B17403"/>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B17403"/>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B17403"/>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B17403"/>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B17403"/>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B17403"/>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B17403"/>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rsid w:val="00B1740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17403"/>
  </w:style>
  <w:style w:type="paragraph" w:styleId="FootnoteText">
    <w:name w:val="footnote text"/>
    <w:aliases w:val="5_G"/>
    <w:basedOn w:val="Normal"/>
    <w:link w:val="FootnoteTextChar"/>
    <w:uiPriority w:val="99"/>
    <w:unhideWhenUsed/>
    <w:rsid w:val="00B17403"/>
    <w:pPr>
      <w:spacing w:line="240" w:lineRule="auto"/>
    </w:pPr>
    <w:rPr>
      <w:szCs w:val="20"/>
    </w:rPr>
  </w:style>
  <w:style w:type="character" w:customStyle="1" w:styleId="FootnoteTextChar">
    <w:name w:val="Footnote Text Char"/>
    <w:aliases w:val="5_G Char"/>
    <w:link w:val="FootnoteText"/>
    <w:uiPriority w:val="99"/>
    <w:rsid w:val="00B17403"/>
    <w:rPr>
      <w:rFonts w:ascii="Times New Roman" w:eastAsia="PMingLiU" w:hAnsi="Times New Roman" w:cs="Traditional Arabic"/>
      <w:sz w:val="20"/>
      <w:szCs w:val="20"/>
    </w:rPr>
  </w:style>
  <w:style w:type="character" w:styleId="FootnoteReference">
    <w:name w:val="footnote reference"/>
    <w:aliases w:val="4_GA,4_G"/>
    <w:qFormat/>
    <w:rsid w:val="00B17403"/>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B17403"/>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B17403"/>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B17403"/>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B17403"/>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B17403"/>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B17403"/>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B17403"/>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B17403"/>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B17403"/>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B17403"/>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B17403"/>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B17403"/>
    <w:pPr>
      <w:numPr>
        <w:numId w:val="3"/>
      </w:numPr>
      <w:suppressAutoHyphens/>
      <w:bidi w:val="0"/>
      <w:spacing w:after="120" w:line="360" w:lineRule="exact"/>
      <w:ind w:left="2494" w:right="1247" w:hanging="544"/>
    </w:pPr>
  </w:style>
  <w:style w:type="paragraph" w:customStyle="1" w:styleId="Bullet2GA">
    <w:name w:val="_Bullet 2_GA"/>
    <w:basedOn w:val="Normal"/>
    <w:qFormat/>
    <w:rsid w:val="00B17403"/>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B17403"/>
    <w:pPr>
      <w:numPr>
        <w:numId w:val="5"/>
      </w:numPr>
      <w:suppressAutoHyphens/>
      <w:bidi w:val="0"/>
    </w:pPr>
  </w:style>
  <w:style w:type="paragraph" w:customStyle="1" w:styleId="Roman1GA">
    <w:name w:val="_Roman 1_GA"/>
    <w:basedOn w:val="Bullet1GA"/>
    <w:qFormat/>
    <w:rsid w:val="00B17403"/>
    <w:pPr>
      <w:numPr>
        <w:numId w:val="6"/>
      </w:numPr>
      <w:ind w:left="2307" w:hanging="357"/>
    </w:pPr>
  </w:style>
  <w:style w:type="paragraph" w:customStyle="1" w:styleId="Roman2GA">
    <w:name w:val="_Roman 2_GA"/>
    <w:basedOn w:val="Bullet2GA"/>
    <w:next w:val="Normal"/>
    <w:qFormat/>
    <w:rsid w:val="00B17403"/>
    <w:pPr>
      <w:numPr>
        <w:numId w:val="7"/>
      </w:numPr>
    </w:pPr>
  </w:style>
  <w:style w:type="paragraph" w:styleId="EndnoteText">
    <w:name w:val="endnote text"/>
    <w:aliases w:val="2_ GA"/>
    <w:basedOn w:val="Normal"/>
    <w:link w:val="EndnoteTextChar"/>
    <w:qFormat/>
    <w:rsid w:val="00B17403"/>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B17403"/>
    <w:rPr>
      <w:rFonts w:ascii="Times New Roman" w:eastAsia="PMingLiU" w:hAnsi="Times New Roman" w:cs="Traditional Arabic"/>
      <w:sz w:val="18"/>
      <w:szCs w:val="26"/>
    </w:rPr>
  </w:style>
  <w:style w:type="character" w:customStyle="1" w:styleId="EndtnoteReference">
    <w:name w:val="Endtnote Reference"/>
    <w:aliases w:val="1_GA"/>
    <w:qFormat/>
    <w:rsid w:val="00B17403"/>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B17403"/>
    <w:pPr>
      <w:suppressAutoHyphens/>
      <w:bidi w:val="0"/>
      <w:spacing w:line="240" w:lineRule="auto"/>
    </w:pPr>
    <w:rPr>
      <w:sz w:val="16"/>
      <w:szCs w:val="22"/>
      <w:lang w:val="en-GB"/>
    </w:rPr>
  </w:style>
  <w:style w:type="character" w:customStyle="1" w:styleId="FooterChar">
    <w:name w:val="Footer Char"/>
    <w:aliases w:val="3_GA Char,3_G Char"/>
    <w:link w:val="Footer"/>
    <w:rsid w:val="00B17403"/>
    <w:rPr>
      <w:rFonts w:ascii="Times New Roman" w:eastAsia="PMingLiU" w:hAnsi="Times New Roman" w:cs="Traditional Arabic"/>
      <w:sz w:val="16"/>
      <w:lang w:val="en-GB"/>
    </w:rPr>
  </w:style>
  <w:style w:type="paragraph" w:customStyle="1" w:styleId="FootnoteText1">
    <w:name w:val="Footnote Text1"/>
    <w:aliases w:val="5_GA"/>
    <w:basedOn w:val="Normal"/>
    <w:qFormat/>
    <w:rsid w:val="00B17403"/>
    <w:pPr>
      <w:spacing w:after="60" w:line="280" w:lineRule="exact"/>
      <w:ind w:left="1247" w:right="1247" w:hanging="567"/>
    </w:pPr>
    <w:rPr>
      <w:sz w:val="18"/>
      <w:szCs w:val="26"/>
    </w:rPr>
  </w:style>
  <w:style w:type="paragraph" w:styleId="Header">
    <w:name w:val="header"/>
    <w:aliases w:val="6_GA"/>
    <w:basedOn w:val="Normal"/>
    <w:link w:val="HeaderChar"/>
    <w:qFormat/>
    <w:rsid w:val="00B17403"/>
    <w:pPr>
      <w:pBdr>
        <w:bottom w:val="single" w:sz="4" w:space="4" w:color="auto"/>
      </w:pBdr>
      <w:suppressAutoHyphens/>
      <w:bidi w:val="0"/>
    </w:pPr>
    <w:rPr>
      <w:b/>
      <w:bCs/>
      <w:sz w:val="18"/>
      <w:szCs w:val="26"/>
    </w:rPr>
  </w:style>
  <w:style w:type="character" w:customStyle="1" w:styleId="HeaderChar">
    <w:name w:val="Header Char"/>
    <w:aliases w:val="6_GA Char"/>
    <w:link w:val="Header"/>
    <w:rsid w:val="00B17403"/>
    <w:rPr>
      <w:rFonts w:ascii="Times New Roman" w:eastAsia="PMingLiU" w:hAnsi="Times New Roman" w:cs="Traditional Arabic"/>
      <w:b/>
      <w:bCs/>
      <w:sz w:val="18"/>
      <w:szCs w:val="26"/>
    </w:rPr>
  </w:style>
  <w:style w:type="character" w:customStyle="1" w:styleId="Heading1Char">
    <w:name w:val="Heading 1 Char"/>
    <w:aliases w:val="Table_GA Char"/>
    <w:link w:val="Heading1"/>
    <w:rsid w:val="00B17403"/>
    <w:rPr>
      <w:rFonts w:ascii="Times New Roman" w:eastAsia="PMingLiU" w:hAnsi="Times New Roman" w:cs="Traditional Arabic"/>
      <w:sz w:val="20"/>
      <w:szCs w:val="28"/>
    </w:rPr>
  </w:style>
  <w:style w:type="character" w:styleId="PageNumber">
    <w:name w:val="page number"/>
    <w:aliases w:val="7_GA"/>
    <w:qFormat/>
    <w:rsid w:val="00B17403"/>
    <w:rPr>
      <w:rFonts w:ascii="Times New Roman" w:hAnsi="Times New Roman"/>
      <w:b/>
      <w:sz w:val="18"/>
    </w:rPr>
  </w:style>
  <w:style w:type="paragraph" w:customStyle="1" w:styleId="XXLargeGA">
    <w:name w:val="XXLarge_GA"/>
    <w:basedOn w:val="XLargeGA"/>
    <w:next w:val="Normal"/>
    <w:qFormat/>
    <w:rsid w:val="00B17403"/>
    <w:pPr>
      <w:spacing w:line="820" w:lineRule="exact"/>
    </w:pPr>
    <w:rPr>
      <w:spacing w:val="-8"/>
      <w:w w:val="96"/>
      <w:sz w:val="57"/>
      <w:szCs w:val="86"/>
    </w:rPr>
  </w:style>
  <w:style w:type="character" w:customStyle="1" w:styleId="Heading2Char">
    <w:name w:val="Heading 2 Char"/>
    <w:link w:val="Heading2"/>
    <w:uiPriority w:val="9"/>
    <w:rsid w:val="00B17403"/>
    <w:rPr>
      <w:rFonts w:ascii="Cambria" w:eastAsia="SimSun" w:hAnsi="Cambria" w:cs="Times New Roman"/>
      <w:b/>
      <w:bCs/>
      <w:color w:val="4F81BD"/>
      <w:sz w:val="26"/>
      <w:szCs w:val="26"/>
    </w:rPr>
  </w:style>
  <w:style w:type="character" w:styleId="BookTitle">
    <w:name w:val="Book Title"/>
    <w:uiPriority w:val="33"/>
    <w:rsid w:val="00B17403"/>
    <w:rPr>
      <w:b/>
      <w:bCs/>
      <w:smallCaps/>
      <w:spacing w:val="5"/>
    </w:rPr>
  </w:style>
  <w:style w:type="character" w:customStyle="1" w:styleId="Heading3Char">
    <w:name w:val="Heading 3 Char"/>
    <w:link w:val="Heading3"/>
    <w:uiPriority w:val="9"/>
    <w:rsid w:val="00B17403"/>
    <w:rPr>
      <w:rFonts w:ascii="Cambria" w:eastAsia="SimSun" w:hAnsi="Cambria" w:cs="Times New Roman"/>
      <w:b/>
      <w:bCs/>
      <w:color w:val="4F81BD"/>
      <w:sz w:val="20"/>
      <w:szCs w:val="28"/>
    </w:rPr>
  </w:style>
  <w:style w:type="character" w:customStyle="1" w:styleId="Heading4Char">
    <w:name w:val="Heading 4 Char"/>
    <w:link w:val="Heading4"/>
    <w:uiPriority w:val="9"/>
    <w:rsid w:val="00B17403"/>
    <w:rPr>
      <w:rFonts w:ascii="Cambria" w:eastAsia="SimSun" w:hAnsi="Cambria" w:cs="Times New Roman"/>
      <w:b/>
      <w:bCs/>
      <w:i/>
      <w:iCs/>
      <w:color w:val="4F81BD"/>
      <w:sz w:val="20"/>
      <w:szCs w:val="28"/>
    </w:rPr>
  </w:style>
  <w:style w:type="character" w:customStyle="1" w:styleId="Heading5Char">
    <w:name w:val="Heading 5 Char"/>
    <w:link w:val="Heading5"/>
    <w:uiPriority w:val="9"/>
    <w:rsid w:val="00B17403"/>
    <w:rPr>
      <w:rFonts w:ascii="Cambria" w:eastAsia="SimSun" w:hAnsi="Cambria" w:cs="Times New Roman"/>
      <w:color w:val="243F60"/>
      <w:sz w:val="20"/>
      <w:szCs w:val="28"/>
    </w:rPr>
  </w:style>
  <w:style w:type="character" w:customStyle="1" w:styleId="Heading6Char">
    <w:name w:val="Heading 6 Char"/>
    <w:link w:val="Heading6"/>
    <w:uiPriority w:val="9"/>
    <w:rsid w:val="00B17403"/>
    <w:rPr>
      <w:rFonts w:ascii="Cambria" w:eastAsia="SimSun" w:hAnsi="Cambria" w:cs="Times New Roman"/>
      <w:i/>
      <w:iCs/>
      <w:color w:val="243F60"/>
      <w:sz w:val="20"/>
      <w:szCs w:val="28"/>
    </w:rPr>
  </w:style>
  <w:style w:type="character" w:customStyle="1" w:styleId="Heading7Char">
    <w:name w:val="Heading 7 Char"/>
    <w:link w:val="Heading7"/>
    <w:uiPriority w:val="9"/>
    <w:rsid w:val="00B17403"/>
    <w:rPr>
      <w:rFonts w:ascii="Cambria" w:eastAsia="SimSun" w:hAnsi="Cambria" w:cs="Times New Roman"/>
      <w:i/>
      <w:iCs/>
      <w:color w:val="404040"/>
      <w:sz w:val="20"/>
      <w:szCs w:val="28"/>
    </w:rPr>
  </w:style>
  <w:style w:type="character" w:customStyle="1" w:styleId="Heading8Char">
    <w:name w:val="Heading 8 Char"/>
    <w:link w:val="Heading8"/>
    <w:uiPriority w:val="9"/>
    <w:rsid w:val="00B17403"/>
    <w:rPr>
      <w:rFonts w:ascii="Cambria" w:eastAsia="SimSun" w:hAnsi="Cambria" w:cs="Times New Roman"/>
      <w:color w:val="404040"/>
      <w:sz w:val="20"/>
      <w:szCs w:val="20"/>
    </w:rPr>
  </w:style>
  <w:style w:type="character" w:customStyle="1" w:styleId="Heading9Char">
    <w:name w:val="Heading 9 Char"/>
    <w:link w:val="Heading9"/>
    <w:uiPriority w:val="9"/>
    <w:rsid w:val="00B17403"/>
    <w:rPr>
      <w:rFonts w:ascii="Cambria" w:eastAsia="SimSun" w:hAnsi="Cambria" w:cs="Times New Roman"/>
      <w:i/>
      <w:iCs/>
      <w:color w:val="404040"/>
      <w:sz w:val="20"/>
      <w:szCs w:val="20"/>
    </w:rPr>
  </w:style>
  <w:style w:type="paragraph" w:styleId="Title">
    <w:name w:val="Title"/>
    <w:basedOn w:val="Normal"/>
    <w:next w:val="Normal"/>
    <w:link w:val="TitleChar"/>
    <w:uiPriority w:val="10"/>
    <w:rsid w:val="00B17403"/>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B17403"/>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B17403"/>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B17403"/>
    <w:rPr>
      <w:rFonts w:ascii="Cambria" w:eastAsia="SimSun" w:hAnsi="Cambria" w:cs="Times New Roman"/>
      <w:i/>
      <w:iCs/>
      <w:color w:val="4F81BD"/>
      <w:spacing w:val="15"/>
      <w:sz w:val="24"/>
      <w:szCs w:val="24"/>
    </w:rPr>
  </w:style>
  <w:style w:type="character" w:styleId="SubtleEmphasis">
    <w:name w:val="Subtle Emphasis"/>
    <w:uiPriority w:val="19"/>
    <w:rsid w:val="00B17403"/>
    <w:rPr>
      <w:i/>
      <w:iCs/>
      <w:color w:val="808080"/>
    </w:rPr>
  </w:style>
  <w:style w:type="table" w:styleId="ColorfulGrid-Accent6">
    <w:name w:val="Colorful Grid Accent 6"/>
    <w:basedOn w:val="TableNormal"/>
    <w:uiPriority w:val="73"/>
    <w:rsid w:val="00B17403"/>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17403"/>
    <w:rPr>
      <w:i/>
      <w:iCs/>
    </w:rPr>
  </w:style>
  <w:style w:type="character" w:styleId="IntenseEmphasis">
    <w:name w:val="Intense Emphasis"/>
    <w:uiPriority w:val="21"/>
    <w:rsid w:val="00B17403"/>
    <w:rPr>
      <w:b/>
      <w:bCs/>
      <w:i/>
      <w:iCs/>
      <w:color w:val="4F81BD"/>
    </w:rPr>
  </w:style>
  <w:style w:type="character" w:styleId="Strong">
    <w:name w:val="Strong"/>
    <w:uiPriority w:val="22"/>
    <w:rsid w:val="00B17403"/>
    <w:rPr>
      <w:b/>
      <w:bCs/>
    </w:rPr>
  </w:style>
  <w:style w:type="paragraph" w:styleId="Quote">
    <w:name w:val="Quote"/>
    <w:basedOn w:val="Normal"/>
    <w:next w:val="Normal"/>
    <w:link w:val="QuoteChar"/>
    <w:uiPriority w:val="29"/>
    <w:rsid w:val="00B17403"/>
    <w:rPr>
      <w:i/>
      <w:iCs/>
      <w:color w:val="000000"/>
    </w:rPr>
  </w:style>
  <w:style w:type="character" w:customStyle="1" w:styleId="QuoteChar">
    <w:name w:val="Quote Char"/>
    <w:link w:val="Quote"/>
    <w:uiPriority w:val="29"/>
    <w:rsid w:val="00B17403"/>
    <w:rPr>
      <w:rFonts w:ascii="Times New Roman" w:eastAsia="PMingLiU" w:hAnsi="Times New Roman" w:cs="Traditional Arabic"/>
      <w:i/>
      <w:iCs/>
      <w:color w:val="000000"/>
      <w:sz w:val="20"/>
      <w:szCs w:val="28"/>
    </w:rPr>
  </w:style>
  <w:style w:type="paragraph" w:styleId="IntenseQuote">
    <w:name w:val="Intense Quote"/>
    <w:basedOn w:val="Normal"/>
    <w:next w:val="Normal"/>
    <w:link w:val="IntenseQuoteChar"/>
    <w:uiPriority w:val="30"/>
    <w:rsid w:val="00B1740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17403"/>
    <w:rPr>
      <w:rFonts w:ascii="Times New Roman" w:eastAsia="PMingLiU" w:hAnsi="Times New Roman" w:cs="Traditional Arabic"/>
      <w:b/>
      <w:bCs/>
      <w:i/>
      <w:iCs/>
      <w:color w:val="4F81BD"/>
      <w:sz w:val="20"/>
      <w:szCs w:val="28"/>
    </w:rPr>
  </w:style>
  <w:style w:type="character" w:styleId="SubtleReference">
    <w:name w:val="Subtle Reference"/>
    <w:uiPriority w:val="31"/>
    <w:rsid w:val="00B17403"/>
    <w:rPr>
      <w:smallCaps/>
      <w:color w:val="C0504D"/>
      <w:u w:val="single"/>
    </w:rPr>
  </w:style>
  <w:style w:type="character" w:styleId="IntenseReference">
    <w:name w:val="Intense Reference"/>
    <w:uiPriority w:val="32"/>
    <w:rsid w:val="00B17403"/>
    <w:rPr>
      <w:b/>
      <w:bCs/>
      <w:smallCaps/>
      <w:color w:val="C0504D"/>
      <w:spacing w:val="5"/>
      <w:u w:val="single"/>
    </w:rPr>
  </w:style>
  <w:style w:type="paragraph" w:styleId="ListParagraph">
    <w:name w:val="List Paragraph"/>
    <w:basedOn w:val="Normal"/>
    <w:uiPriority w:val="34"/>
    <w:rsid w:val="00B17403"/>
    <w:pPr>
      <w:ind w:left="720"/>
      <w:contextualSpacing/>
    </w:pPr>
  </w:style>
  <w:style w:type="table" w:styleId="MediumShading1-Accent4">
    <w:name w:val="Medium Shading 1 Accent 4"/>
    <w:basedOn w:val="TableNormal"/>
    <w:uiPriority w:val="63"/>
    <w:rsid w:val="00B17403"/>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B17403"/>
    <w:rPr>
      <w:vertAlign w:val="superscript"/>
    </w:rPr>
  </w:style>
  <w:style w:type="table" w:styleId="TableGrid">
    <w:name w:val="Table Grid"/>
    <w:basedOn w:val="TableNormal"/>
    <w:rsid w:val="00B17403"/>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740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17403"/>
    <w:rPr>
      <w:rFonts w:ascii="Tahoma" w:eastAsia="PMingLiU" w:hAnsi="Tahoma" w:cs="Tahoma"/>
      <w:sz w:val="16"/>
      <w:szCs w:val="16"/>
    </w:rPr>
  </w:style>
  <w:style w:type="character" w:styleId="Hyperlink">
    <w:name w:val="Hyperlink"/>
    <w:uiPriority w:val="99"/>
    <w:unhideWhenUsed/>
    <w:rsid w:val="00B17403"/>
    <w:rPr>
      <w:color w:val="0000FF"/>
      <w:u w:val="single"/>
    </w:rPr>
  </w:style>
  <w:style w:type="paragraph" w:styleId="TOC1">
    <w:name w:val="toc 1"/>
    <w:basedOn w:val="Normal"/>
    <w:next w:val="Normal"/>
    <w:link w:val="TOC1Char"/>
    <w:autoRedefine/>
    <w:uiPriority w:val="39"/>
    <w:unhideWhenUsed/>
    <w:rsid w:val="00B17403"/>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B17403"/>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B17403"/>
    <w:pPr>
      <w:tabs>
        <w:tab w:val="clear" w:pos="1843"/>
        <w:tab w:val="clear" w:pos="2206"/>
        <w:tab w:val="left" w:pos="2325"/>
      </w:tabs>
      <w:bidi w:val="0"/>
      <w:ind w:left="2886"/>
    </w:pPr>
    <w:rPr>
      <w:lang w:bidi="ar-EG"/>
    </w:rPr>
  </w:style>
  <w:style w:type="character" w:customStyle="1" w:styleId="PagesNumbers">
    <w:name w:val="Pages Numbers"/>
    <w:uiPriority w:val="1"/>
    <w:qFormat/>
    <w:rsid w:val="00B17403"/>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B17403"/>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B17403"/>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B17403"/>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B17403"/>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 w:val="20"/>
      <w:szCs w:val="28"/>
    </w:rPr>
  </w:style>
  <w:style w:type="table" w:customStyle="1" w:styleId="TABLEA">
    <w:name w:val="TABLE_A"/>
    <w:basedOn w:val="TableNormal"/>
    <w:uiPriority w:val="99"/>
    <w:rsid w:val="00B17403"/>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17403"/>
    <w:rPr>
      <w:rFonts w:ascii="Times New Roman" w:eastAsia="PMingLiU" w:hAnsi="Times New Roman" w:cs="Traditional Arabic"/>
      <w:sz w:val="20"/>
      <w:szCs w:val="28"/>
    </w:rPr>
  </w:style>
  <w:style w:type="character" w:styleId="UnresolvedMention">
    <w:name w:val="Unresolved Mention"/>
    <w:basedOn w:val="DefaultParagraphFont"/>
    <w:uiPriority w:val="99"/>
    <w:semiHidden/>
    <w:unhideWhenUsed/>
    <w:rsid w:val="00B17403"/>
    <w:rPr>
      <w:color w:val="605E5C"/>
      <w:shd w:val="clear" w:color="auto" w:fill="E1DFDD"/>
    </w:rPr>
  </w:style>
  <w:style w:type="paragraph" w:customStyle="1" w:styleId="HChG">
    <w:name w:val="_ H _Ch_G"/>
    <w:basedOn w:val="Normal"/>
    <w:next w:val="Normal"/>
    <w:qFormat/>
    <w:rsid w:val="00B1740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szCs w:val="30"/>
      <w:lang w:val="en-GB" w:eastAsia="zh-CN"/>
    </w:rPr>
  </w:style>
  <w:style w:type="paragraph" w:customStyle="1" w:styleId="H1G">
    <w:name w:val="_ H_1_G"/>
    <w:basedOn w:val="Normal"/>
    <w:next w:val="Normal"/>
    <w:qFormat/>
    <w:rsid w:val="00B1740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szCs w:val="30"/>
      <w:lang w:val="en-GB" w:eastAsia="zh-CN"/>
    </w:rPr>
  </w:style>
  <w:style w:type="paragraph" w:customStyle="1" w:styleId="SingleTxtG">
    <w:name w:val="_ Single Txt_G"/>
    <w:basedOn w:val="Normal"/>
    <w:link w:val="SingleTxtGChar"/>
    <w:qFormat/>
    <w:rsid w:val="00B17403"/>
    <w:pPr>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B17403"/>
    <w:rPr>
      <w:rFonts w:ascii="Times New Roman" w:eastAsia="SimSun" w:cs="Traditional Arabic"/>
      <w:sz w:val="20"/>
      <w:szCs w:val="30"/>
      <w:lang w:val="en-GB" w:eastAsia="zh-CN"/>
    </w:rPr>
  </w:style>
  <w:style w:type="character" w:customStyle="1" w:styleId="TOC1Char">
    <w:name w:val="TOC 1 Char"/>
    <w:basedOn w:val="DefaultParagraphFont"/>
    <w:link w:val="TOC1"/>
    <w:uiPriority w:val="39"/>
    <w:rsid w:val="00B17403"/>
    <w:rPr>
      <w:rFonts w:ascii="Times New Roman" w:hAnsi="Times New Roman" w:cs="Traditional Arabic"/>
      <w:noProof/>
      <w:sz w:val="20"/>
      <w:szCs w:val="28"/>
      <w:lang w:val="fr-CH" w:bidi="ar-EG"/>
    </w:rPr>
  </w:style>
  <w:style w:type="character" w:customStyle="1" w:styleId="TOC2Char">
    <w:name w:val="TOC 2 Char"/>
    <w:basedOn w:val="DefaultParagraphFont"/>
    <w:link w:val="TOC2"/>
    <w:uiPriority w:val="39"/>
    <w:rsid w:val="00B17403"/>
    <w:rPr>
      <w:rFonts w:ascii="Times New Roman" w:eastAsia="DengXian" w:hAnsi="Times New Roman" w:cs="Traditional Arabic"/>
      <w:noProof/>
      <w:sz w:val="20"/>
      <w:szCs w:val="28"/>
      <w:lang w:val="fr-CH"/>
    </w:rPr>
  </w:style>
  <w:style w:type="character" w:customStyle="1" w:styleId="TOC3Char">
    <w:name w:val="TOC 3 Char"/>
    <w:basedOn w:val="TOC2Char"/>
    <w:link w:val="TOC3"/>
    <w:uiPriority w:val="39"/>
    <w:rsid w:val="00B17403"/>
    <w:rPr>
      <w:rFonts w:ascii="Times New Roman" w:eastAsia="DengXian" w:hAnsi="Times New Roman" w:cs="Traditional Arabic"/>
      <w:noProof/>
      <w:sz w:val="20"/>
      <w:szCs w:val="28"/>
      <w:lang w:val="fr-CH" w:bidi="ar-EG"/>
    </w:rPr>
  </w:style>
  <w:style w:type="character" w:customStyle="1" w:styleId="TOC4Char">
    <w:name w:val="TOC 4 Char"/>
    <w:basedOn w:val="DefaultParagraphFont"/>
    <w:link w:val="TOC4"/>
    <w:uiPriority w:val="39"/>
    <w:rsid w:val="00B17403"/>
    <w:rPr>
      <w:rFonts w:ascii="Times New Roman" w:hAnsi="Times New Roman" w:cs="Traditional Arabic"/>
      <w:noProof/>
      <w:sz w:val="20"/>
      <w:szCs w:val="28"/>
    </w:rPr>
  </w:style>
  <w:style w:type="character" w:customStyle="1" w:styleId="TOC5Char">
    <w:name w:val="TOC 5 Char"/>
    <w:basedOn w:val="DefaultParagraphFont"/>
    <w:link w:val="TOC5"/>
    <w:uiPriority w:val="39"/>
    <w:rsid w:val="00B17403"/>
    <w:rPr>
      <w:rFonts w:ascii="Times New Roman" w:hAnsi="Times New Roman" w:cs="Traditional Arabic"/>
      <w:noProof/>
      <w:sz w:val="20"/>
      <w:szCs w:val="28"/>
    </w:rPr>
  </w:style>
  <w:style w:type="character" w:customStyle="1" w:styleId="TOC6Char">
    <w:name w:val="TOC 6 Char"/>
    <w:basedOn w:val="DefaultParagraphFont"/>
    <w:link w:val="TOC6"/>
    <w:uiPriority w:val="39"/>
    <w:rsid w:val="00B17403"/>
    <w:rPr>
      <w:rFonts w:ascii="Times New Roman" w:hAnsi="Times New Roman" w:cs="Traditional Arabic"/>
      <w:sz w:val="20"/>
      <w:szCs w:val="28"/>
    </w:rPr>
  </w:style>
  <w:style w:type="paragraph" w:customStyle="1" w:styleId="SessionDate">
    <w:name w:val="Session_Date"/>
    <w:basedOn w:val="Normal"/>
    <w:qFormat/>
    <w:rsid w:val="00B17403"/>
    <w:pPr>
      <w:spacing w:before="240" w:after="240" w:line="460" w:lineRule="exact"/>
      <w:ind w:left="1247"/>
    </w:pPr>
    <w:rPr>
      <w:b/>
      <w:bCs/>
      <w:sz w:val="32"/>
      <w:szCs w:val="44"/>
    </w:rPr>
  </w:style>
  <w:style w:type="paragraph" w:customStyle="1" w:styleId="SessionNumber">
    <w:name w:val="Session_Number"/>
    <w:basedOn w:val="Normal"/>
    <w:qFormat/>
    <w:rsid w:val="00B17403"/>
    <w:pPr>
      <w:spacing w:line="480" w:lineRule="exact"/>
      <w:ind w:left="1247"/>
    </w:pPr>
    <w:rPr>
      <w:b/>
      <w:bCs/>
      <w:sz w:val="28"/>
      <w:szCs w:val="38"/>
    </w:rPr>
  </w:style>
  <w:style w:type="paragraph" w:customStyle="1" w:styleId="CityandYear">
    <w:name w:val="City and Year"/>
    <w:basedOn w:val="SingleTxtGA"/>
    <w:qFormat/>
    <w:rsid w:val="00B17403"/>
    <w:pPr>
      <w:spacing w:line="480" w:lineRule="exact"/>
    </w:pPr>
    <w:rPr>
      <w:rFonts w:ascii="Times New Roman Bold" w:hAnsi="Times New Roman Bold"/>
      <w:b/>
      <w:bCs/>
      <w:sz w:val="30"/>
      <w:szCs w:val="3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6C209-9FB2-4D07-A4B0-6709688BC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Pages>
  <Words>1646</Words>
  <Characters>8463</Characters>
  <Application>Microsoft Office Word</Application>
  <DocSecurity>0</DocSecurity>
  <Lines>126</Lines>
  <Paragraphs>26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E/C.12/2020/2</vt:lpstr>
      <vt:lpstr>    بيان بشأن توفير لقاحات مضادة لمرض فيروس كورونا (كوفيد-19) للجميع على قدم المسا</vt:lpstr>
      <vt:lpstr>        بيان من اللجنة المعنية بالحقوق الاقتصادية والاجتماعية والثقافية*</vt:lpstr>
    </vt:vector>
  </TitlesOfParts>
  <Company>DCM</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E/C.12/2020/2</dc:title>
  <dc:subject>GE.</dc:subject>
  <dc:creator>IBAL</dc:creator>
  <cp:keywords>ODS No.</cp:keywords>
  <dc:description>Original: English _x000d_
Distribution: General_x000d_
Date:</dc:description>
  <cp:lastModifiedBy>Ibrahim Balan</cp:lastModifiedBy>
  <cp:revision>3</cp:revision>
  <cp:lastPrinted>2021-01-14T08:31:00Z</cp:lastPrinted>
  <dcterms:created xsi:type="dcterms:W3CDTF">2021-01-14T08:31:00Z</dcterms:created>
  <dcterms:modified xsi:type="dcterms:W3CDTF">2021-01-14T08:32:00Z</dcterms:modified>
  <cp:category>Final</cp:category>
</cp:coreProperties>
</file>