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33137F" w14:textId="77777777" w:rsidTr="008F7CAA">
        <w:trPr>
          <w:trHeight w:hRule="exact" w:val="851"/>
        </w:trPr>
        <w:tc>
          <w:tcPr>
            <w:tcW w:w="1276" w:type="dxa"/>
            <w:tcBorders>
              <w:bottom w:val="single" w:sz="4" w:space="0" w:color="auto"/>
            </w:tcBorders>
          </w:tcPr>
          <w:p w14:paraId="4A03216B" w14:textId="77777777" w:rsidR="002D5AAC" w:rsidRDefault="002D5AAC" w:rsidP="009F38A0">
            <w:pPr>
              <w:kinsoku w:val="0"/>
              <w:overflowPunct w:val="0"/>
              <w:autoSpaceDE w:val="0"/>
              <w:autoSpaceDN w:val="0"/>
              <w:adjustRightInd w:val="0"/>
              <w:snapToGrid w:val="0"/>
            </w:pPr>
          </w:p>
        </w:tc>
        <w:tc>
          <w:tcPr>
            <w:tcW w:w="2268" w:type="dxa"/>
            <w:tcBorders>
              <w:bottom w:val="single" w:sz="4" w:space="0" w:color="auto"/>
            </w:tcBorders>
            <w:vAlign w:val="bottom"/>
          </w:tcPr>
          <w:p w14:paraId="7525ED1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B06BAA4" w14:textId="0F2FC001" w:rsidR="002D5AAC" w:rsidRDefault="009F38A0" w:rsidP="009F38A0">
            <w:pPr>
              <w:jc w:val="right"/>
            </w:pPr>
            <w:r w:rsidRPr="009F38A0">
              <w:rPr>
                <w:sz w:val="40"/>
              </w:rPr>
              <w:t>CED</w:t>
            </w:r>
            <w:r>
              <w:t>/C/28/1</w:t>
            </w:r>
          </w:p>
        </w:tc>
      </w:tr>
      <w:tr w:rsidR="002D5AAC" w14:paraId="05FC58F3" w14:textId="77777777" w:rsidTr="008F7CAA">
        <w:trPr>
          <w:trHeight w:hRule="exact" w:val="2835"/>
        </w:trPr>
        <w:tc>
          <w:tcPr>
            <w:tcW w:w="1276" w:type="dxa"/>
            <w:tcBorders>
              <w:top w:val="single" w:sz="4" w:space="0" w:color="auto"/>
              <w:bottom w:val="single" w:sz="12" w:space="0" w:color="auto"/>
            </w:tcBorders>
          </w:tcPr>
          <w:p w14:paraId="2E7FDAE3" w14:textId="77777777" w:rsidR="002D5AAC" w:rsidRDefault="00477509" w:rsidP="008F7CAA">
            <w:pPr>
              <w:spacing w:before="120"/>
              <w:jc w:val="center"/>
            </w:pPr>
            <w:r>
              <w:rPr>
                <w:noProof/>
              </w:rPr>
              <w:drawing>
                <wp:inline distT="0" distB="0" distL="0" distR="0" wp14:anchorId="6CA7F2F5" wp14:editId="0220977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FCF19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95DD39F" w14:textId="77777777" w:rsidR="002D5AAC" w:rsidRDefault="009F38A0" w:rsidP="008F7CAA">
            <w:pPr>
              <w:spacing w:before="240"/>
            </w:pPr>
            <w:r>
              <w:t>Distr. general</w:t>
            </w:r>
          </w:p>
          <w:p w14:paraId="5142D5B8" w14:textId="21765690" w:rsidR="009F38A0" w:rsidRDefault="00BE3532" w:rsidP="009F38A0">
            <w:pPr>
              <w:spacing w:line="240" w:lineRule="exact"/>
            </w:pPr>
            <w:r>
              <w:t>14</w:t>
            </w:r>
            <w:r w:rsidR="009F38A0">
              <w:t xml:space="preserve"> de </w:t>
            </w:r>
            <w:r>
              <w:t xml:space="preserve">enero </w:t>
            </w:r>
            <w:r w:rsidR="009F38A0">
              <w:t>de 202</w:t>
            </w:r>
            <w:r>
              <w:t>5</w:t>
            </w:r>
          </w:p>
          <w:p w14:paraId="799082EA" w14:textId="77777777" w:rsidR="009F38A0" w:rsidRDefault="009F38A0" w:rsidP="009F38A0">
            <w:pPr>
              <w:spacing w:line="240" w:lineRule="exact"/>
            </w:pPr>
            <w:r>
              <w:t>Español</w:t>
            </w:r>
          </w:p>
          <w:p w14:paraId="6A5699BD" w14:textId="77777777" w:rsidR="009F38A0" w:rsidRDefault="009F38A0" w:rsidP="009F38A0">
            <w:pPr>
              <w:spacing w:line="240" w:lineRule="exact"/>
            </w:pPr>
            <w:r>
              <w:t>Original: inglés</w:t>
            </w:r>
          </w:p>
          <w:p w14:paraId="77CCC707" w14:textId="1A161808" w:rsidR="001B4AEC" w:rsidRDefault="001B4AEC" w:rsidP="009F38A0">
            <w:pPr>
              <w:spacing w:line="240" w:lineRule="exact"/>
            </w:pPr>
            <w:r>
              <w:t>Español, francés e inglés únicamente</w:t>
            </w:r>
          </w:p>
        </w:tc>
      </w:tr>
    </w:tbl>
    <w:p w14:paraId="1A3774A5" w14:textId="77777777" w:rsidR="00CC539B" w:rsidRPr="00961F2E" w:rsidRDefault="00CC539B" w:rsidP="00961F2E">
      <w:pPr>
        <w:spacing w:before="120"/>
        <w:rPr>
          <w:b/>
          <w:bCs/>
          <w:sz w:val="24"/>
          <w:szCs w:val="24"/>
          <w:lang w:val="fr-CH"/>
        </w:rPr>
      </w:pPr>
      <w:r w:rsidRPr="00961F2E">
        <w:rPr>
          <w:b/>
          <w:bCs/>
          <w:sz w:val="24"/>
          <w:szCs w:val="24"/>
          <w:lang w:val="es-ES_tradnl"/>
        </w:rPr>
        <w:t>Comité contra la Desaparición Forzada</w:t>
      </w:r>
    </w:p>
    <w:p w14:paraId="5C829157" w14:textId="77777777" w:rsidR="00CC539B" w:rsidRPr="00961F2E" w:rsidRDefault="00CC539B" w:rsidP="00961F2E">
      <w:pPr>
        <w:rPr>
          <w:b/>
          <w:bCs/>
          <w:lang w:val="fr-CH"/>
        </w:rPr>
      </w:pPr>
      <w:r w:rsidRPr="00961F2E">
        <w:rPr>
          <w:b/>
          <w:bCs/>
          <w:lang w:val="es-ES_tradnl"/>
        </w:rPr>
        <w:t>28º período de sesiones</w:t>
      </w:r>
    </w:p>
    <w:p w14:paraId="180EA7AD" w14:textId="77777777" w:rsidR="00CC539B" w:rsidRPr="007A0A9D" w:rsidRDefault="00CC539B" w:rsidP="00961F2E">
      <w:pPr>
        <w:rPr>
          <w:lang w:val="fr-CH"/>
        </w:rPr>
      </w:pPr>
      <w:r w:rsidRPr="007A0A9D">
        <w:rPr>
          <w:lang w:val="es-ES_tradnl"/>
        </w:rPr>
        <w:t>Ginebra, 17 de marzo a 4 de abril de 2025</w:t>
      </w:r>
    </w:p>
    <w:p w14:paraId="05434F00" w14:textId="77777777" w:rsidR="00CC539B" w:rsidRPr="007A0A9D" w:rsidRDefault="00CC539B" w:rsidP="00961F2E">
      <w:pPr>
        <w:rPr>
          <w:lang w:val="fr-CH"/>
        </w:rPr>
      </w:pPr>
      <w:r w:rsidRPr="007A0A9D">
        <w:rPr>
          <w:lang w:val="es-ES_tradnl"/>
        </w:rPr>
        <w:t>Tema 1 del programa provisional</w:t>
      </w:r>
    </w:p>
    <w:p w14:paraId="023A5A7E" w14:textId="77777777" w:rsidR="00CC539B" w:rsidRPr="00961F2E" w:rsidRDefault="00CC539B" w:rsidP="00961F2E">
      <w:pPr>
        <w:rPr>
          <w:b/>
          <w:bCs/>
          <w:lang w:val="fr-CH"/>
        </w:rPr>
      </w:pPr>
      <w:r w:rsidRPr="00961F2E">
        <w:rPr>
          <w:b/>
          <w:bCs/>
          <w:lang w:val="es-ES_tradnl"/>
        </w:rPr>
        <w:t>Aprobación del programa</w:t>
      </w:r>
    </w:p>
    <w:p w14:paraId="13AE3CB0" w14:textId="77777777" w:rsidR="00CC539B" w:rsidRPr="007A0A9D" w:rsidRDefault="00CC539B" w:rsidP="000163C9">
      <w:pPr>
        <w:pStyle w:val="HChG"/>
        <w:rPr>
          <w:lang w:val="en-GB"/>
        </w:rPr>
      </w:pPr>
      <w:r w:rsidRPr="007A0A9D">
        <w:rPr>
          <w:lang w:val="en-GB"/>
        </w:rPr>
        <w:tab/>
      </w:r>
      <w:r w:rsidRPr="007A0A9D">
        <w:rPr>
          <w:lang w:val="en-GB"/>
        </w:rPr>
        <w:tab/>
      </w:r>
      <w:r w:rsidRPr="007A0A9D">
        <w:rPr>
          <w:lang w:val="es-ES_tradnl"/>
        </w:rPr>
        <w:t>Programa provisional anotado</w:t>
      </w:r>
    </w:p>
    <w:p w14:paraId="1E5AE629" w14:textId="77777777" w:rsidR="00CC539B" w:rsidRPr="007A0A9D" w:rsidRDefault="00CC539B" w:rsidP="000163C9">
      <w:pPr>
        <w:pStyle w:val="H1G"/>
        <w:rPr>
          <w:lang w:val="en-GB"/>
        </w:rPr>
      </w:pPr>
      <w:r w:rsidRPr="007A0A9D">
        <w:rPr>
          <w:lang w:val="en-GB"/>
        </w:rPr>
        <w:tab/>
      </w:r>
      <w:r w:rsidRPr="007A0A9D">
        <w:rPr>
          <w:lang w:val="en-GB"/>
        </w:rPr>
        <w:tab/>
      </w:r>
      <w:r w:rsidRPr="007A0A9D">
        <w:rPr>
          <w:lang w:val="es-ES_tradnl"/>
        </w:rPr>
        <w:t>Programa provisional</w:t>
      </w:r>
    </w:p>
    <w:p w14:paraId="203C828C" w14:textId="77777777" w:rsidR="00CC539B" w:rsidRPr="007A0A9D" w:rsidRDefault="00CC539B" w:rsidP="000163C9">
      <w:pPr>
        <w:pStyle w:val="SingleTxtG"/>
        <w:ind w:left="1701" w:hanging="567"/>
        <w:rPr>
          <w:lang w:val="en-GB"/>
        </w:rPr>
      </w:pPr>
      <w:r w:rsidRPr="007A0A9D">
        <w:rPr>
          <w:lang w:val="en-GB"/>
        </w:rPr>
        <w:t>1.</w:t>
      </w:r>
      <w:r w:rsidRPr="007A0A9D">
        <w:rPr>
          <w:lang w:val="en-GB"/>
        </w:rPr>
        <w:tab/>
      </w:r>
      <w:r w:rsidRPr="007A0A9D">
        <w:rPr>
          <w:lang w:val="es-ES_tradnl"/>
        </w:rPr>
        <w:t>Aprobación del programa.</w:t>
      </w:r>
    </w:p>
    <w:p w14:paraId="4C68EB8E" w14:textId="77777777" w:rsidR="00CC539B" w:rsidRPr="007A0A9D" w:rsidRDefault="00CC539B" w:rsidP="000163C9">
      <w:pPr>
        <w:pStyle w:val="SingleTxtG"/>
        <w:ind w:left="1701" w:hanging="567"/>
        <w:rPr>
          <w:lang w:val="en-GB"/>
        </w:rPr>
      </w:pPr>
      <w:r w:rsidRPr="007A0A9D">
        <w:rPr>
          <w:lang w:val="en-GB"/>
        </w:rPr>
        <w:t>2.</w:t>
      </w:r>
      <w:r w:rsidRPr="007A0A9D">
        <w:rPr>
          <w:lang w:val="en-GB"/>
        </w:rPr>
        <w:tab/>
      </w:r>
      <w:r w:rsidRPr="007A0A9D">
        <w:rPr>
          <w:lang w:val="es-ES_tradnl"/>
        </w:rPr>
        <w:t>Homenaje a las víctimas de desapariciones forzadas.</w:t>
      </w:r>
    </w:p>
    <w:p w14:paraId="7021975A" w14:textId="77777777" w:rsidR="00CC539B" w:rsidRPr="007A0A9D" w:rsidRDefault="00CC539B" w:rsidP="000163C9">
      <w:pPr>
        <w:pStyle w:val="SingleTxtG"/>
        <w:ind w:left="1701" w:hanging="567"/>
        <w:rPr>
          <w:lang w:val="en-GB"/>
        </w:rPr>
      </w:pPr>
      <w:r w:rsidRPr="007A0A9D">
        <w:rPr>
          <w:lang w:val="en-GB"/>
        </w:rPr>
        <w:t>3.</w:t>
      </w:r>
      <w:r w:rsidRPr="007A0A9D">
        <w:rPr>
          <w:lang w:val="en-GB"/>
        </w:rPr>
        <w:tab/>
      </w:r>
      <w:r w:rsidRPr="007A0A9D">
        <w:rPr>
          <w:lang w:val="es-ES_tradnl"/>
        </w:rPr>
        <w:t>Informes de los miembros del Comité sobre las actividades realizadas entre los períodos de sesiones 27º y 28º del Comité.</w:t>
      </w:r>
    </w:p>
    <w:p w14:paraId="53B83FB2" w14:textId="77777777" w:rsidR="00CC539B" w:rsidRPr="007A0A9D" w:rsidRDefault="00CC539B" w:rsidP="000163C9">
      <w:pPr>
        <w:pStyle w:val="SingleTxtG"/>
        <w:ind w:left="1701" w:hanging="567"/>
        <w:rPr>
          <w:lang w:val="en-GB"/>
        </w:rPr>
      </w:pPr>
      <w:r w:rsidRPr="007A0A9D">
        <w:rPr>
          <w:lang w:val="en-GB"/>
        </w:rPr>
        <w:t>4.</w:t>
      </w:r>
      <w:r w:rsidRPr="007A0A9D">
        <w:rPr>
          <w:lang w:val="en-GB"/>
        </w:rPr>
        <w:tab/>
      </w:r>
      <w:r w:rsidRPr="007A0A9D">
        <w:rPr>
          <w:lang w:val="es-ES_tradnl"/>
        </w:rPr>
        <w:t>Asuntos relacionados con los métodos de trabajo del Comité:</w:t>
      </w:r>
    </w:p>
    <w:p w14:paraId="5E706DFF" w14:textId="52D0AD9A" w:rsidR="00CC539B" w:rsidRPr="007A0A9D" w:rsidRDefault="00CC539B" w:rsidP="000163C9">
      <w:pPr>
        <w:pStyle w:val="SingleTxtG"/>
        <w:ind w:left="2268" w:hanging="567"/>
        <w:rPr>
          <w:lang w:val="en-GB"/>
        </w:rPr>
      </w:pPr>
      <w:r w:rsidRPr="007A0A9D">
        <w:rPr>
          <w:lang w:val="es-ES_tradnl"/>
        </w:rPr>
        <w:t>a)</w:t>
      </w:r>
      <w:r w:rsidRPr="007A0A9D">
        <w:rPr>
          <w:lang w:val="en-GB"/>
        </w:rPr>
        <w:tab/>
      </w:r>
      <w:r w:rsidRPr="007A0A9D">
        <w:rPr>
          <w:lang w:val="es-ES_tradnl"/>
        </w:rPr>
        <w:t>Revisión de los métodos de trabajo del Comité;</w:t>
      </w:r>
      <w:r w:rsidRPr="007A0A9D">
        <w:rPr>
          <w:lang w:val="en-GB"/>
        </w:rPr>
        <w:t xml:space="preserve"> </w:t>
      </w:r>
    </w:p>
    <w:p w14:paraId="1A38C3C7" w14:textId="2AA0CB82" w:rsidR="00CC539B" w:rsidRPr="007A0A9D" w:rsidRDefault="00CC539B" w:rsidP="000163C9">
      <w:pPr>
        <w:pStyle w:val="SingleTxtG"/>
        <w:ind w:left="2268" w:hanging="567"/>
        <w:rPr>
          <w:lang w:val="en-GB"/>
        </w:rPr>
      </w:pPr>
      <w:r w:rsidRPr="007A0A9D">
        <w:rPr>
          <w:lang w:val="es-ES_tradnl"/>
        </w:rPr>
        <w:t>b)</w:t>
      </w:r>
      <w:r w:rsidRPr="007A0A9D">
        <w:rPr>
          <w:lang w:val="en-GB"/>
        </w:rPr>
        <w:tab/>
      </w:r>
      <w:r w:rsidRPr="007A0A9D">
        <w:rPr>
          <w:lang w:val="es-ES_tradnl"/>
        </w:rPr>
        <w:t>Mujeres y desaparición forzada;</w:t>
      </w:r>
      <w:r w:rsidRPr="007A0A9D">
        <w:rPr>
          <w:lang w:val="en-GB"/>
        </w:rPr>
        <w:t xml:space="preserve"> </w:t>
      </w:r>
    </w:p>
    <w:p w14:paraId="0EBB719A" w14:textId="5CF81031" w:rsidR="00CC539B" w:rsidRPr="007A0A9D" w:rsidRDefault="00CC539B" w:rsidP="000163C9">
      <w:pPr>
        <w:pStyle w:val="SingleTxtG"/>
        <w:ind w:left="2268" w:hanging="567"/>
        <w:rPr>
          <w:lang w:val="en-GB"/>
        </w:rPr>
      </w:pPr>
      <w:r w:rsidRPr="007A0A9D">
        <w:rPr>
          <w:lang w:val="es-ES_tradnl"/>
        </w:rPr>
        <w:t>c)</w:t>
      </w:r>
      <w:r w:rsidRPr="007A0A9D">
        <w:rPr>
          <w:lang w:val="en-GB"/>
        </w:rPr>
        <w:tab/>
      </w:r>
      <w:r w:rsidRPr="007A0A9D">
        <w:rPr>
          <w:lang w:val="es-ES_tradnl"/>
        </w:rPr>
        <w:t>Orientación para la aplicación de las directrices sobre la independencia y la imparcialidad de los miembros de los órganos creados en virtud de tratados de derechos humanos (directrices de Addis Abeba);</w:t>
      </w:r>
    </w:p>
    <w:p w14:paraId="4801DF49" w14:textId="33920B9B" w:rsidR="00CC539B" w:rsidRPr="007A0A9D" w:rsidRDefault="00CC539B" w:rsidP="000163C9">
      <w:pPr>
        <w:pStyle w:val="SingleTxtG"/>
        <w:ind w:left="2268" w:hanging="567"/>
        <w:rPr>
          <w:lang w:val="en-GB"/>
        </w:rPr>
      </w:pPr>
      <w:r w:rsidRPr="007A0A9D">
        <w:rPr>
          <w:lang w:val="es-ES_tradnl"/>
        </w:rPr>
        <w:t>d)</w:t>
      </w:r>
      <w:r w:rsidRPr="007A0A9D">
        <w:rPr>
          <w:lang w:val="en-GB"/>
        </w:rPr>
        <w:tab/>
      </w:r>
      <w:r w:rsidRPr="007A0A9D">
        <w:rPr>
          <w:lang w:val="es-ES_tradnl"/>
        </w:rPr>
        <w:t>Estrategia de comunicación del Comité;</w:t>
      </w:r>
    </w:p>
    <w:p w14:paraId="0ADFD228" w14:textId="04D4110E" w:rsidR="00CC539B" w:rsidRPr="007A0A9D" w:rsidRDefault="00CC539B" w:rsidP="000163C9">
      <w:pPr>
        <w:pStyle w:val="SingleTxtG"/>
        <w:ind w:left="2268" w:hanging="567"/>
        <w:rPr>
          <w:lang w:val="en-GB"/>
        </w:rPr>
      </w:pPr>
      <w:r w:rsidRPr="007A0A9D">
        <w:rPr>
          <w:lang w:val="es-ES_tradnl"/>
        </w:rPr>
        <w:t>e)</w:t>
      </w:r>
      <w:r w:rsidRPr="007A0A9D">
        <w:rPr>
          <w:lang w:val="en-GB"/>
        </w:rPr>
        <w:tab/>
      </w:r>
      <w:r w:rsidRPr="007A0A9D">
        <w:rPr>
          <w:lang w:val="es-ES_tradnl"/>
        </w:rPr>
        <w:t>Seguimiento del Congreso Mundial sobre las Desapariciones Forzadas;</w:t>
      </w:r>
      <w:r w:rsidRPr="007A0A9D">
        <w:rPr>
          <w:lang w:val="en-GB"/>
        </w:rPr>
        <w:t xml:space="preserve"> </w:t>
      </w:r>
    </w:p>
    <w:p w14:paraId="478E0BD1" w14:textId="569EEE19" w:rsidR="00CC539B" w:rsidRPr="007A0A9D" w:rsidRDefault="00CC539B" w:rsidP="000163C9">
      <w:pPr>
        <w:pStyle w:val="SingleTxtG"/>
        <w:ind w:left="2268" w:hanging="567"/>
        <w:rPr>
          <w:lang w:val="en-GB"/>
        </w:rPr>
      </w:pPr>
      <w:r w:rsidRPr="007A0A9D">
        <w:rPr>
          <w:lang w:val="es-ES_tradnl"/>
        </w:rPr>
        <w:t>f)</w:t>
      </w:r>
      <w:r w:rsidRPr="007A0A9D">
        <w:rPr>
          <w:lang w:val="en-GB"/>
        </w:rPr>
        <w:tab/>
      </w:r>
      <w:r w:rsidRPr="007A0A9D">
        <w:rPr>
          <w:lang w:val="es-ES_tradnl"/>
        </w:rPr>
        <w:t>Otros asuntos.</w:t>
      </w:r>
    </w:p>
    <w:p w14:paraId="2F682F1D" w14:textId="77777777" w:rsidR="00CC539B" w:rsidRPr="007A0A9D" w:rsidRDefault="00CC539B" w:rsidP="000163C9">
      <w:pPr>
        <w:pStyle w:val="SingleTxtG"/>
        <w:ind w:left="1701" w:hanging="567"/>
        <w:rPr>
          <w:lang w:val="en-GB"/>
        </w:rPr>
      </w:pPr>
      <w:r w:rsidRPr="007A0A9D">
        <w:rPr>
          <w:lang w:val="en-GB"/>
        </w:rPr>
        <w:t>5.</w:t>
      </w:r>
      <w:r w:rsidRPr="007A0A9D">
        <w:rPr>
          <w:lang w:val="en-GB"/>
        </w:rPr>
        <w:tab/>
      </w:r>
      <w:r w:rsidRPr="007A0A9D">
        <w:rPr>
          <w:lang w:val="es-ES_tradnl"/>
        </w:rPr>
        <w:t>Examen de las listas de cuestiones en virtud del artículo 29, párrafo 1, de la Convención.</w:t>
      </w:r>
      <w:r w:rsidRPr="007A0A9D">
        <w:rPr>
          <w:lang w:val="en-GB"/>
        </w:rPr>
        <w:t xml:space="preserve"> </w:t>
      </w:r>
    </w:p>
    <w:p w14:paraId="4AE42B60" w14:textId="77777777" w:rsidR="00CC539B" w:rsidRPr="007A0A9D" w:rsidRDefault="00CC539B" w:rsidP="000163C9">
      <w:pPr>
        <w:pStyle w:val="SingleTxtG"/>
        <w:ind w:left="1701" w:hanging="567"/>
        <w:rPr>
          <w:lang w:val="en-GB"/>
        </w:rPr>
      </w:pPr>
      <w:r w:rsidRPr="007A0A9D">
        <w:rPr>
          <w:lang w:val="en-GB"/>
        </w:rPr>
        <w:t>6.</w:t>
      </w:r>
      <w:r w:rsidRPr="007A0A9D">
        <w:rPr>
          <w:lang w:val="en-GB"/>
        </w:rPr>
        <w:tab/>
      </w:r>
      <w:r w:rsidRPr="007A0A9D">
        <w:rPr>
          <w:lang w:val="es-ES_tradnl"/>
        </w:rPr>
        <w:t>Listas de temas prioritarios con arreglo al artículo 29, párrafos 3 y 4, de la Convención.</w:t>
      </w:r>
    </w:p>
    <w:p w14:paraId="2E60D26D" w14:textId="77777777" w:rsidR="00CC539B" w:rsidRPr="007A0A9D" w:rsidRDefault="00CC539B" w:rsidP="000163C9">
      <w:pPr>
        <w:pStyle w:val="SingleTxtG"/>
        <w:ind w:left="1701" w:hanging="567"/>
        <w:rPr>
          <w:lang w:val="en-GB"/>
        </w:rPr>
      </w:pPr>
      <w:r w:rsidRPr="007A0A9D">
        <w:rPr>
          <w:lang w:val="en-GB"/>
        </w:rPr>
        <w:t xml:space="preserve">7. </w:t>
      </w:r>
      <w:r w:rsidRPr="007A0A9D">
        <w:rPr>
          <w:lang w:val="en-GB"/>
        </w:rPr>
        <w:tab/>
      </w:r>
      <w:r w:rsidRPr="007A0A9D">
        <w:rPr>
          <w:lang w:val="es-ES_tradnl"/>
        </w:rPr>
        <w:t>Examen de los informes presentados por los Estados partes en virtud del artículo 29, párrafo 1, y de la información complementaria presentada con arreglo al artículo 29, párrafo 4, de la Convención.</w:t>
      </w:r>
    </w:p>
    <w:p w14:paraId="53755D30" w14:textId="77777777" w:rsidR="00CC539B" w:rsidRPr="007A0A9D" w:rsidRDefault="00CC539B" w:rsidP="000163C9">
      <w:pPr>
        <w:pStyle w:val="SingleTxtG"/>
        <w:ind w:left="1701" w:hanging="567"/>
        <w:rPr>
          <w:lang w:val="en-GB"/>
        </w:rPr>
      </w:pPr>
      <w:r w:rsidRPr="007A0A9D">
        <w:rPr>
          <w:lang w:val="en-GB"/>
        </w:rPr>
        <w:t xml:space="preserve">8. </w:t>
      </w:r>
      <w:r w:rsidRPr="007A0A9D">
        <w:rPr>
          <w:lang w:val="en-GB"/>
        </w:rPr>
        <w:tab/>
      </w:r>
      <w:r w:rsidRPr="007A0A9D">
        <w:rPr>
          <w:lang w:val="es-ES_tradnl"/>
        </w:rPr>
        <w:t>Seguimiento de las observaciones finales sobre los informes de los Estados partes.</w:t>
      </w:r>
    </w:p>
    <w:p w14:paraId="5884E01D" w14:textId="77777777" w:rsidR="00CC539B" w:rsidRPr="007A0A9D" w:rsidRDefault="00CC539B" w:rsidP="000163C9">
      <w:pPr>
        <w:pStyle w:val="SingleTxtG"/>
        <w:ind w:left="1701" w:hanging="567"/>
        <w:rPr>
          <w:lang w:val="en-GB"/>
        </w:rPr>
      </w:pPr>
      <w:r w:rsidRPr="007A0A9D">
        <w:rPr>
          <w:lang w:val="en-GB"/>
        </w:rPr>
        <w:t>9.</w:t>
      </w:r>
      <w:r w:rsidRPr="007A0A9D">
        <w:rPr>
          <w:lang w:val="en-GB"/>
        </w:rPr>
        <w:tab/>
      </w:r>
      <w:r w:rsidRPr="007A0A9D">
        <w:rPr>
          <w:lang w:val="es-ES_tradnl"/>
        </w:rPr>
        <w:t>Examen del informe sobre las peticiones de acción urgente de conformidad con el artículo 30 de la Convención y de la información actualizada sobre la gestión del procedimiento.</w:t>
      </w:r>
    </w:p>
    <w:p w14:paraId="7C96A507" w14:textId="77777777" w:rsidR="00CC539B" w:rsidRPr="007A0A9D" w:rsidRDefault="00CC539B" w:rsidP="000163C9">
      <w:pPr>
        <w:pStyle w:val="SingleTxtG"/>
        <w:ind w:left="1701" w:hanging="567"/>
        <w:rPr>
          <w:lang w:val="en-GB"/>
        </w:rPr>
      </w:pPr>
      <w:r w:rsidRPr="007A0A9D">
        <w:rPr>
          <w:lang w:val="en-GB"/>
        </w:rPr>
        <w:t>10.</w:t>
      </w:r>
      <w:r w:rsidRPr="007A0A9D">
        <w:rPr>
          <w:lang w:val="en-GB"/>
        </w:rPr>
        <w:tab/>
      </w:r>
      <w:r w:rsidRPr="007A0A9D">
        <w:rPr>
          <w:lang w:val="es-ES_tradnl"/>
        </w:rPr>
        <w:t>Examen de comunicaciones individuales de conformidad con el artículo 31 de la Convención.</w:t>
      </w:r>
    </w:p>
    <w:p w14:paraId="3A45FE58" w14:textId="77777777" w:rsidR="00CC539B" w:rsidRPr="007A0A9D" w:rsidRDefault="00CC539B" w:rsidP="000163C9">
      <w:pPr>
        <w:pStyle w:val="SingleTxtG"/>
        <w:ind w:left="1701" w:hanging="567"/>
        <w:rPr>
          <w:lang w:val="en-GB"/>
        </w:rPr>
      </w:pPr>
      <w:r w:rsidRPr="007A0A9D">
        <w:rPr>
          <w:lang w:val="en-GB"/>
        </w:rPr>
        <w:t>11.</w:t>
      </w:r>
      <w:r w:rsidRPr="007A0A9D">
        <w:rPr>
          <w:lang w:val="en-GB"/>
        </w:rPr>
        <w:tab/>
      </w:r>
      <w:r w:rsidRPr="007A0A9D">
        <w:rPr>
          <w:lang w:val="es-ES_tradnl"/>
        </w:rPr>
        <w:t>Seguimiento de los dictámenes del Comité.</w:t>
      </w:r>
    </w:p>
    <w:p w14:paraId="2A3B591A" w14:textId="77777777" w:rsidR="00CC539B" w:rsidRPr="007A0A9D" w:rsidRDefault="00CC539B" w:rsidP="000163C9">
      <w:pPr>
        <w:pStyle w:val="SingleTxtG"/>
        <w:ind w:left="1701" w:hanging="567"/>
        <w:rPr>
          <w:lang w:val="en-GB"/>
        </w:rPr>
      </w:pPr>
      <w:r w:rsidRPr="007A0A9D">
        <w:rPr>
          <w:lang w:val="en-GB"/>
        </w:rPr>
        <w:t>12.</w:t>
      </w:r>
      <w:r w:rsidRPr="007A0A9D">
        <w:rPr>
          <w:lang w:val="en-GB"/>
        </w:rPr>
        <w:tab/>
      </w:r>
      <w:r w:rsidRPr="007A0A9D">
        <w:rPr>
          <w:lang w:val="es-ES_tradnl"/>
        </w:rPr>
        <w:t>Visitas efectuadas por el Comité de conformidad con el artículo 33 de la Convención.</w:t>
      </w:r>
    </w:p>
    <w:p w14:paraId="41D5F9D6" w14:textId="77777777" w:rsidR="00CC539B" w:rsidRPr="007A0A9D" w:rsidRDefault="00CC539B" w:rsidP="000163C9">
      <w:pPr>
        <w:pStyle w:val="SingleTxtG"/>
        <w:ind w:left="1701" w:hanging="567"/>
        <w:rPr>
          <w:lang w:val="en-GB"/>
        </w:rPr>
      </w:pPr>
      <w:r w:rsidRPr="007A0A9D">
        <w:rPr>
          <w:lang w:val="en-GB"/>
        </w:rPr>
        <w:lastRenderedPageBreak/>
        <w:t>13.</w:t>
      </w:r>
      <w:r w:rsidRPr="007A0A9D">
        <w:rPr>
          <w:lang w:val="en-GB"/>
        </w:rPr>
        <w:tab/>
      </w:r>
      <w:r w:rsidRPr="007A0A9D">
        <w:rPr>
          <w:lang w:val="es-ES_tradnl"/>
        </w:rPr>
        <w:t>Información recibida por el Comité en virtud del artículo 34 de la Convención.</w:t>
      </w:r>
    </w:p>
    <w:p w14:paraId="48DE53D8" w14:textId="77777777" w:rsidR="00CC539B" w:rsidRPr="007A0A9D" w:rsidRDefault="00CC539B" w:rsidP="000163C9">
      <w:pPr>
        <w:pStyle w:val="SingleTxtG"/>
        <w:ind w:left="1701" w:hanging="567"/>
        <w:rPr>
          <w:lang w:val="en-GB"/>
        </w:rPr>
      </w:pPr>
      <w:r w:rsidRPr="007A0A9D">
        <w:rPr>
          <w:lang w:val="en-GB"/>
        </w:rPr>
        <w:t>14.</w:t>
      </w:r>
      <w:r w:rsidRPr="007A0A9D">
        <w:rPr>
          <w:lang w:val="en-GB"/>
        </w:rPr>
        <w:tab/>
      </w:r>
      <w:r w:rsidRPr="007A0A9D">
        <w:rPr>
          <w:lang w:val="es-ES_tradnl"/>
        </w:rPr>
        <w:t>Examen y aprobación del informe anual a la Asamblea General.</w:t>
      </w:r>
    </w:p>
    <w:p w14:paraId="14435BCA" w14:textId="660E7A87" w:rsidR="00CC539B" w:rsidRPr="007A0A9D" w:rsidRDefault="00CC539B" w:rsidP="000163C9">
      <w:pPr>
        <w:pStyle w:val="SingleTxtG"/>
        <w:ind w:left="1701" w:hanging="567"/>
        <w:rPr>
          <w:lang w:val="en-GB"/>
        </w:rPr>
      </w:pPr>
      <w:r w:rsidRPr="007A0A9D">
        <w:rPr>
          <w:lang w:val="en-GB"/>
        </w:rPr>
        <w:t>15.</w:t>
      </w:r>
      <w:r w:rsidRPr="007A0A9D">
        <w:rPr>
          <w:lang w:val="en-GB"/>
        </w:rPr>
        <w:tab/>
      </w:r>
      <w:r w:rsidRPr="007A0A9D">
        <w:rPr>
          <w:lang w:val="es-ES_tradnl"/>
        </w:rPr>
        <w:t xml:space="preserve">Emisión de la declaración conjunta sobre las denominadas </w:t>
      </w:r>
      <w:r w:rsidR="00765859">
        <w:rPr>
          <w:lang w:val="es-ES_tradnl"/>
        </w:rPr>
        <w:t>“</w:t>
      </w:r>
      <w:r w:rsidRPr="007A0A9D">
        <w:rPr>
          <w:lang w:val="es-ES_tradnl"/>
        </w:rPr>
        <w:t>desapariciones forzadas de corta duración</w:t>
      </w:r>
      <w:r w:rsidR="00765859">
        <w:rPr>
          <w:lang w:val="es-ES_tradnl"/>
        </w:rPr>
        <w:t>”</w:t>
      </w:r>
      <w:r w:rsidRPr="007A0A9D">
        <w:rPr>
          <w:lang w:val="es-ES_tradnl"/>
        </w:rPr>
        <w:t>.</w:t>
      </w:r>
    </w:p>
    <w:p w14:paraId="77251172" w14:textId="77777777" w:rsidR="00CC539B" w:rsidRPr="007A0A9D" w:rsidRDefault="00CC539B" w:rsidP="000163C9">
      <w:pPr>
        <w:pStyle w:val="SingleTxtG"/>
        <w:ind w:left="1701" w:hanging="567"/>
        <w:rPr>
          <w:lang w:val="en-GB"/>
        </w:rPr>
      </w:pPr>
      <w:r w:rsidRPr="007A0A9D">
        <w:rPr>
          <w:lang w:val="en-GB"/>
        </w:rPr>
        <w:t>16.</w:t>
      </w:r>
      <w:r w:rsidRPr="007A0A9D">
        <w:rPr>
          <w:lang w:val="en-GB"/>
        </w:rPr>
        <w:tab/>
      </w:r>
      <w:r w:rsidRPr="007A0A9D">
        <w:rPr>
          <w:lang w:val="es-ES_tradnl"/>
        </w:rPr>
        <w:t>Represalias.</w:t>
      </w:r>
    </w:p>
    <w:p w14:paraId="641B440A" w14:textId="77777777" w:rsidR="00CC539B" w:rsidRPr="007A0A9D" w:rsidRDefault="00CC539B" w:rsidP="000163C9">
      <w:pPr>
        <w:pStyle w:val="SingleTxtG"/>
        <w:ind w:left="1701" w:hanging="567"/>
        <w:rPr>
          <w:lang w:val="en-GB"/>
        </w:rPr>
      </w:pPr>
      <w:r w:rsidRPr="007A0A9D">
        <w:rPr>
          <w:lang w:val="en-GB"/>
        </w:rPr>
        <w:t>17.</w:t>
      </w:r>
      <w:r w:rsidRPr="007A0A9D">
        <w:rPr>
          <w:lang w:val="en-GB"/>
        </w:rPr>
        <w:tab/>
      </w:r>
      <w:r w:rsidRPr="007A0A9D">
        <w:rPr>
          <w:lang w:val="es-ES_tradnl"/>
        </w:rPr>
        <w:t>Debate sobre el examen por la Asamblea General del estado del sistema de órganos creados en virtud de tratados de derechos humanos.</w:t>
      </w:r>
    </w:p>
    <w:p w14:paraId="050E16C4" w14:textId="77777777" w:rsidR="00CC539B" w:rsidRPr="007A0A9D" w:rsidRDefault="00CC539B" w:rsidP="000163C9">
      <w:pPr>
        <w:pStyle w:val="SingleTxtG"/>
        <w:ind w:left="1701" w:hanging="567"/>
        <w:rPr>
          <w:lang w:val="en-GB"/>
        </w:rPr>
      </w:pPr>
      <w:r w:rsidRPr="007A0A9D">
        <w:rPr>
          <w:lang w:val="en-GB"/>
        </w:rPr>
        <w:t>18.</w:t>
      </w:r>
      <w:r w:rsidRPr="007A0A9D">
        <w:rPr>
          <w:lang w:val="en-GB"/>
        </w:rPr>
        <w:tab/>
      </w:r>
      <w:r w:rsidRPr="007A0A9D">
        <w:rPr>
          <w:lang w:val="es-ES_tradnl"/>
        </w:rPr>
        <w:t>Reuniones con Estados Miembros de las Naciones Unidas.</w:t>
      </w:r>
    </w:p>
    <w:p w14:paraId="088C1C99" w14:textId="77777777" w:rsidR="00CC539B" w:rsidRPr="007A0A9D" w:rsidRDefault="00CC539B" w:rsidP="000163C9">
      <w:pPr>
        <w:pStyle w:val="SingleTxtG"/>
        <w:ind w:left="1701" w:hanging="567"/>
        <w:rPr>
          <w:lang w:val="en-GB"/>
        </w:rPr>
      </w:pPr>
      <w:r w:rsidRPr="007A0A9D">
        <w:rPr>
          <w:lang w:val="en-GB"/>
        </w:rPr>
        <w:t>19.</w:t>
      </w:r>
      <w:r w:rsidRPr="007A0A9D">
        <w:rPr>
          <w:lang w:val="en-GB"/>
        </w:rPr>
        <w:tab/>
      </w:r>
      <w:r w:rsidRPr="007A0A9D">
        <w:rPr>
          <w:lang w:val="es-ES_tradnl"/>
        </w:rPr>
        <w:t>Reuniones con organismos y mecanismos de las Naciones Unidas y con organizaciones intergubernamentales.</w:t>
      </w:r>
    </w:p>
    <w:p w14:paraId="0231C053" w14:textId="77777777" w:rsidR="00CC539B" w:rsidRPr="007A0A9D" w:rsidRDefault="00CC539B" w:rsidP="000163C9">
      <w:pPr>
        <w:pStyle w:val="SingleTxtG"/>
        <w:ind w:left="1701" w:hanging="567"/>
        <w:rPr>
          <w:lang w:val="en-GB"/>
        </w:rPr>
      </w:pPr>
      <w:r w:rsidRPr="007A0A9D">
        <w:rPr>
          <w:lang w:val="en-GB"/>
        </w:rPr>
        <w:t>20.</w:t>
      </w:r>
      <w:r w:rsidRPr="007A0A9D">
        <w:rPr>
          <w:lang w:val="en-GB"/>
        </w:rPr>
        <w:tab/>
      </w:r>
      <w:r w:rsidRPr="007A0A9D">
        <w:rPr>
          <w:lang w:val="es-ES_tradnl"/>
        </w:rPr>
        <w:t>Reuniones con actores de la sociedad civil, instituciones nacionales de derechos humanos y otras partes interesadas.</w:t>
      </w:r>
    </w:p>
    <w:p w14:paraId="49ABE01B" w14:textId="77777777" w:rsidR="00CC539B" w:rsidRPr="007A0A9D" w:rsidRDefault="00CC539B" w:rsidP="000163C9">
      <w:pPr>
        <w:pStyle w:val="SingleTxtG"/>
        <w:ind w:left="1701" w:hanging="567"/>
        <w:rPr>
          <w:lang w:val="en-GB"/>
        </w:rPr>
      </w:pPr>
      <w:r w:rsidRPr="007A0A9D">
        <w:rPr>
          <w:lang w:val="en-GB"/>
        </w:rPr>
        <w:t>21.</w:t>
      </w:r>
      <w:r w:rsidRPr="007A0A9D">
        <w:rPr>
          <w:lang w:val="en-GB"/>
        </w:rPr>
        <w:tab/>
      </w:r>
      <w:r w:rsidRPr="007A0A9D">
        <w:rPr>
          <w:lang w:val="es-ES_tradnl"/>
        </w:rPr>
        <w:t>Reuniones con titulares de mandatos de los procedimientos especiales y mecanismos regionales de derechos humanos.</w:t>
      </w:r>
    </w:p>
    <w:p w14:paraId="61C14F3D" w14:textId="77777777" w:rsidR="00CC539B" w:rsidRPr="007A0A9D" w:rsidRDefault="00CC539B" w:rsidP="000163C9">
      <w:pPr>
        <w:pStyle w:val="SingleTxtG"/>
        <w:ind w:left="1701" w:hanging="567"/>
        <w:rPr>
          <w:lang w:val="en-GB"/>
        </w:rPr>
      </w:pPr>
      <w:r w:rsidRPr="007A0A9D">
        <w:rPr>
          <w:lang w:val="en-GB"/>
        </w:rPr>
        <w:t>22.</w:t>
      </w:r>
      <w:r w:rsidRPr="007A0A9D">
        <w:rPr>
          <w:lang w:val="en-GB"/>
        </w:rPr>
        <w:tab/>
      </w:r>
      <w:r w:rsidRPr="007A0A9D">
        <w:rPr>
          <w:lang w:val="es-ES_tradnl"/>
        </w:rPr>
        <w:t>Programa provisional del 29º período de sesiones.</w:t>
      </w:r>
    </w:p>
    <w:p w14:paraId="5009C96D" w14:textId="77777777" w:rsidR="00CC539B" w:rsidRPr="007A0A9D" w:rsidRDefault="00CC539B" w:rsidP="000163C9">
      <w:pPr>
        <w:pStyle w:val="H1G"/>
        <w:rPr>
          <w:lang w:val="en-GB"/>
        </w:rPr>
      </w:pPr>
      <w:r w:rsidRPr="007A0A9D">
        <w:rPr>
          <w:lang w:val="en-GB"/>
        </w:rPr>
        <w:tab/>
      </w:r>
      <w:r w:rsidRPr="007A0A9D">
        <w:rPr>
          <w:lang w:val="en-GB"/>
        </w:rPr>
        <w:tab/>
      </w:r>
      <w:r w:rsidRPr="007A0A9D">
        <w:rPr>
          <w:lang w:val="es-ES_tradnl"/>
        </w:rPr>
        <w:t>Anotaciones</w:t>
      </w:r>
    </w:p>
    <w:p w14:paraId="22813484" w14:textId="77777777" w:rsidR="00CC539B" w:rsidRPr="007A0A9D" w:rsidRDefault="00CC539B" w:rsidP="000163C9">
      <w:pPr>
        <w:pStyle w:val="H23G"/>
        <w:rPr>
          <w:lang w:val="en-GB"/>
        </w:rPr>
      </w:pPr>
      <w:r w:rsidRPr="007A0A9D">
        <w:rPr>
          <w:lang w:val="en-GB"/>
        </w:rPr>
        <w:tab/>
        <w:t>1.</w:t>
      </w:r>
      <w:r w:rsidRPr="007A0A9D">
        <w:rPr>
          <w:lang w:val="en-GB"/>
        </w:rPr>
        <w:tab/>
      </w:r>
      <w:r w:rsidRPr="007A0A9D">
        <w:rPr>
          <w:lang w:val="es-ES_tradnl"/>
        </w:rPr>
        <w:t>Aprobación del programa</w:t>
      </w:r>
    </w:p>
    <w:p w14:paraId="51C85E3B" w14:textId="24878FAE" w:rsidR="00CC539B" w:rsidRPr="007A0A9D" w:rsidRDefault="000163C9" w:rsidP="00CC539B">
      <w:pPr>
        <w:pStyle w:val="SingleTxtG"/>
        <w:rPr>
          <w:lang w:val="en-GB"/>
        </w:rPr>
      </w:pPr>
      <w:r>
        <w:rPr>
          <w:lang w:val="es-ES_tradnl"/>
        </w:rPr>
        <w:tab/>
      </w:r>
      <w:r w:rsidR="00CC539B" w:rsidRPr="007A0A9D">
        <w:rPr>
          <w:lang w:val="es-ES_tradnl"/>
        </w:rPr>
        <w:t>De conformidad con el artículo 8 del reglamento, el primer tema del programa provisional de cada período de sesiones será la aprobación del programa, excepto cuando deban elegirse los miembros de la Mesa.</w:t>
      </w:r>
      <w:r w:rsidR="00CC539B" w:rsidRPr="007A0A9D">
        <w:rPr>
          <w:lang w:val="en-GB"/>
        </w:rPr>
        <w:t xml:space="preserve"> </w:t>
      </w:r>
      <w:r w:rsidR="00CC539B" w:rsidRPr="007A0A9D">
        <w:rPr>
          <w:lang w:val="es-ES_tradnl"/>
        </w:rPr>
        <w:t>En relación con este tema, el Comité examinará y aprobará el programa de su 28º período de sesiones.</w:t>
      </w:r>
    </w:p>
    <w:p w14:paraId="0ED3D2B5" w14:textId="77777777" w:rsidR="00CC539B" w:rsidRPr="007A0A9D" w:rsidRDefault="00CC539B" w:rsidP="000163C9">
      <w:pPr>
        <w:pStyle w:val="H23G"/>
        <w:rPr>
          <w:lang w:val="en-GB"/>
        </w:rPr>
      </w:pPr>
      <w:r w:rsidRPr="007A0A9D">
        <w:rPr>
          <w:lang w:val="en-GB"/>
        </w:rPr>
        <w:tab/>
        <w:t>2.</w:t>
      </w:r>
      <w:r w:rsidRPr="007A0A9D">
        <w:rPr>
          <w:lang w:val="en-GB"/>
        </w:rPr>
        <w:tab/>
      </w:r>
      <w:r w:rsidRPr="007A0A9D">
        <w:rPr>
          <w:lang w:val="en-GB"/>
        </w:rPr>
        <w:tab/>
      </w:r>
      <w:r w:rsidRPr="007A0A9D">
        <w:rPr>
          <w:lang w:val="es-ES_tradnl"/>
        </w:rPr>
        <w:t>Homenaje a las víctimas de desapariciones forzadas</w:t>
      </w:r>
    </w:p>
    <w:p w14:paraId="6F4711FD" w14:textId="3890C2A2" w:rsidR="00CC539B" w:rsidRPr="007A0A9D" w:rsidRDefault="000163C9" w:rsidP="00CC539B">
      <w:pPr>
        <w:pStyle w:val="SingleTxtG"/>
        <w:rPr>
          <w:lang w:val="en-GB"/>
        </w:rPr>
      </w:pPr>
      <w:r>
        <w:rPr>
          <w:lang w:val="es-ES_tradnl"/>
        </w:rPr>
        <w:tab/>
      </w:r>
      <w:r w:rsidR="00CC539B" w:rsidRPr="007A0A9D">
        <w:rPr>
          <w:lang w:val="es-ES_tradnl"/>
        </w:rPr>
        <w:t>El Comité rendirá homenaje a las víctimas de desapariciones forzadas.</w:t>
      </w:r>
    </w:p>
    <w:p w14:paraId="148A0582" w14:textId="64BE7B66" w:rsidR="00CC539B" w:rsidRPr="007A0A9D" w:rsidRDefault="00CC539B" w:rsidP="000163C9">
      <w:pPr>
        <w:pStyle w:val="H23G"/>
        <w:rPr>
          <w:lang w:val="en-GB"/>
        </w:rPr>
      </w:pPr>
      <w:r w:rsidRPr="007A0A9D">
        <w:rPr>
          <w:lang w:val="en-GB"/>
        </w:rPr>
        <w:tab/>
        <w:t>3.</w:t>
      </w:r>
      <w:r w:rsidRPr="007A0A9D">
        <w:rPr>
          <w:lang w:val="en-GB"/>
        </w:rPr>
        <w:tab/>
      </w:r>
      <w:r w:rsidRPr="007A0A9D">
        <w:rPr>
          <w:lang w:val="es-ES_tradnl"/>
        </w:rPr>
        <w:t>Informes de los miembros del Comité sobre las actividades realizadas</w:t>
      </w:r>
      <w:r w:rsidR="000163C9">
        <w:rPr>
          <w:lang w:val="es-ES_tradnl"/>
        </w:rPr>
        <w:br/>
      </w:r>
      <w:r w:rsidRPr="007A0A9D">
        <w:rPr>
          <w:lang w:val="es-ES_tradnl"/>
        </w:rPr>
        <w:t>entre los períodos de sesiones 27º y 28º del Comité</w:t>
      </w:r>
    </w:p>
    <w:p w14:paraId="0E02039A" w14:textId="7F9FBCFB" w:rsidR="00CC539B" w:rsidRPr="007A0A9D" w:rsidRDefault="000163C9" w:rsidP="00CC539B">
      <w:pPr>
        <w:pStyle w:val="SingleTxtG"/>
        <w:rPr>
          <w:lang w:val="en-GB"/>
        </w:rPr>
      </w:pPr>
      <w:r>
        <w:rPr>
          <w:lang w:val="es-ES_tradnl"/>
        </w:rPr>
        <w:tab/>
      </w:r>
      <w:r w:rsidR="00CC539B" w:rsidRPr="007A0A9D">
        <w:rPr>
          <w:lang w:val="es-ES_tradnl"/>
        </w:rPr>
        <w:t>Los miembros del Comité informarán sobre las actividades que han realizado en relación con la Convención entre los períodos de sesiones 27º y 28º.</w:t>
      </w:r>
    </w:p>
    <w:p w14:paraId="7E50E756" w14:textId="77777777" w:rsidR="00CC539B" w:rsidRPr="007A0A9D" w:rsidRDefault="00CC539B" w:rsidP="000163C9">
      <w:pPr>
        <w:pStyle w:val="H23G"/>
        <w:rPr>
          <w:lang w:val="en-GB"/>
        </w:rPr>
      </w:pPr>
      <w:r w:rsidRPr="007A0A9D">
        <w:rPr>
          <w:lang w:val="en-GB"/>
        </w:rPr>
        <w:tab/>
        <w:t>4.</w:t>
      </w:r>
      <w:r w:rsidRPr="007A0A9D">
        <w:rPr>
          <w:lang w:val="en-GB"/>
        </w:rPr>
        <w:tab/>
      </w:r>
      <w:r w:rsidRPr="007A0A9D">
        <w:rPr>
          <w:lang w:val="es-ES_tradnl"/>
        </w:rPr>
        <w:t>Asuntos relacionados con los métodos de trabajo del Comité</w:t>
      </w:r>
    </w:p>
    <w:p w14:paraId="00C7B785" w14:textId="77777777" w:rsidR="00CC539B" w:rsidRPr="007A0A9D" w:rsidRDefault="00CC539B" w:rsidP="000163C9">
      <w:pPr>
        <w:pStyle w:val="H23G"/>
        <w:rPr>
          <w:lang w:val="en-GB"/>
        </w:rPr>
      </w:pPr>
      <w:r w:rsidRPr="007A0A9D">
        <w:rPr>
          <w:lang w:val="en-GB"/>
        </w:rPr>
        <w:tab/>
      </w:r>
      <w:r w:rsidRPr="007A0A9D">
        <w:rPr>
          <w:lang w:val="es-ES_tradnl"/>
        </w:rPr>
        <w:t>a)</w:t>
      </w:r>
      <w:r w:rsidRPr="007A0A9D">
        <w:rPr>
          <w:lang w:val="en-GB"/>
        </w:rPr>
        <w:tab/>
      </w:r>
      <w:r w:rsidRPr="007A0A9D">
        <w:rPr>
          <w:lang w:val="es-ES_tradnl"/>
        </w:rPr>
        <w:t>Revisión de los métodos de trabajo del Comité</w:t>
      </w:r>
    </w:p>
    <w:p w14:paraId="08D824BD" w14:textId="7A90E4B3" w:rsidR="00CC539B" w:rsidRPr="007A0A9D" w:rsidRDefault="000163C9" w:rsidP="00CC539B">
      <w:pPr>
        <w:pStyle w:val="SingleTxtG"/>
        <w:rPr>
          <w:lang w:val="en-GB"/>
        </w:rPr>
      </w:pPr>
      <w:r>
        <w:rPr>
          <w:lang w:val="es-ES_tradnl"/>
        </w:rPr>
        <w:tab/>
      </w:r>
      <w:r w:rsidR="00CC539B" w:rsidRPr="007A0A9D">
        <w:rPr>
          <w:lang w:val="es-ES_tradnl"/>
        </w:rPr>
        <w:t>El Comité revisará sus métodos de trabajo para adaptarlos al reglamento modificado.</w:t>
      </w:r>
      <w:r w:rsidR="00CC539B" w:rsidRPr="007A0A9D">
        <w:rPr>
          <w:lang w:val="en-GB"/>
        </w:rPr>
        <w:t xml:space="preserve"> </w:t>
      </w:r>
    </w:p>
    <w:p w14:paraId="67061BB5" w14:textId="77777777" w:rsidR="00CC539B" w:rsidRPr="007A0A9D" w:rsidRDefault="00CC539B" w:rsidP="000163C9">
      <w:pPr>
        <w:pStyle w:val="H23G"/>
        <w:rPr>
          <w:lang w:val="en-GB"/>
        </w:rPr>
      </w:pPr>
      <w:r w:rsidRPr="007A0A9D">
        <w:rPr>
          <w:lang w:val="en-GB"/>
        </w:rPr>
        <w:tab/>
      </w:r>
      <w:r w:rsidRPr="007A0A9D">
        <w:rPr>
          <w:lang w:val="es-ES_tradnl"/>
        </w:rPr>
        <w:t>b)</w:t>
      </w:r>
      <w:r w:rsidRPr="007A0A9D">
        <w:rPr>
          <w:lang w:val="en-GB"/>
        </w:rPr>
        <w:tab/>
      </w:r>
      <w:r w:rsidRPr="007A0A9D">
        <w:rPr>
          <w:lang w:val="es-ES_tradnl"/>
        </w:rPr>
        <w:t>Mujeres y desaparición forzada</w:t>
      </w:r>
    </w:p>
    <w:p w14:paraId="7061EB2B" w14:textId="23A28F68" w:rsidR="00CC539B" w:rsidRPr="007A0A9D" w:rsidRDefault="000163C9" w:rsidP="00CC539B">
      <w:pPr>
        <w:pStyle w:val="SingleTxtG"/>
        <w:rPr>
          <w:lang w:val="en-GB"/>
        </w:rPr>
      </w:pPr>
      <w:r>
        <w:rPr>
          <w:lang w:val="es-ES_tradnl"/>
        </w:rPr>
        <w:tab/>
      </w:r>
      <w:r w:rsidR="00CC539B" w:rsidRPr="007A0A9D">
        <w:rPr>
          <w:lang w:val="es-ES_tradnl"/>
        </w:rPr>
        <w:t>El Comité aprobará una nota conceptual y solicitará contribuciones a su proyecto de observación general sobre las mujeres y la desaparición forzada.</w:t>
      </w:r>
      <w:r w:rsidR="00CC539B" w:rsidRPr="007A0A9D">
        <w:rPr>
          <w:lang w:val="en-GB"/>
        </w:rPr>
        <w:t xml:space="preserve"> </w:t>
      </w:r>
    </w:p>
    <w:p w14:paraId="7787D53E" w14:textId="77777777" w:rsidR="00CC539B" w:rsidRPr="007A0A9D" w:rsidRDefault="00CC539B" w:rsidP="000163C9">
      <w:pPr>
        <w:pStyle w:val="H23G"/>
        <w:rPr>
          <w:lang w:val="en-GB"/>
        </w:rPr>
      </w:pPr>
      <w:r w:rsidRPr="007A0A9D">
        <w:rPr>
          <w:lang w:val="en-GB"/>
        </w:rPr>
        <w:tab/>
      </w:r>
      <w:r w:rsidRPr="007A0A9D">
        <w:rPr>
          <w:lang w:val="es-ES_tradnl"/>
        </w:rPr>
        <w:t>c)</w:t>
      </w:r>
      <w:r w:rsidRPr="007A0A9D">
        <w:rPr>
          <w:lang w:val="en-GB"/>
        </w:rPr>
        <w:tab/>
      </w:r>
      <w:r w:rsidRPr="007A0A9D">
        <w:rPr>
          <w:lang w:val="es-ES_tradnl"/>
        </w:rPr>
        <w:t>Orientación para la aplicación de las directrices sobre la independencia y la imparcialidad de los miembros de los órganos creados en virtud de tratados de derechos humanos (directrices de Addis Abeba)</w:t>
      </w:r>
    </w:p>
    <w:p w14:paraId="310C98D8" w14:textId="2E643D4F" w:rsidR="00CC539B" w:rsidRPr="007A0A9D" w:rsidRDefault="000163C9" w:rsidP="00CC539B">
      <w:pPr>
        <w:pStyle w:val="SingleTxtG"/>
        <w:rPr>
          <w:lang w:val="en-GB"/>
        </w:rPr>
      </w:pPr>
      <w:r>
        <w:rPr>
          <w:lang w:val="es-ES_tradnl"/>
        </w:rPr>
        <w:tab/>
      </w:r>
      <w:r w:rsidR="00CC539B" w:rsidRPr="007A0A9D">
        <w:rPr>
          <w:lang w:val="es-ES_tradnl"/>
        </w:rPr>
        <w:t>El Comité examinará un proyecto de documento sobre la aplicación de las directrices de Addis Abeba.</w:t>
      </w:r>
    </w:p>
    <w:p w14:paraId="4B5070E8" w14:textId="77777777" w:rsidR="00CC539B" w:rsidRPr="007A0A9D" w:rsidRDefault="00CC539B" w:rsidP="006A5396">
      <w:pPr>
        <w:pStyle w:val="H23G"/>
        <w:rPr>
          <w:lang w:val="en-GB"/>
        </w:rPr>
      </w:pPr>
      <w:r w:rsidRPr="007A0A9D">
        <w:rPr>
          <w:lang w:val="en-GB"/>
        </w:rPr>
        <w:lastRenderedPageBreak/>
        <w:tab/>
      </w:r>
      <w:r w:rsidRPr="007A0A9D">
        <w:rPr>
          <w:lang w:val="es-ES_tradnl"/>
        </w:rPr>
        <w:t>d)</w:t>
      </w:r>
      <w:r w:rsidRPr="007A0A9D">
        <w:rPr>
          <w:lang w:val="en-GB"/>
        </w:rPr>
        <w:tab/>
      </w:r>
      <w:r w:rsidRPr="007A0A9D">
        <w:rPr>
          <w:lang w:val="es-ES_tradnl"/>
        </w:rPr>
        <w:t>Estrategia de comunicación del Comité</w:t>
      </w:r>
    </w:p>
    <w:p w14:paraId="68085756" w14:textId="5690BFD6" w:rsidR="00CC539B" w:rsidRPr="007A0A9D" w:rsidRDefault="000163C9" w:rsidP="006A5396">
      <w:pPr>
        <w:pStyle w:val="SingleTxtG"/>
        <w:keepNext/>
        <w:keepLines/>
        <w:rPr>
          <w:lang w:val="en-GB"/>
        </w:rPr>
      </w:pPr>
      <w:r>
        <w:rPr>
          <w:lang w:val="es-ES_tradnl"/>
        </w:rPr>
        <w:tab/>
      </w:r>
      <w:r w:rsidR="00CC539B" w:rsidRPr="007A0A9D">
        <w:rPr>
          <w:lang w:val="es-ES_tradnl"/>
        </w:rPr>
        <w:t>El Comité proseguirá sus intercambios con la Sección de Comunicación y Movilización Pública de la Oficina del Alto Comisionado de las Naciones Unidas para los Derechos Humanos a fin de explorar medidas concretas para concienciar acerca de la desaparición forzada y dar a conocer mejor su labor.</w:t>
      </w:r>
    </w:p>
    <w:p w14:paraId="230B5D07" w14:textId="77777777" w:rsidR="00CC539B" w:rsidRPr="007A0A9D" w:rsidRDefault="00CC539B" w:rsidP="000163C9">
      <w:pPr>
        <w:pStyle w:val="H23G"/>
        <w:rPr>
          <w:lang w:val="en-GB"/>
        </w:rPr>
      </w:pPr>
      <w:r w:rsidRPr="007A0A9D">
        <w:rPr>
          <w:lang w:val="en-GB"/>
        </w:rPr>
        <w:tab/>
      </w:r>
      <w:r w:rsidRPr="007A0A9D">
        <w:rPr>
          <w:lang w:val="es-ES_tradnl"/>
        </w:rPr>
        <w:t>e)</w:t>
      </w:r>
      <w:r w:rsidRPr="007A0A9D">
        <w:rPr>
          <w:lang w:val="en-GB"/>
        </w:rPr>
        <w:tab/>
      </w:r>
      <w:r w:rsidRPr="007A0A9D">
        <w:rPr>
          <w:lang w:val="es-ES_tradnl"/>
        </w:rPr>
        <w:t>Seguimiento del Congreso Mundial sobre las Desapariciones Forzadas</w:t>
      </w:r>
      <w:r w:rsidRPr="007A0A9D">
        <w:rPr>
          <w:lang w:val="en-GB"/>
        </w:rPr>
        <w:t xml:space="preserve"> </w:t>
      </w:r>
    </w:p>
    <w:p w14:paraId="05FCA6C5" w14:textId="0A1C612B" w:rsidR="00CC539B" w:rsidRPr="007A0A9D" w:rsidRDefault="000163C9" w:rsidP="00CC539B">
      <w:pPr>
        <w:pStyle w:val="SingleTxtG"/>
        <w:rPr>
          <w:lang w:val="en-GB"/>
        </w:rPr>
      </w:pPr>
      <w:r>
        <w:rPr>
          <w:lang w:val="es-ES_tradnl"/>
        </w:rPr>
        <w:tab/>
      </w:r>
      <w:r w:rsidR="00CC539B" w:rsidRPr="007A0A9D">
        <w:rPr>
          <w:lang w:val="es-ES_tradnl"/>
        </w:rPr>
        <w:t>El Comité examinará los resultados del Congreso Mundial sobre las Desapariciones Forzadas celebrado los días 15 y 16 de enero de 2025 y determinará posibles medidas de seguimiento.</w:t>
      </w:r>
    </w:p>
    <w:p w14:paraId="48968325" w14:textId="77777777" w:rsidR="00CC539B" w:rsidRPr="007A0A9D" w:rsidRDefault="00CC539B" w:rsidP="000163C9">
      <w:pPr>
        <w:pStyle w:val="H23G"/>
        <w:rPr>
          <w:lang w:val="en-GB"/>
        </w:rPr>
      </w:pPr>
      <w:r w:rsidRPr="007A0A9D">
        <w:rPr>
          <w:lang w:val="en-GB"/>
        </w:rPr>
        <w:tab/>
      </w:r>
      <w:r w:rsidRPr="007A0A9D">
        <w:rPr>
          <w:lang w:val="es-ES_tradnl"/>
        </w:rPr>
        <w:t>f)</w:t>
      </w:r>
      <w:r w:rsidRPr="007A0A9D">
        <w:rPr>
          <w:lang w:val="en-GB"/>
        </w:rPr>
        <w:tab/>
      </w:r>
      <w:r w:rsidRPr="007A0A9D">
        <w:rPr>
          <w:lang w:val="es-ES_tradnl"/>
        </w:rPr>
        <w:t>Otros asuntos</w:t>
      </w:r>
    </w:p>
    <w:p w14:paraId="51320964" w14:textId="4601ECB9" w:rsidR="00CC539B" w:rsidRPr="007A0A9D" w:rsidRDefault="000163C9" w:rsidP="00CC539B">
      <w:pPr>
        <w:pStyle w:val="SingleTxtG"/>
        <w:rPr>
          <w:lang w:val="en-GB"/>
        </w:rPr>
      </w:pPr>
      <w:r>
        <w:rPr>
          <w:lang w:val="es-ES_tradnl"/>
        </w:rPr>
        <w:tab/>
      </w:r>
      <w:r w:rsidR="00CC539B" w:rsidRPr="007A0A9D">
        <w:rPr>
          <w:lang w:val="es-ES_tradnl"/>
        </w:rPr>
        <w:t>El Comité examinará cualquier otro asunto que guarde relación con sus métodos de trabajo.</w:t>
      </w:r>
    </w:p>
    <w:p w14:paraId="079F3133" w14:textId="21C5E15C" w:rsidR="00CC539B" w:rsidRPr="007A0A9D" w:rsidRDefault="00CC539B" w:rsidP="000163C9">
      <w:pPr>
        <w:pStyle w:val="H23G"/>
        <w:rPr>
          <w:lang w:val="en-GB"/>
        </w:rPr>
      </w:pPr>
      <w:r w:rsidRPr="007A0A9D">
        <w:rPr>
          <w:lang w:val="en-GB"/>
        </w:rPr>
        <w:tab/>
        <w:t>5.</w:t>
      </w:r>
      <w:r w:rsidRPr="007A0A9D">
        <w:rPr>
          <w:lang w:val="en-GB"/>
        </w:rPr>
        <w:tab/>
      </w:r>
      <w:bookmarkStart w:id="0" w:name="_Hlk119486632"/>
      <w:r w:rsidRPr="007A0A9D">
        <w:rPr>
          <w:lang w:val="es-ES_tradnl"/>
        </w:rPr>
        <w:t>Examen de las listas de cuestiones en virtud del artículo 29, párrafo 1,</w:t>
      </w:r>
      <w:r w:rsidR="000163C9">
        <w:rPr>
          <w:lang w:val="es-ES_tradnl"/>
        </w:rPr>
        <w:br/>
      </w:r>
      <w:r w:rsidRPr="007A0A9D">
        <w:rPr>
          <w:lang w:val="es-ES_tradnl"/>
        </w:rPr>
        <w:t>de la Convención</w:t>
      </w:r>
      <w:r w:rsidRPr="007A0A9D">
        <w:rPr>
          <w:lang w:val="en-GB"/>
        </w:rPr>
        <w:t xml:space="preserve"> </w:t>
      </w:r>
    </w:p>
    <w:p w14:paraId="012F2C46" w14:textId="76A293D8" w:rsidR="00CC539B" w:rsidRPr="007A0A9D" w:rsidRDefault="000163C9" w:rsidP="00CC539B">
      <w:pPr>
        <w:pStyle w:val="SingleTxtG"/>
        <w:rPr>
          <w:lang w:val="en-GB"/>
        </w:rPr>
      </w:pPr>
      <w:r>
        <w:rPr>
          <w:lang w:val="es-ES_tradnl"/>
        </w:rPr>
        <w:tab/>
      </w:r>
      <w:r w:rsidR="00CC539B" w:rsidRPr="007A0A9D">
        <w:rPr>
          <w:lang w:val="es-ES_tradnl"/>
        </w:rPr>
        <w:t>El Comité examinará y aprobará listas de cuestiones sobre los informes presentados por Croacia (</w:t>
      </w:r>
      <w:hyperlink r:id="rId8" w:history="1">
        <w:r w:rsidR="00CC539B" w:rsidRPr="00DD598A">
          <w:rPr>
            <w:rStyle w:val="Hipervnculo"/>
            <w:lang w:val="es-ES_tradnl"/>
          </w:rPr>
          <w:t>CED/C/HRV/1</w:t>
        </w:r>
      </w:hyperlink>
      <w:r w:rsidR="00CC539B" w:rsidRPr="007A0A9D">
        <w:rPr>
          <w:lang w:val="es-ES_tradnl"/>
        </w:rPr>
        <w:t>), Luxemburgo (</w:t>
      </w:r>
      <w:hyperlink r:id="rId9" w:history="1">
        <w:r w:rsidR="00CC539B" w:rsidRPr="00DD598A">
          <w:rPr>
            <w:rStyle w:val="Hipervnculo"/>
            <w:lang w:val="es-ES_tradnl"/>
          </w:rPr>
          <w:t>CED/C/LUX/1</w:t>
        </w:r>
      </w:hyperlink>
      <w:r w:rsidR="00CC539B" w:rsidRPr="007A0A9D">
        <w:rPr>
          <w:lang w:val="es-ES_tradnl"/>
        </w:rPr>
        <w:t>) y el Togo (</w:t>
      </w:r>
      <w:hyperlink r:id="rId10" w:history="1">
        <w:r w:rsidR="00CC539B" w:rsidRPr="00DD598A">
          <w:rPr>
            <w:rStyle w:val="Hipervnculo"/>
            <w:lang w:val="es-ES_tradnl"/>
          </w:rPr>
          <w:t>CED/C/TGO/1</w:t>
        </w:r>
      </w:hyperlink>
      <w:r w:rsidR="00CC539B" w:rsidRPr="007A0A9D">
        <w:rPr>
          <w:lang w:val="es-ES_tradnl"/>
        </w:rPr>
        <w:t>).</w:t>
      </w:r>
    </w:p>
    <w:p w14:paraId="09C23C7F" w14:textId="4FD2F6ED" w:rsidR="00CC539B" w:rsidRPr="007A0A9D" w:rsidRDefault="00CC539B" w:rsidP="000163C9">
      <w:pPr>
        <w:pStyle w:val="H23G"/>
        <w:rPr>
          <w:lang w:val="en-GB"/>
        </w:rPr>
      </w:pPr>
      <w:r w:rsidRPr="007A0A9D">
        <w:rPr>
          <w:lang w:val="en-GB"/>
        </w:rPr>
        <w:tab/>
        <w:t xml:space="preserve">6. </w:t>
      </w:r>
      <w:r w:rsidRPr="007A0A9D">
        <w:rPr>
          <w:lang w:val="en-GB"/>
        </w:rPr>
        <w:tab/>
      </w:r>
      <w:r w:rsidRPr="007A0A9D">
        <w:rPr>
          <w:lang w:val="es-ES_tradnl"/>
        </w:rPr>
        <w:t>Listas de temas prioritarios con arreglo al artículo 29, párrafos 3 y 4,</w:t>
      </w:r>
      <w:r w:rsidR="000163C9">
        <w:rPr>
          <w:lang w:val="es-ES_tradnl"/>
        </w:rPr>
        <w:br/>
      </w:r>
      <w:r w:rsidRPr="007A0A9D">
        <w:rPr>
          <w:lang w:val="es-ES_tradnl"/>
        </w:rPr>
        <w:t>de la Convención</w:t>
      </w:r>
    </w:p>
    <w:p w14:paraId="7B97770D" w14:textId="1A4DDE4C" w:rsidR="00CC539B" w:rsidRPr="007A0A9D" w:rsidRDefault="000163C9" w:rsidP="00CC539B">
      <w:pPr>
        <w:pStyle w:val="SingleTxtG"/>
        <w:rPr>
          <w:lang w:val="en-GB"/>
        </w:rPr>
      </w:pPr>
      <w:r>
        <w:rPr>
          <w:lang w:val="es-ES_tradnl"/>
        </w:rPr>
        <w:tab/>
      </w:r>
      <w:r w:rsidR="00CC539B" w:rsidRPr="007A0A9D">
        <w:rPr>
          <w:lang w:val="es-ES_tradnl"/>
        </w:rPr>
        <w:t>El Comité estudiará la elaboración de listas de temas prioritarios en relación con los próximos exámenes de la información complementaria presentada por Armenia (</w:t>
      </w:r>
      <w:hyperlink r:id="rId11" w:history="1">
        <w:r w:rsidR="00CC539B" w:rsidRPr="00DD598A">
          <w:rPr>
            <w:rStyle w:val="Hipervnculo"/>
            <w:lang w:val="es-ES_tradnl"/>
          </w:rPr>
          <w:t>CED/C/ARM/AI/1</w:t>
        </w:r>
      </w:hyperlink>
      <w:r w:rsidR="00CC539B" w:rsidRPr="007A0A9D">
        <w:rPr>
          <w:lang w:val="es-ES_tradnl"/>
        </w:rPr>
        <w:t>), el Gabón (</w:t>
      </w:r>
      <w:hyperlink r:id="rId12" w:history="1">
        <w:r w:rsidR="00CC539B" w:rsidRPr="00DD598A">
          <w:rPr>
            <w:rStyle w:val="Hipervnculo"/>
            <w:lang w:val="es-ES_tradnl"/>
          </w:rPr>
          <w:t>CED/C/GAB/AI/1</w:t>
        </w:r>
      </w:hyperlink>
      <w:r w:rsidR="00CC539B" w:rsidRPr="007A0A9D">
        <w:rPr>
          <w:lang w:val="es-ES_tradnl"/>
        </w:rPr>
        <w:t>) y Montenegro (</w:t>
      </w:r>
      <w:hyperlink r:id="rId13" w:history="1">
        <w:r w:rsidR="00CC539B" w:rsidRPr="00DD598A">
          <w:rPr>
            <w:rStyle w:val="Hipervnculo"/>
            <w:lang w:val="es-ES_tradnl"/>
          </w:rPr>
          <w:t>CED/C/MNE/AI/1</w:t>
        </w:r>
      </w:hyperlink>
      <w:r w:rsidR="00CC539B" w:rsidRPr="007A0A9D">
        <w:rPr>
          <w:lang w:val="es-ES_tradnl"/>
        </w:rPr>
        <w:t>) con arreglo al artículo 29, párrafos 3 y 4, de la Convención.</w:t>
      </w:r>
    </w:p>
    <w:p w14:paraId="7CBF2BC9" w14:textId="06465354" w:rsidR="00CC539B" w:rsidRPr="007A0A9D" w:rsidRDefault="00CC539B" w:rsidP="000163C9">
      <w:pPr>
        <w:pStyle w:val="H23G"/>
        <w:rPr>
          <w:lang w:val="en-GB"/>
        </w:rPr>
      </w:pPr>
      <w:r w:rsidRPr="007A0A9D">
        <w:rPr>
          <w:lang w:val="en-GB"/>
        </w:rPr>
        <w:tab/>
        <w:t xml:space="preserve">7. </w:t>
      </w:r>
      <w:r w:rsidRPr="007A0A9D">
        <w:rPr>
          <w:lang w:val="en-GB"/>
        </w:rPr>
        <w:tab/>
      </w:r>
      <w:bookmarkEnd w:id="0"/>
      <w:r w:rsidRPr="007A0A9D">
        <w:rPr>
          <w:lang w:val="es-ES_tradnl"/>
        </w:rPr>
        <w:t>Examen de los informes presentados por los Estados partes en virtud del</w:t>
      </w:r>
      <w:r w:rsidR="000163C9">
        <w:rPr>
          <w:lang w:val="es-ES_tradnl"/>
        </w:rPr>
        <w:br/>
      </w:r>
      <w:r w:rsidRPr="007A0A9D">
        <w:rPr>
          <w:lang w:val="es-ES_tradnl"/>
        </w:rPr>
        <w:t>artículo 29, párrafo 1, y de la información complementaria presentada</w:t>
      </w:r>
      <w:r w:rsidR="000163C9">
        <w:rPr>
          <w:lang w:val="es-ES_tradnl"/>
        </w:rPr>
        <w:br/>
      </w:r>
      <w:r w:rsidRPr="007A0A9D">
        <w:rPr>
          <w:lang w:val="es-ES_tradnl"/>
        </w:rPr>
        <w:t>con arreglo al artículo 29, párrafo 4, de la Convención</w:t>
      </w:r>
    </w:p>
    <w:p w14:paraId="4CFFC291" w14:textId="7C619B96" w:rsidR="00CC539B" w:rsidRPr="007A0A9D" w:rsidRDefault="000163C9" w:rsidP="00CC539B">
      <w:pPr>
        <w:pStyle w:val="SingleTxtG"/>
        <w:rPr>
          <w:lang w:val="en-GB"/>
        </w:rPr>
      </w:pPr>
      <w:bookmarkStart w:id="1" w:name="_Hlk119486778"/>
      <w:r>
        <w:rPr>
          <w:lang w:val="es-ES_tradnl"/>
        </w:rPr>
        <w:tab/>
      </w:r>
      <w:r w:rsidR="00CC539B" w:rsidRPr="007A0A9D">
        <w:rPr>
          <w:lang w:val="es-ES_tradnl"/>
        </w:rPr>
        <w:t>El Comité examinará los informes presentados por la República Centroafricana (</w:t>
      </w:r>
      <w:hyperlink r:id="rId14" w:history="1">
        <w:r w:rsidR="00CC539B" w:rsidRPr="00DD598A">
          <w:rPr>
            <w:rStyle w:val="Hipervnculo"/>
            <w:lang w:val="es-ES_tradnl"/>
          </w:rPr>
          <w:t>CED/C/CAF/1</w:t>
        </w:r>
      </w:hyperlink>
      <w:r w:rsidR="00CC539B" w:rsidRPr="007A0A9D">
        <w:rPr>
          <w:lang w:val="es-ES_tradnl"/>
        </w:rPr>
        <w:t>), Gambia (</w:t>
      </w:r>
      <w:hyperlink r:id="rId15" w:history="1">
        <w:r w:rsidR="00CC539B" w:rsidRPr="00DD598A">
          <w:rPr>
            <w:rStyle w:val="Hipervnculo"/>
            <w:lang w:val="es-ES_tradnl"/>
          </w:rPr>
          <w:t>CED/C/GMB/1</w:t>
        </w:r>
      </w:hyperlink>
      <w:r w:rsidR="00CC539B" w:rsidRPr="007A0A9D">
        <w:rPr>
          <w:lang w:val="es-ES_tradnl"/>
        </w:rPr>
        <w:t>) y Malta (</w:t>
      </w:r>
      <w:hyperlink r:id="rId16" w:history="1">
        <w:r w:rsidR="00CC539B" w:rsidRPr="00DD598A">
          <w:rPr>
            <w:rStyle w:val="Hipervnculo"/>
            <w:lang w:val="es-ES_tradnl"/>
          </w:rPr>
          <w:t>CED/C/MLT/1</w:t>
        </w:r>
      </w:hyperlink>
      <w:r w:rsidR="00CC539B" w:rsidRPr="007A0A9D">
        <w:rPr>
          <w:lang w:val="es-ES_tradnl"/>
        </w:rPr>
        <w:t>) con arreglo al artículo</w:t>
      </w:r>
      <w:r w:rsidR="00DD598A">
        <w:rPr>
          <w:lang w:val="es-ES_tradnl"/>
        </w:rPr>
        <w:t> </w:t>
      </w:r>
      <w:r w:rsidR="00CC539B" w:rsidRPr="007A0A9D">
        <w:rPr>
          <w:lang w:val="es-ES_tradnl"/>
        </w:rPr>
        <w:t>29, párrafo 1, de la Convención, y los informes presentados por Bélgica (</w:t>
      </w:r>
      <w:hyperlink r:id="rId17" w:history="1">
        <w:r w:rsidR="00CC539B" w:rsidRPr="00DD598A">
          <w:rPr>
            <w:rStyle w:val="Hipervnculo"/>
            <w:lang w:val="es-ES_tradnl"/>
          </w:rPr>
          <w:t>CED/C/BEL/AI/1</w:t>
        </w:r>
      </w:hyperlink>
      <w:r w:rsidR="00CC539B" w:rsidRPr="007A0A9D">
        <w:rPr>
          <w:lang w:val="es-ES_tradnl"/>
        </w:rPr>
        <w:t>) y Serbia (</w:t>
      </w:r>
      <w:hyperlink r:id="rId18" w:history="1">
        <w:r w:rsidR="00CC539B" w:rsidRPr="00DD598A">
          <w:rPr>
            <w:rStyle w:val="Hipervnculo"/>
            <w:lang w:val="es-ES_tradnl"/>
          </w:rPr>
          <w:t>CED/C/SRB/AI/1</w:t>
        </w:r>
      </w:hyperlink>
      <w:r w:rsidR="00CC539B" w:rsidRPr="007A0A9D">
        <w:rPr>
          <w:lang w:val="es-ES_tradnl"/>
        </w:rPr>
        <w:t>) con arreglo al artículo 29, párrafo 4, de la Convención.</w:t>
      </w:r>
      <w:r w:rsidR="00CC539B" w:rsidRPr="007A0A9D">
        <w:rPr>
          <w:lang w:val="en-GB"/>
        </w:rPr>
        <w:t xml:space="preserve"> </w:t>
      </w:r>
      <w:bookmarkEnd w:id="1"/>
      <w:r w:rsidR="00CC539B" w:rsidRPr="007A0A9D">
        <w:rPr>
          <w:lang w:val="es-ES_tradnl"/>
        </w:rPr>
        <w:t>Examinará las respuestas de la Argentina (</w:t>
      </w:r>
      <w:hyperlink r:id="rId19" w:history="1">
        <w:r w:rsidR="00CC539B" w:rsidRPr="00DD598A">
          <w:rPr>
            <w:rStyle w:val="Hipervnculo"/>
            <w:lang w:val="es-ES_tradnl"/>
          </w:rPr>
          <w:t>CED/C/ARG/RQSA/AI/1</w:t>
        </w:r>
      </w:hyperlink>
      <w:r w:rsidR="00CC539B" w:rsidRPr="007A0A9D">
        <w:rPr>
          <w:lang w:val="es-ES_tradnl"/>
        </w:rPr>
        <w:t>) y el Perú a sus solicitudes especiales de información complementaria con arreglo al artículo 29, párrafo</w:t>
      </w:r>
      <w:r w:rsidR="00DD598A">
        <w:rPr>
          <w:lang w:val="es-ES_tradnl"/>
        </w:rPr>
        <w:t> </w:t>
      </w:r>
      <w:r w:rsidR="00CC539B" w:rsidRPr="007A0A9D">
        <w:rPr>
          <w:lang w:val="es-ES_tradnl"/>
        </w:rPr>
        <w:t>4, de la Convención (</w:t>
      </w:r>
      <w:hyperlink r:id="rId20" w:history="1">
        <w:r w:rsidR="00CC539B" w:rsidRPr="00DD598A">
          <w:rPr>
            <w:rStyle w:val="Hipervnculo"/>
            <w:lang w:val="es-ES_tradnl"/>
          </w:rPr>
          <w:t>CED/C/ARG/QSA/AI/1</w:t>
        </w:r>
      </w:hyperlink>
      <w:r w:rsidR="00CC539B" w:rsidRPr="007A0A9D">
        <w:rPr>
          <w:lang w:val="es-ES_tradnl"/>
        </w:rPr>
        <w:t xml:space="preserve"> y </w:t>
      </w:r>
      <w:hyperlink r:id="rId21" w:history="1">
        <w:r w:rsidR="00CC539B" w:rsidRPr="00DD598A">
          <w:rPr>
            <w:rStyle w:val="Hipervnculo"/>
            <w:lang w:val="es-ES_tradnl"/>
          </w:rPr>
          <w:t>CED/C/PER/QSA/AI/1</w:t>
        </w:r>
      </w:hyperlink>
      <w:r w:rsidR="00CC539B" w:rsidRPr="007A0A9D">
        <w:rPr>
          <w:lang w:val="es-ES_tradnl"/>
        </w:rPr>
        <w:t>).</w:t>
      </w:r>
    </w:p>
    <w:p w14:paraId="0AD81AF5" w14:textId="0726B7A1" w:rsidR="00CC539B" w:rsidRPr="007A0A9D" w:rsidRDefault="00CC539B" w:rsidP="000163C9">
      <w:pPr>
        <w:pStyle w:val="H23G"/>
        <w:rPr>
          <w:lang w:val="en-GB"/>
        </w:rPr>
      </w:pPr>
      <w:r w:rsidRPr="007A0A9D">
        <w:rPr>
          <w:lang w:val="en-GB"/>
        </w:rPr>
        <w:tab/>
        <w:t xml:space="preserve">8. </w:t>
      </w:r>
      <w:r w:rsidRPr="007A0A9D">
        <w:rPr>
          <w:lang w:val="en-GB"/>
        </w:rPr>
        <w:tab/>
      </w:r>
      <w:r w:rsidRPr="007A0A9D">
        <w:rPr>
          <w:lang w:val="es-ES_tradnl"/>
        </w:rPr>
        <w:t>Seguimiento de las observaciones finales sobre los informes de</w:t>
      </w:r>
      <w:r w:rsidR="000163C9">
        <w:rPr>
          <w:lang w:val="es-ES_tradnl"/>
        </w:rPr>
        <w:br/>
      </w:r>
      <w:r w:rsidRPr="007A0A9D">
        <w:rPr>
          <w:lang w:val="es-ES_tradnl"/>
        </w:rPr>
        <w:t>los Estados partes</w:t>
      </w:r>
    </w:p>
    <w:p w14:paraId="1F8EDA29" w14:textId="17B60E84" w:rsidR="00CC539B" w:rsidRPr="007A0A9D" w:rsidRDefault="000163C9" w:rsidP="00CC539B">
      <w:pPr>
        <w:pStyle w:val="SingleTxtG"/>
        <w:rPr>
          <w:lang w:val="en-GB"/>
        </w:rPr>
      </w:pPr>
      <w:r>
        <w:rPr>
          <w:lang w:val="es-ES_tradnl"/>
        </w:rPr>
        <w:tab/>
      </w:r>
      <w:r w:rsidR="00CC539B" w:rsidRPr="007A0A9D">
        <w:rPr>
          <w:lang w:val="es-ES_tradnl"/>
        </w:rPr>
        <w:t>De conformidad con el artículo 49 del reglamento, el Comité examinará la información recibida de Panamá sobre el seguimiento de las observaciones finales relativas a su informe presentado en virtud del artículo 29</w:t>
      </w:r>
      <w:r w:rsidR="0042523A">
        <w:rPr>
          <w:lang w:val="es-ES_tradnl"/>
        </w:rPr>
        <w:t>, párrafo 1</w:t>
      </w:r>
      <w:r w:rsidR="004606FF">
        <w:rPr>
          <w:lang w:val="es-ES_tradnl"/>
        </w:rPr>
        <w:t>,</w:t>
      </w:r>
      <w:r w:rsidR="00CC539B" w:rsidRPr="007A0A9D">
        <w:rPr>
          <w:lang w:val="es-ES_tradnl"/>
        </w:rPr>
        <w:t xml:space="preserve"> de la Convención (</w:t>
      </w:r>
      <w:hyperlink r:id="rId22" w:history="1">
        <w:r w:rsidR="00CC539B" w:rsidRPr="00DD598A">
          <w:rPr>
            <w:rStyle w:val="Hipervnculo"/>
            <w:lang w:val="es-ES_tradnl"/>
          </w:rPr>
          <w:t>CED/C/PAN/FCO/1</w:t>
        </w:r>
      </w:hyperlink>
      <w:r w:rsidR="00CC539B" w:rsidRPr="007A0A9D">
        <w:rPr>
          <w:lang w:val="es-ES_tradnl"/>
        </w:rPr>
        <w:t>).</w:t>
      </w:r>
    </w:p>
    <w:p w14:paraId="4654105D" w14:textId="42AC7CD9" w:rsidR="00CC539B" w:rsidRPr="007A0A9D" w:rsidRDefault="00CC539B" w:rsidP="000163C9">
      <w:pPr>
        <w:pStyle w:val="H23G"/>
        <w:rPr>
          <w:lang w:val="en-GB"/>
        </w:rPr>
      </w:pPr>
      <w:r w:rsidRPr="007A0A9D">
        <w:rPr>
          <w:lang w:val="en-GB"/>
        </w:rPr>
        <w:tab/>
        <w:t>9.</w:t>
      </w:r>
      <w:r w:rsidRPr="007A0A9D">
        <w:rPr>
          <w:lang w:val="en-GB"/>
        </w:rPr>
        <w:tab/>
      </w:r>
      <w:r w:rsidRPr="007A0A9D">
        <w:rPr>
          <w:lang w:val="es-ES_tradnl"/>
        </w:rPr>
        <w:t>Examen del informe sobre las peticiones de acción urgente de conformidad</w:t>
      </w:r>
      <w:r w:rsidR="000163C9">
        <w:rPr>
          <w:lang w:val="es-ES_tradnl"/>
        </w:rPr>
        <w:br/>
      </w:r>
      <w:r w:rsidRPr="007A0A9D">
        <w:rPr>
          <w:lang w:val="es-ES_tradnl"/>
        </w:rPr>
        <w:t>con el artículo 30 de la Convención y de la información actualizada sobre</w:t>
      </w:r>
      <w:r w:rsidR="000163C9">
        <w:rPr>
          <w:lang w:val="es-ES_tradnl"/>
        </w:rPr>
        <w:br/>
      </w:r>
      <w:r w:rsidRPr="007A0A9D">
        <w:rPr>
          <w:lang w:val="es-ES_tradnl"/>
        </w:rPr>
        <w:t>la gestión del procedimiento</w:t>
      </w:r>
    </w:p>
    <w:p w14:paraId="2204A5D7" w14:textId="6E3E6DBE" w:rsidR="00CC539B" w:rsidRPr="007A0A9D" w:rsidRDefault="000163C9" w:rsidP="00CC539B">
      <w:pPr>
        <w:pStyle w:val="SingleTxtG"/>
        <w:rPr>
          <w:lang w:val="en-GB"/>
        </w:rPr>
      </w:pPr>
      <w:r>
        <w:rPr>
          <w:lang w:val="es-ES_tradnl"/>
        </w:rPr>
        <w:tab/>
      </w:r>
      <w:r w:rsidR="00CC539B" w:rsidRPr="007A0A9D">
        <w:rPr>
          <w:lang w:val="es-ES_tradnl"/>
        </w:rPr>
        <w:t>El Comité examinará el informe sobre las peticiones de acción urgente recibidas y las medidas de seguimiento adoptadas desde el 27º período de sesiones, así como la información actualizada sobre la gestión del procedimiento.</w:t>
      </w:r>
    </w:p>
    <w:p w14:paraId="275AEBB8" w14:textId="15323F84" w:rsidR="00CC539B" w:rsidRPr="007A0A9D" w:rsidRDefault="00CC539B" w:rsidP="000163C9">
      <w:pPr>
        <w:pStyle w:val="H23G"/>
        <w:rPr>
          <w:lang w:val="en-GB"/>
        </w:rPr>
      </w:pPr>
      <w:r w:rsidRPr="007A0A9D">
        <w:rPr>
          <w:lang w:val="en-GB"/>
        </w:rPr>
        <w:lastRenderedPageBreak/>
        <w:tab/>
        <w:t>10.</w:t>
      </w:r>
      <w:r w:rsidRPr="007A0A9D">
        <w:rPr>
          <w:lang w:val="en-GB"/>
        </w:rPr>
        <w:tab/>
      </w:r>
      <w:r w:rsidRPr="007A0A9D">
        <w:rPr>
          <w:lang w:val="es-ES_tradnl"/>
        </w:rPr>
        <w:t>Examen de comunicaciones individuales de conformidad con el artículo 31</w:t>
      </w:r>
      <w:r w:rsidR="000163C9">
        <w:rPr>
          <w:lang w:val="es-ES_tradnl"/>
        </w:rPr>
        <w:br/>
      </w:r>
      <w:r w:rsidRPr="007A0A9D">
        <w:rPr>
          <w:lang w:val="es-ES_tradnl"/>
        </w:rPr>
        <w:t>de la Convención</w:t>
      </w:r>
    </w:p>
    <w:p w14:paraId="6611B7AD" w14:textId="43BB6938" w:rsidR="00CC539B" w:rsidRPr="007A0A9D" w:rsidRDefault="000163C9" w:rsidP="00CC539B">
      <w:pPr>
        <w:pStyle w:val="SingleTxtG"/>
        <w:rPr>
          <w:lang w:val="en-GB"/>
        </w:rPr>
      </w:pPr>
      <w:bookmarkStart w:id="2" w:name="_Hlk187675435"/>
      <w:r>
        <w:rPr>
          <w:lang w:val="es-ES_tradnl"/>
        </w:rPr>
        <w:tab/>
      </w:r>
      <w:r w:rsidR="00CC539B" w:rsidRPr="007A0A9D">
        <w:rPr>
          <w:lang w:val="es-ES_tradnl"/>
        </w:rPr>
        <w:t>El Comité celebrará una audiencia de conformidad con el artículo 78 del reglamento del Comité y examinará una comunicación individual de conformidad con el artículo 31 de la Convención.</w:t>
      </w:r>
    </w:p>
    <w:bookmarkEnd w:id="2"/>
    <w:p w14:paraId="50C04CC6" w14:textId="77777777" w:rsidR="00CC539B" w:rsidRPr="007A0A9D" w:rsidRDefault="00CC539B" w:rsidP="000163C9">
      <w:pPr>
        <w:pStyle w:val="H23G"/>
        <w:rPr>
          <w:lang w:val="en-GB"/>
        </w:rPr>
      </w:pPr>
      <w:r w:rsidRPr="007A0A9D">
        <w:rPr>
          <w:lang w:val="en-GB"/>
        </w:rPr>
        <w:tab/>
        <w:t>11.</w:t>
      </w:r>
      <w:r w:rsidRPr="007A0A9D">
        <w:rPr>
          <w:lang w:val="en-GB"/>
        </w:rPr>
        <w:tab/>
      </w:r>
      <w:r w:rsidRPr="007A0A9D">
        <w:rPr>
          <w:lang w:val="es-ES_tradnl"/>
        </w:rPr>
        <w:t>Seguimiento de los dictámenes del Comité</w:t>
      </w:r>
    </w:p>
    <w:p w14:paraId="7C4E3B77" w14:textId="07C06103" w:rsidR="00CC539B" w:rsidRPr="007A0A9D" w:rsidRDefault="000163C9" w:rsidP="00CC539B">
      <w:pPr>
        <w:pStyle w:val="SingleTxtG"/>
        <w:rPr>
          <w:lang w:val="en-GB"/>
        </w:rPr>
      </w:pPr>
      <w:r>
        <w:rPr>
          <w:lang w:val="es-ES_tradnl"/>
        </w:rPr>
        <w:tab/>
      </w:r>
      <w:r w:rsidR="00CC539B" w:rsidRPr="007A0A9D">
        <w:rPr>
          <w:lang w:val="es-ES_tradnl"/>
        </w:rPr>
        <w:t>El Comité examinará el informe de la relatoría encargada del seguimiento de los dictámenes emitidos de conformidad con el artículo 31 de la Convención y el artículo 81 de su reglamento.</w:t>
      </w:r>
    </w:p>
    <w:p w14:paraId="604C47E1" w14:textId="623320F2" w:rsidR="00CC539B" w:rsidRPr="007A0A9D" w:rsidRDefault="00CC539B" w:rsidP="000163C9">
      <w:pPr>
        <w:pStyle w:val="H23G"/>
        <w:rPr>
          <w:lang w:val="en-GB"/>
        </w:rPr>
      </w:pPr>
      <w:r w:rsidRPr="007A0A9D">
        <w:rPr>
          <w:lang w:val="en-GB"/>
        </w:rPr>
        <w:tab/>
        <w:t>12.</w:t>
      </w:r>
      <w:r w:rsidRPr="007A0A9D">
        <w:rPr>
          <w:lang w:val="en-GB"/>
        </w:rPr>
        <w:tab/>
      </w:r>
      <w:r w:rsidRPr="007A0A9D">
        <w:rPr>
          <w:lang w:val="es-ES_tradnl"/>
        </w:rPr>
        <w:t>Visitas efectuadas por el Comité de conformidad con el artículo 33</w:t>
      </w:r>
      <w:r w:rsidR="000163C9">
        <w:rPr>
          <w:lang w:val="es-ES_tradnl"/>
        </w:rPr>
        <w:br/>
      </w:r>
      <w:r w:rsidRPr="007A0A9D">
        <w:rPr>
          <w:lang w:val="es-ES_tradnl"/>
        </w:rPr>
        <w:t>de la Convención</w:t>
      </w:r>
    </w:p>
    <w:p w14:paraId="696E621F" w14:textId="75391518" w:rsidR="00CC539B" w:rsidRPr="007A0A9D" w:rsidRDefault="000163C9" w:rsidP="00CC539B">
      <w:pPr>
        <w:pStyle w:val="SingleTxtG"/>
        <w:rPr>
          <w:lang w:val="en-GB"/>
        </w:rPr>
      </w:pPr>
      <w:r>
        <w:rPr>
          <w:lang w:val="es-ES_tradnl"/>
        </w:rPr>
        <w:tab/>
      </w:r>
      <w:r w:rsidR="00CC539B" w:rsidRPr="007A0A9D">
        <w:rPr>
          <w:lang w:val="es-ES_tradnl"/>
        </w:rPr>
        <w:t>El Comité abordará cualquier cuestión relacionada con las visitas que haya solicitado o tenga previsto solicitar, de conformidad con el artículo 33 de la Convención.</w:t>
      </w:r>
      <w:r w:rsidR="00CC539B" w:rsidRPr="007A0A9D">
        <w:rPr>
          <w:lang w:val="en-GB"/>
        </w:rPr>
        <w:t xml:space="preserve"> </w:t>
      </w:r>
      <w:r w:rsidR="00CC539B" w:rsidRPr="007A0A9D">
        <w:rPr>
          <w:lang w:val="es-ES_tradnl"/>
        </w:rPr>
        <w:t>En ese contexto, examinará y aprobará el informe sobre su visita a Colombia, y hará un seguimiento de la situación en relación con los informes sobre sus visitas al Iraq (</w:t>
      </w:r>
      <w:hyperlink r:id="rId23" w:history="1">
        <w:r w:rsidR="00CC539B" w:rsidRPr="00DD598A">
          <w:rPr>
            <w:rStyle w:val="Hipervnculo"/>
            <w:lang w:val="es-ES_tradnl"/>
          </w:rPr>
          <w:t>CED/C/IRQ/VR/1</w:t>
        </w:r>
      </w:hyperlink>
      <w:r w:rsidR="00CC539B" w:rsidRPr="007A0A9D">
        <w:rPr>
          <w:lang w:val="es-ES_tradnl"/>
        </w:rPr>
        <w:t xml:space="preserve"> (Findings) y </w:t>
      </w:r>
      <w:hyperlink r:id="rId24" w:history="1">
        <w:r w:rsidR="00CC539B" w:rsidRPr="00DD598A">
          <w:rPr>
            <w:rStyle w:val="Hipervnculo"/>
            <w:lang w:val="es-ES_tradnl"/>
          </w:rPr>
          <w:t>CED/C/IRQ/VR/1</w:t>
        </w:r>
      </w:hyperlink>
      <w:r w:rsidR="00CC539B" w:rsidRPr="007A0A9D">
        <w:rPr>
          <w:lang w:val="es-ES_tradnl"/>
        </w:rPr>
        <w:t xml:space="preserve"> (Recommendations)) y México (</w:t>
      </w:r>
      <w:hyperlink r:id="rId25" w:history="1">
        <w:r w:rsidR="00CC539B" w:rsidRPr="00DD598A">
          <w:rPr>
            <w:rStyle w:val="Hipervnculo"/>
            <w:lang w:val="es-ES_tradnl"/>
          </w:rPr>
          <w:t>CED/C/MEX/VR/1</w:t>
        </w:r>
      </w:hyperlink>
      <w:r w:rsidR="00CC539B" w:rsidRPr="007A0A9D">
        <w:rPr>
          <w:lang w:val="es-ES_tradnl"/>
        </w:rPr>
        <w:t xml:space="preserve"> (Findings) y </w:t>
      </w:r>
      <w:hyperlink r:id="rId26" w:history="1">
        <w:r w:rsidR="00CC539B" w:rsidRPr="00DD598A">
          <w:rPr>
            <w:rStyle w:val="Hipervnculo"/>
            <w:lang w:val="es-ES_tradnl"/>
          </w:rPr>
          <w:t>CED/C/MEX/VR/1</w:t>
        </w:r>
      </w:hyperlink>
      <w:r w:rsidR="00CC539B" w:rsidRPr="007A0A9D">
        <w:rPr>
          <w:lang w:val="es-ES_tradnl"/>
        </w:rPr>
        <w:t xml:space="preserve"> (Recommendations)).</w:t>
      </w:r>
    </w:p>
    <w:p w14:paraId="4AB721DE" w14:textId="77777777" w:rsidR="00CC539B" w:rsidRPr="007A0A9D" w:rsidRDefault="00CC539B" w:rsidP="000163C9">
      <w:pPr>
        <w:pStyle w:val="H23G"/>
        <w:rPr>
          <w:lang w:val="en-GB"/>
        </w:rPr>
      </w:pPr>
      <w:r w:rsidRPr="007A0A9D">
        <w:rPr>
          <w:lang w:val="en-GB"/>
        </w:rPr>
        <w:tab/>
        <w:t>13.</w:t>
      </w:r>
      <w:r w:rsidRPr="007A0A9D">
        <w:rPr>
          <w:lang w:val="en-GB"/>
        </w:rPr>
        <w:tab/>
      </w:r>
      <w:r w:rsidRPr="007A0A9D">
        <w:rPr>
          <w:lang w:val="es-ES_tradnl"/>
        </w:rPr>
        <w:t>Información recibida por el Comité en virtud del artículo 34 de la Convención</w:t>
      </w:r>
    </w:p>
    <w:p w14:paraId="6E9B1CFC" w14:textId="0174CB5F" w:rsidR="00CC539B" w:rsidRPr="007A0A9D" w:rsidRDefault="000163C9" w:rsidP="00CC539B">
      <w:pPr>
        <w:pStyle w:val="SingleTxtG"/>
        <w:rPr>
          <w:lang w:val="en-GB"/>
        </w:rPr>
      </w:pPr>
      <w:r>
        <w:rPr>
          <w:lang w:val="es-ES_tradnl"/>
        </w:rPr>
        <w:tab/>
      </w:r>
      <w:r w:rsidR="00CC539B" w:rsidRPr="007A0A9D">
        <w:rPr>
          <w:lang w:val="es-ES_tradnl"/>
        </w:rPr>
        <w:t>El Comité examinará toda información que haya recibido en virtud del artículo 34 de la Convención.</w:t>
      </w:r>
    </w:p>
    <w:p w14:paraId="4FB3D97F" w14:textId="77777777" w:rsidR="00CC539B" w:rsidRPr="007A0A9D" w:rsidRDefault="00CC539B" w:rsidP="000163C9">
      <w:pPr>
        <w:pStyle w:val="H23G"/>
        <w:rPr>
          <w:lang w:val="en-GB"/>
        </w:rPr>
      </w:pPr>
      <w:r w:rsidRPr="007A0A9D">
        <w:rPr>
          <w:lang w:val="en-GB"/>
        </w:rPr>
        <w:tab/>
        <w:t>14.</w:t>
      </w:r>
      <w:r w:rsidRPr="007A0A9D">
        <w:rPr>
          <w:lang w:val="en-GB"/>
        </w:rPr>
        <w:tab/>
      </w:r>
      <w:r w:rsidRPr="007A0A9D">
        <w:rPr>
          <w:lang w:val="es-ES_tradnl"/>
        </w:rPr>
        <w:t>Examen y aprobación del informe anual a la Asamblea General</w:t>
      </w:r>
    </w:p>
    <w:p w14:paraId="41ABB0FB" w14:textId="78AAB73A" w:rsidR="00CC539B" w:rsidRPr="007A0A9D" w:rsidRDefault="000163C9" w:rsidP="00CC539B">
      <w:pPr>
        <w:pStyle w:val="SingleTxtG"/>
        <w:rPr>
          <w:lang w:val="en-GB"/>
        </w:rPr>
      </w:pPr>
      <w:r>
        <w:rPr>
          <w:lang w:val="es-ES_tradnl"/>
        </w:rPr>
        <w:tab/>
      </w:r>
      <w:r w:rsidR="00CC539B" w:rsidRPr="007A0A9D">
        <w:rPr>
          <w:lang w:val="es-ES_tradnl"/>
        </w:rPr>
        <w:t>El Comité examinará y aprobará su informe anual a la Asamblea General, que se presentará a la Tercera Comisión de la Asamblea en octubre de 2025.</w:t>
      </w:r>
    </w:p>
    <w:p w14:paraId="72B170D6" w14:textId="546B09A8" w:rsidR="00CC539B" w:rsidRPr="007A0A9D" w:rsidRDefault="00CC539B" w:rsidP="000163C9">
      <w:pPr>
        <w:pStyle w:val="H23G"/>
        <w:rPr>
          <w:lang w:val="en-GB"/>
        </w:rPr>
      </w:pPr>
      <w:r w:rsidRPr="007A0A9D">
        <w:rPr>
          <w:lang w:val="en-GB"/>
        </w:rPr>
        <w:tab/>
        <w:t xml:space="preserve">15. </w:t>
      </w:r>
      <w:r w:rsidRPr="007A0A9D">
        <w:rPr>
          <w:lang w:val="en-GB"/>
        </w:rPr>
        <w:tab/>
      </w:r>
      <w:r w:rsidRPr="007A0A9D">
        <w:rPr>
          <w:lang w:val="es-ES_tradnl"/>
        </w:rPr>
        <w:t xml:space="preserve">Emisión de la declaración conjunta sobre las denominadas </w:t>
      </w:r>
      <w:r w:rsidR="000163C9">
        <w:rPr>
          <w:lang w:val="es-ES_tradnl"/>
        </w:rPr>
        <w:t>“</w:t>
      </w:r>
      <w:r w:rsidRPr="007A0A9D">
        <w:rPr>
          <w:lang w:val="es-ES_tradnl"/>
        </w:rPr>
        <w:t>desapariciones</w:t>
      </w:r>
      <w:r w:rsidR="000163C9">
        <w:rPr>
          <w:lang w:val="es-ES_tradnl"/>
        </w:rPr>
        <w:br/>
      </w:r>
      <w:r w:rsidRPr="007A0A9D">
        <w:rPr>
          <w:lang w:val="es-ES_tradnl"/>
        </w:rPr>
        <w:t>forzadas de corta duración</w:t>
      </w:r>
      <w:r w:rsidR="000163C9">
        <w:rPr>
          <w:lang w:val="es-ES_tradnl"/>
        </w:rPr>
        <w:t>”</w:t>
      </w:r>
    </w:p>
    <w:p w14:paraId="1C42B1EA" w14:textId="4A602061" w:rsidR="00CC539B" w:rsidRPr="007A0A9D" w:rsidRDefault="000163C9" w:rsidP="00CC539B">
      <w:pPr>
        <w:pStyle w:val="SingleTxtG"/>
        <w:rPr>
          <w:lang w:val="en-GB"/>
        </w:rPr>
      </w:pPr>
      <w:r>
        <w:rPr>
          <w:lang w:val="es-ES_tradnl"/>
        </w:rPr>
        <w:tab/>
      </w:r>
      <w:r w:rsidR="00CC539B" w:rsidRPr="007A0A9D">
        <w:rPr>
          <w:lang w:val="es-ES_tradnl"/>
        </w:rPr>
        <w:t xml:space="preserve">Junto con el Grupo de Trabajo sobre las Desapariciones Forzadas o Involuntarias y otros órganos internacionales que se ocupan de cuestiones relacionadas con la desaparición forzada, el Comité iniciará las actividades relacionadas con la emisión de la declaración conjunta sobre las denominadas </w:t>
      </w:r>
      <w:r w:rsidR="00765859">
        <w:rPr>
          <w:lang w:val="es-ES_tradnl"/>
        </w:rPr>
        <w:t>“</w:t>
      </w:r>
      <w:r w:rsidR="00CC539B" w:rsidRPr="007A0A9D">
        <w:rPr>
          <w:lang w:val="es-ES_tradnl"/>
        </w:rPr>
        <w:t>desapariciones forzadas de corta duración</w:t>
      </w:r>
      <w:r w:rsidR="00765859">
        <w:rPr>
          <w:lang w:val="es-ES_tradnl"/>
        </w:rPr>
        <w:t>”</w:t>
      </w:r>
      <w:r w:rsidR="00CC539B" w:rsidRPr="007A0A9D">
        <w:rPr>
          <w:lang w:val="es-ES_tradnl"/>
        </w:rPr>
        <w:t>.</w:t>
      </w:r>
    </w:p>
    <w:p w14:paraId="45B00E56" w14:textId="77777777" w:rsidR="00CC539B" w:rsidRPr="007A0A9D" w:rsidRDefault="00CC539B" w:rsidP="000163C9">
      <w:pPr>
        <w:pStyle w:val="H23G"/>
        <w:rPr>
          <w:lang w:val="en-GB"/>
        </w:rPr>
      </w:pPr>
      <w:r w:rsidRPr="007A0A9D">
        <w:rPr>
          <w:lang w:val="en-GB"/>
        </w:rPr>
        <w:tab/>
        <w:t>16.</w:t>
      </w:r>
      <w:r w:rsidRPr="007A0A9D">
        <w:rPr>
          <w:lang w:val="en-GB"/>
        </w:rPr>
        <w:tab/>
      </w:r>
      <w:r w:rsidRPr="007A0A9D">
        <w:rPr>
          <w:lang w:val="en-GB"/>
        </w:rPr>
        <w:tab/>
      </w:r>
      <w:r w:rsidRPr="007A0A9D">
        <w:rPr>
          <w:lang w:val="es-ES_tradnl"/>
        </w:rPr>
        <w:t>Represalias</w:t>
      </w:r>
    </w:p>
    <w:p w14:paraId="0E22D927" w14:textId="253D7165" w:rsidR="00CC539B" w:rsidRPr="007A0A9D" w:rsidRDefault="000163C9" w:rsidP="00CC539B">
      <w:pPr>
        <w:pStyle w:val="SingleTxtG"/>
        <w:rPr>
          <w:lang w:val="en-GB"/>
        </w:rPr>
      </w:pPr>
      <w:r>
        <w:rPr>
          <w:lang w:val="es-ES_tradnl"/>
        </w:rPr>
        <w:tab/>
      </w:r>
      <w:r w:rsidR="00CC539B" w:rsidRPr="007A0A9D">
        <w:rPr>
          <w:lang w:val="es-ES_tradnl"/>
        </w:rPr>
        <w:t>La relatoría sobre las represalias informará de las medidas adoptadas en relación con las denuncias de represalias recibidas desde el 27º período de sesiones del Comité.</w:t>
      </w:r>
    </w:p>
    <w:p w14:paraId="69F173D3" w14:textId="03926144" w:rsidR="00CC539B" w:rsidRPr="007A0A9D" w:rsidRDefault="00CC539B" w:rsidP="000163C9">
      <w:pPr>
        <w:pStyle w:val="H23G"/>
        <w:rPr>
          <w:lang w:val="en-GB"/>
        </w:rPr>
      </w:pPr>
      <w:r w:rsidRPr="007A0A9D">
        <w:rPr>
          <w:lang w:val="en-GB"/>
        </w:rPr>
        <w:tab/>
        <w:t>17.</w:t>
      </w:r>
      <w:r w:rsidRPr="007A0A9D">
        <w:rPr>
          <w:lang w:val="en-GB"/>
        </w:rPr>
        <w:tab/>
      </w:r>
      <w:r w:rsidRPr="007A0A9D">
        <w:rPr>
          <w:lang w:val="es-ES_tradnl"/>
        </w:rPr>
        <w:t>Debate sobre el examen por la Asamblea General del estado del sistema</w:t>
      </w:r>
      <w:r w:rsidR="000163C9">
        <w:rPr>
          <w:lang w:val="es-ES_tradnl"/>
        </w:rPr>
        <w:br/>
      </w:r>
      <w:r w:rsidRPr="007A0A9D">
        <w:rPr>
          <w:lang w:val="es-ES_tradnl"/>
        </w:rPr>
        <w:t>de órganos creados en virtud de tratados de derechos humanos</w:t>
      </w:r>
    </w:p>
    <w:p w14:paraId="6EF54A81" w14:textId="21AA126C" w:rsidR="00CC539B" w:rsidRPr="007A0A9D" w:rsidRDefault="000163C9" w:rsidP="00CC539B">
      <w:pPr>
        <w:pStyle w:val="SingleTxtG"/>
        <w:rPr>
          <w:lang w:val="en-GB"/>
        </w:rPr>
      </w:pPr>
      <w:r>
        <w:rPr>
          <w:lang w:val="es-ES_tradnl"/>
        </w:rPr>
        <w:tab/>
      </w:r>
      <w:r w:rsidR="00CC539B" w:rsidRPr="007A0A9D">
        <w:rPr>
          <w:lang w:val="es-ES_tradnl"/>
        </w:rPr>
        <w:t>El Comité celebrará reuniones con las partes pertinentes para estudiar los elementos del examen por la Asamblea General del estado del sistema de órganos creados en virtud de tratados de derechos humanos.</w:t>
      </w:r>
    </w:p>
    <w:p w14:paraId="5338236F" w14:textId="77777777" w:rsidR="00CC539B" w:rsidRPr="007A0A9D" w:rsidRDefault="00CC539B" w:rsidP="000163C9">
      <w:pPr>
        <w:pStyle w:val="H23G"/>
        <w:rPr>
          <w:lang w:val="en-GB"/>
        </w:rPr>
      </w:pPr>
      <w:r w:rsidRPr="007A0A9D">
        <w:rPr>
          <w:lang w:val="en-GB"/>
        </w:rPr>
        <w:tab/>
        <w:t>18.</w:t>
      </w:r>
      <w:r w:rsidRPr="007A0A9D">
        <w:rPr>
          <w:lang w:val="en-GB"/>
        </w:rPr>
        <w:tab/>
      </w:r>
      <w:r w:rsidRPr="007A0A9D">
        <w:rPr>
          <w:lang w:val="en-GB"/>
        </w:rPr>
        <w:tab/>
      </w:r>
      <w:r w:rsidRPr="007A0A9D">
        <w:rPr>
          <w:lang w:val="es-ES_tradnl"/>
        </w:rPr>
        <w:t>Reuniones con Estados Miembros de las Naciones Unidas</w:t>
      </w:r>
    </w:p>
    <w:p w14:paraId="2BB43ACF" w14:textId="14916CDD" w:rsidR="00CC539B" w:rsidRPr="007A0A9D" w:rsidRDefault="000163C9" w:rsidP="00CC539B">
      <w:pPr>
        <w:pStyle w:val="SingleTxtG"/>
        <w:rPr>
          <w:lang w:val="en-GB"/>
        </w:rPr>
      </w:pPr>
      <w:r>
        <w:rPr>
          <w:lang w:val="es-ES_tradnl"/>
        </w:rPr>
        <w:tab/>
      </w:r>
      <w:r w:rsidR="00CC539B" w:rsidRPr="007A0A9D">
        <w:rPr>
          <w:lang w:val="es-ES_tradnl"/>
        </w:rPr>
        <w:t>El Comité celebrará reuniones con Estados partes en la Convención, Estados signatarios de la Convención y otros Estados Miembros de las Naciones Unidas para tratar asuntos relacionados con la Convención.</w:t>
      </w:r>
    </w:p>
    <w:p w14:paraId="3C40D6BD" w14:textId="5F9C198D" w:rsidR="00CC539B" w:rsidRPr="007A0A9D" w:rsidRDefault="00CC539B" w:rsidP="000163C9">
      <w:pPr>
        <w:pStyle w:val="H23G"/>
        <w:rPr>
          <w:lang w:val="en-GB"/>
        </w:rPr>
      </w:pPr>
      <w:r w:rsidRPr="007A0A9D">
        <w:rPr>
          <w:lang w:val="en-GB"/>
        </w:rPr>
        <w:lastRenderedPageBreak/>
        <w:tab/>
        <w:t>19.</w:t>
      </w:r>
      <w:r w:rsidRPr="007A0A9D">
        <w:rPr>
          <w:lang w:val="en-GB"/>
        </w:rPr>
        <w:tab/>
      </w:r>
      <w:r w:rsidRPr="007A0A9D">
        <w:rPr>
          <w:lang w:val="es-ES_tradnl"/>
        </w:rPr>
        <w:t>Reuniones con organismos y mecanismos de las Naciones Unidas y</w:t>
      </w:r>
      <w:r w:rsidR="000163C9">
        <w:rPr>
          <w:lang w:val="es-ES_tradnl"/>
        </w:rPr>
        <w:br/>
      </w:r>
      <w:r w:rsidRPr="007A0A9D">
        <w:rPr>
          <w:lang w:val="es-ES_tradnl"/>
        </w:rPr>
        <w:t>con organizaciones intergubernamentales</w:t>
      </w:r>
    </w:p>
    <w:p w14:paraId="1E7AEBB3" w14:textId="028D2B90" w:rsidR="00CC539B" w:rsidRPr="007A0A9D" w:rsidRDefault="000163C9" w:rsidP="00CC539B">
      <w:pPr>
        <w:pStyle w:val="SingleTxtG"/>
        <w:rPr>
          <w:lang w:val="en-GB"/>
        </w:rPr>
      </w:pPr>
      <w:r>
        <w:rPr>
          <w:lang w:val="es-ES_tradnl"/>
        </w:rPr>
        <w:tab/>
      </w:r>
      <w:r w:rsidR="00CC539B" w:rsidRPr="007A0A9D">
        <w:rPr>
          <w:lang w:val="es-ES_tradnl"/>
        </w:rPr>
        <w:t>El Comité celebrará reuniones con organismos y mecanismos de las Naciones Unidas y con organizaciones intergubernamentales que se ocupan de cuestiones relacionadas con la desaparición forzada.</w:t>
      </w:r>
    </w:p>
    <w:p w14:paraId="6CB1001A" w14:textId="5E53C74F" w:rsidR="00CC539B" w:rsidRPr="007A0A9D" w:rsidRDefault="00CC539B" w:rsidP="000163C9">
      <w:pPr>
        <w:pStyle w:val="H23G"/>
        <w:rPr>
          <w:lang w:val="en-GB"/>
        </w:rPr>
      </w:pPr>
      <w:r w:rsidRPr="007A0A9D">
        <w:rPr>
          <w:lang w:val="en-GB"/>
        </w:rPr>
        <w:tab/>
        <w:t>20.</w:t>
      </w:r>
      <w:r w:rsidRPr="007A0A9D">
        <w:rPr>
          <w:lang w:val="en-GB"/>
        </w:rPr>
        <w:tab/>
      </w:r>
      <w:r w:rsidRPr="007A0A9D">
        <w:rPr>
          <w:lang w:val="es-ES_tradnl"/>
        </w:rPr>
        <w:t>Reuniones con actores de la sociedad civil, instituciones nacionales</w:t>
      </w:r>
      <w:r w:rsidR="000163C9">
        <w:rPr>
          <w:lang w:val="es-ES_tradnl"/>
        </w:rPr>
        <w:br/>
      </w:r>
      <w:r w:rsidRPr="007A0A9D">
        <w:rPr>
          <w:lang w:val="es-ES_tradnl"/>
        </w:rPr>
        <w:t>de derechos humanos y otras partes interesadas</w:t>
      </w:r>
    </w:p>
    <w:p w14:paraId="5D5DC99F" w14:textId="4F121D68" w:rsidR="00CC539B" w:rsidRPr="007A0A9D" w:rsidRDefault="000163C9" w:rsidP="00CC539B">
      <w:pPr>
        <w:pStyle w:val="SingleTxtG"/>
        <w:rPr>
          <w:lang w:val="en-GB"/>
        </w:rPr>
      </w:pPr>
      <w:r>
        <w:rPr>
          <w:lang w:val="es-ES_tradnl"/>
        </w:rPr>
        <w:tab/>
      </w:r>
      <w:r w:rsidR="00CC539B" w:rsidRPr="007A0A9D">
        <w:rPr>
          <w:lang w:val="es-ES_tradnl"/>
        </w:rPr>
        <w:t>El Comité celebrará reuniones con actores de la sociedad civil, instituciones nacionales de derechos humanos y otras partes interesadas sobre la situación de la desaparición forzada en los Estados partes que se examinarán en el 28º período de sesiones y sobre cuestiones relativas a la aplicación de la Convención.</w:t>
      </w:r>
    </w:p>
    <w:p w14:paraId="720CD36B" w14:textId="43F0E4CE" w:rsidR="00CC539B" w:rsidRPr="007A0A9D" w:rsidRDefault="00CC539B" w:rsidP="000163C9">
      <w:pPr>
        <w:pStyle w:val="H23G"/>
        <w:rPr>
          <w:lang w:val="en-GB"/>
        </w:rPr>
      </w:pPr>
      <w:r w:rsidRPr="007A0A9D">
        <w:rPr>
          <w:lang w:val="en-GB"/>
        </w:rPr>
        <w:tab/>
        <w:t>21.</w:t>
      </w:r>
      <w:r w:rsidRPr="007A0A9D">
        <w:rPr>
          <w:lang w:val="en-GB"/>
        </w:rPr>
        <w:tab/>
      </w:r>
      <w:r w:rsidRPr="007A0A9D">
        <w:rPr>
          <w:lang w:val="es-ES_tradnl"/>
        </w:rPr>
        <w:t>Reuniones con titulares de mandatos de los procedimientos especiales</w:t>
      </w:r>
      <w:r w:rsidR="000163C9">
        <w:rPr>
          <w:lang w:val="es-ES_tradnl"/>
        </w:rPr>
        <w:br/>
      </w:r>
      <w:r w:rsidRPr="007A0A9D">
        <w:rPr>
          <w:lang w:val="es-ES_tradnl"/>
        </w:rPr>
        <w:t>y mecanismos regionales de derechos humanos</w:t>
      </w:r>
    </w:p>
    <w:p w14:paraId="711796F8" w14:textId="0B8690F3" w:rsidR="00CC539B" w:rsidRPr="007A0A9D" w:rsidRDefault="000163C9" w:rsidP="00CC539B">
      <w:pPr>
        <w:pStyle w:val="SingleTxtG"/>
        <w:rPr>
          <w:lang w:val="en-GB"/>
        </w:rPr>
      </w:pPr>
      <w:r>
        <w:rPr>
          <w:lang w:val="es-ES_tradnl"/>
        </w:rPr>
        <w:tab/>
      </w:r>
      <w:r w:rsidR="00CC539B" w:rsidRPr="007A0A9D">
        <w:rPr>
          <w:lang w:val="es-ES_tradnl"/>
        </w:rPr>
        <w:t>El Comité se reunirá con titulares de mandatos de los procedimientos especiales y mecanismos regionales de derechos humanos para promover la cooperación con estos y tratar cuestiones específicas de interés común.</w:t>
      </w:r>
    </w:p>
    <w:p w14:paraId="3107A5E6" w14:textId="1C154D7A" w:rsidR="00CC539B" w:rsidRPr="007A0A9D" w:rsidRDefault="000163C9" w:rsidP="000163C9">
      <w:pPr>
        <w:pStyle w:val="H23G"/>
        <w:rPr>
          <w:lang w:val="en-GB"/>
        </w:rPr>
      </w:pPr>
      <w:r>
        <w:rPr>
          <w:lang w:val="en-GB"/>
        </w:rPr>
        <w:tab/>
      </w:r>
      <w:r w:rsidR="00CC539B" w:rsidRPr="007A0A9D">
        <w:rPr>
          <w:lang w:val="en-GB"/>
        </w:rPr>
        <w:t>22.</w:t>
      </w:r>
      <w:r w:rsidR="00CC539B" w:rsidRPr="007A0A9D">
        <w:rPr>
          <w:lang w:val="en-GB"/>
        </w:rPr>
        <w:tab/>
      </w:r>
      <w:r w:rsidR="00CC539B" w:rsidRPr="007A0A9D">
        <w:rPr>
          <w:lang w:val="es-ES_tradnl"/>
        </w:rPr>
        <w:t>Programa provisional del 29º período de sesiones</w:t>
      </w:r>
    </w:p>
    <w:p w14:paraId="4FD75DAA" w14:textId="7C2F6B50" w:rsidR="00A256B7" w:rsidRDefault="000163C9" w:rsidP="000163C9">
      <w:pPr>
        <w:pStyle w:val="SingleTxtG"/>
        <w:rPr>
          <w:lang w:val="es-ES_tradnl"/>
        </w:rPr>
      </w:pPr>
      <w:r>
        <w:rPr>
          <w:lang w:val="es-ES_tradnl"/>
        </w:rPr>
        <w:tab/>
      </w:r>
      <w:r w:rsidR="00CC539B" w:rsidRPr="007A0A9D">
        <w:rPr>
          <w:lang w:val="es-ES_tradnl"/>
        </w:rPr>
        <w:t>El Comité estudiará la lista de temas que se incluirán en el programa provisional de su 29º período de sesiones, que se celebrará del 22 de septiembre al 3 de octubre de 2025.</w:t>
      </w:r>
    </w:p>
    <w:p w14:paraId="7F242358" w14:textId="286CD99C" w:rsidR="000163C9" w:rsidRDefault="000163C9" w:rsidP="00A146FF">
      <w:pPr>
        <w:pStyle w:val="SingleTxtG"/>
        <w:suppressAutoHyphens/>
        <w:spacing w:before="240" w:after="0"/>
        <w:jc w:val="center"/>
        <w:rPr>
          <w:u w:val="single"/>
        </w:rPr>
      </w:pPr>
      <w:r>
        <w:rPr>
          <w:u w:val="single"/>
        </w:rPr>
        <w:tab/>
      </w:r>
      <w:r>
        <w:rPr>
          <w:u w:val="single"/>
        </w:rPr>
        <w:tab/>
      </w:r>
      <w:r>
        <w:rPr>
          <w:u w:val="single"/>
        </w:rPr>
        <w:tab/>
      </w:r>
    </w:p>
    <w:sectPr w:rsidR="000163C9" w:rsidSect="009F38A0">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A935F" w14:textId="77777777" w:rsidR="00C15451" w:rsidRPr="00A06E07" w:rsidRDefault="00C15451" w:rsidP="00A06E07">
      <w:pPr>
        <w:pStyle w:val="Piedepgina"/>
      </w:pPr>
    </w:p>
  </w:endnote>
  <w:endnote w:type="continuationSeparator" w:id="0">
    <w:p w14:paraId="04D36672" w14:textId="77777777" w:rsidR="00C15451" w:rsidRPr="00A06E07" w:rsidRDefault="00C1545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2A2D7" w14:textId="058B5F10" w:rsidR="009F38A0" w:rsidRPr="009F38A0" w:rsidRDefault="009F38A0" w:rsidP="009F38A0">
    <w:pPr>
      <w:pStyle w:val="Piedepgina"/>
      <w:tabs>
        <w:tab w:val="right" w:pos="9638"/>
      </w:tabs>
    </w:pPr>
    <w:r w:rsidRPr="009F38A0">
      <w:rPr>
        <w:b/>
        <w:sz w:val="18"/>
      </w:rPr>
      <w:fldChar w:fldCharType="begin"/>
    </w:r>
    <w:r w:rsidRPr="009F38A0">
      <w:rPr>
        <w:b/>
        <w:sz w:val="18"/>
      </w:rPr>
      <w:instrText xml:space="preserve"> PAGE  \* MERGEFORMAT </w:instrText>
    </w:r>
    <w:r w:rsidRPr="009F38A0">
      <w:rPr>
        <w:b/>
        <w:sz w:val="18"/>
      </w:rPr>
      <w:fldChar w:fldCharType="separate"/>
    </w:r>
    <w:r w:rsidRPr="009F38A0">
      <w:rPr>
        <w:b/>
        <w:noProof/>
        <w:sz w:val="18"/>
      </w:rPr>
      <w:t>2</w:t>
    </w:r>
    <w:r w:rsidRPr="009F38A0">
      <w:rPr>
        <w:b/>
        <w:sz w:val="18"/>
      </w:rPr>
      <w:fldChar w:fldCharType="end"/>
    </w:r>
    <w:r>
      <w:rPr>
        <w:b/>
        <w:sz w:val="18"/>
      </w:rPr>
      <w:tab/>
    </w:r>
    <w:r>
      <w:t>GE.24-23492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7E1BD" w14:textId="442EEA53" w:rsidR="009F38A0" w:rsidRPr="009F38A0" w:rsidRDefault="009F38A0" w:rsidP="009F38A0">
    <w:pPr>
      <w:pStyle w:val="Piedepgina"/>
      <w:tabs>
        <w:tab w:val="right" w:pos="9638"/>
      </w:tabs>
      <w:rPr>
        <w:b/>
        <w:sz w:val="18"/>
      </w:rPr>
    </w:pPr>
    <w:r>
      <w:t>GE.24-23492</w:t>
    </w:r>
    <w:r>
      <w:tab/>
    </w:r>
    <w:r w:rsidRPr="009F38A0">
      <w:rPr>
        <w:b/>
        <w:sz w:val="18"/>
      </w:rPr>
      <w:fldChar w:fldCharType="begin"/>
    </w:r>
    <w:r w:rsidRPr="009F38A0">
      <w:rPr>
        <w:b/>
        <w:sz w:val="18"/>
      </w:rPr>
      <w:instrText xml:space="preserve"> PAGE  \* MERGEFORMAT </w:instrText>
    </w:r>
    <w:r w:rsidRPr="009F38A0">
      <w:rPr>
        <w:b/>
        <w:sz w:val="18"/>
      </w:rPr>
      <w:fldChar w:fldCharType="separate"/>
    </w:r>
    <w:r w:rsidRPr="009F38A0">
      <w:rPr>
        <w:b/>
        <w:noProof/>
        <w:sz w:val="18"/>
      </w:rPr>
      <w:t>3</w:t>
    </w:r>
    <w:r w:rsidRPr="009F38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3B44B" w14:textId="246246B5" w:rsidR="00042B72" w:rsidRPr="009F38A0" w:rsidRDefault="009F38A0" w:rsidP="009F38A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6BEDC8C" wp14:editId="732C68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24-23492  (S)</w:t>
    </w:r>
    <w:r>
      <w:rPr>
        <w:noProof/>
        <w:sz w:val="20"/>
      </w:rPr>
      <w:drawing>
        <wp:anchor distT="0" distB="0" distL="114300" distR="114300" simplePos="0" relativeHeight="251658752" behindDoc="0" locked="0" layoutInCell="1" allowOverlap="1" wp14:anchorId="23695767" wp14:editId="5F3F269D">
          <wp:simplePos x="0" y="0"/>
          <wp:positionH relativeFrom="margin">
            <wp:posOffset>5489575</wp:posOffset>
          </wp:positionH>
          <wp:positionV relativeFrom="margin">
            <wp:posOffset>8891905</wp:posOffset>
          </wp:positionV>
          <wp:extent cx="628650" cy="628650"/>
          <wp:effectExtent l="0" t="0" r="0" b="0"/>
          <wp:wrapNone/>
          <wp:docPr id="922930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709B2">
      <w:rPr>
        <w:sz w:val="20"/>
      </w:rPr>
      <w:t xml:space="preserve">    220125    2</w:t>
    </w:r>
    <w:r w:rsidR="00CB23C8">
      <w:rPr>
        <w:sz w:val="20"/>
      </w:rPr>
      <w:t>4</w:t>
    </w:r>
    <w:r w:rsidR="00E709B2">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35A92" w14:textId="77777777" w:rsidR="00C15451" w:rsidRPr="001075E9" w:rsidRDefault="00C15451" w:rsidP="001075E9">
      <w:pPr>
        <w:tabs>
          <w:tab w:val="right" w:pos="2155"/>
        </w:tabs>
        <w:spacing w:after="80" w:line="240" w:lineRule="auto"/>
        <w:ind w:left="680"/>
        <w:rPr>
          <w:u w:val="single"/>
        </w:rPr>
      </w:pPr>
      <w:r>
        <w:rPr>
          <w:u w:val="single"/>
        </w:rPr>
        <w:tab/>
      </w:r>
    </w:p>
  </w:footnote>
  <w:footnote w:type="continuationSeparator" w:id="0">
    <w:p w14:paraId="6005A87F" w14:textId="77777777" w:rsidR="00C15451" w:rsidRDefault="00C1545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40B80" w14:textId="048A0987" w:rsidR="009F38A0" w:rsidRPr="009F38A0" w:rsidRDefault="00267687">
    <w:pPr>
      <w:pStyle w:val="Encabezado"/>
    </w:pPr>
    <w:fldSimple w:instr=" TITLE  \* MERGEFORMAT ">
      <w:r w:rsidR="00845F61">
        <w:t>CED/C/28/1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8CF0" w14:textId="08ADCFC9" w:rsidR="009F38A0" w:rsidRPr="009F38A0" w:rsidRDefault="00267687" w:rsidP="009F38A0">
    <w:pPr>
      <w:pStyle w:val="Encabezado"/>
      <w:jc w:val="right"/>
    </w:pPr>
    <w:fldSimple w:instr=" TITLE  \* MERGEFORMAT ">
      <w:r w:rsidR="00845F61">
        <w:t>CED/C/28/1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45638274">
    <w:abstractNumId w:val="14"/>
  </w:num>
  <w:num w:numId="2" w16cid:durableId="1496722319">
    <w:abstractNumId w:val="11"/>
  </w:num>
  <w:num w:numId="3" w16cid:durableId="1841579120">
    <w:abstractNumId w:val="16"/>
  </w:num>
  <w:num w:numId="4" w16cid:durableId="423234359">
    <w:abstractNumId w:val="15"/>
  </w:num>
  <w:num w:numId="5" w16cid:durableId="1480732811">
    <w:abstractNumId w:val="13"/>
  </w:num>
  <w:num w:numId="6" w16cid:durableId="422603097">
    <w:abstractNumId w:val="8"/>
  </w:num>
  <w:num w:numId="7" w16cid:durableId="1065836531">
    <w:abstractNumId w:val="3"/>
  </w:num>
  <w:num w:numId="8" w16cid:durableId="357200774">
    <w:abstractNumId w:val="2"/>
  </w:num>
  <w:num w:numId="9" w16cid:durableId="283579899">
    <w:abstractNumId w:val="1"/>
  </w:num>
  <w:num w:numId="10" w16cid:durableId="1296762221">
    <w:abstractNumId w:val="0"/>
  </w:num>
  <w:num w:numId="11" w16cid:durableId="916399983">
    <w:abstractNumId w:val="9"/>
  </w:num>
  <w:num w:numId="12" w16cid:durableId="1449472086">
    <w:abstractNumId w:val="7"/>
  </w:num>
  <w:num w:numId="13" w16cid:durableId="791051037">
    <w:abstractNumId w:val="6"/>
  </w:num>
  <w:num w:numId="14" w16cid:durableId="163785796">
    <w:abstractNumId w:val="5"/>
  </w:num>
  <w:num w:numId="15" w16cid:durableId="2116093261">
    <w:abstractNumId w:val="4"/>
  </w:num>
  <w:num w:numId="16" w16cid:durableId="1804150491">
    <w:abstractNumId w:val="10"/>
  </w:num>
  <w:num w:numId="17" w16cid:durableId="1658805041">
    <w:abstractNumId w:val="14"/>
  </w:num>
  <w:num w:numId="18" w16cid:durableId="849101296">
    <w:abstractNumId w:val="11"/>
  </w:num>
  <w:num w:numId="19" w16cid:durableId="1881747227">
    <w:abstractNumId w:val="10"/>
  </w:num>
  <w:num w:numId="20" w16cid:durableId="1959992814">
    <w:abstractNumId w:val="16"/>
  </w:num>
  <w:num w:numId="21" w16cid:durableId="299072631">
    <w:abstractNumId w:val="15"/>
  </w:num>
  <w:num w:numId="22" w16cid:durableId="466971626">
    <w:abstractNumId w:val="12"/>
  </w:num>
  <w:num w:numId="23" w16cid:durableId="337391645">
    <w:abstractNumId w:val="12"/>
  </w:num>
  <w:num w:numId="24" w16cid:durableId="2031687589">
    <w:abstractNumId w:val="13"/>
  </w:num>
  <w:num w:numId="25" w16cid:durableId="1970864561">
    <w:abstractNumId w:val="9"/>
  </w:num>
  <w:num w:numId="26" w16cid:durableId="366684341">
    <w:abstractNumId w:val="7"/>
  </w:num>
  <w:num w:numId="27" w16cid:durableId="1121921801">
    <w:abstractNumId w:val="6"/>
  </w:num>
  <w:num w:numId="28" w16cid:durableId="247662237">
    <w:abstractNumId w:val="5"/>
  </w:num>
  <w:num w:numId="29" w16cid:durableId="670568753">
    <w:abstractNumId w:val="4"/>
  </w:num>
  <w:num w:numId="30" w16cid:durableId="328751053">
    <w:abstractNumId w:val="8"/>
  </w:num>
  <w:num w:numId="31" w16cid:durableId="1691029830">
    <w:abstractNumId w:val="3"/>
  </w:num>
  <w:num w:numId="32" w16cid:durableId="1584676991">
    <w:abstractNumId w:val="2"/>
  </w:num>
  <w:num w:numId="33" w16cid:durableId="1874951503">
    <w:abstractNumId w:val="1"/>
  </w:num>
  <w:num w:numId="34" w16cid:durableId="17601796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451"/>
    <w:rsid w:val="000163C9"/>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B4AEC"/>
    <w:rsid w:val="001C7A89"/>
    <w:rsid w:val="00267687"/>
    <w:rsid w:val="002A2EFC"/>
    <w:rsid w:val="002A7023"/>
    <w:rsid w:val="002C0E18"/>
    <w:rsid w:val="002D5AAC"/>
    <w:rsid w:val="002E4A7E"/>
    <w:rsid w:val="00301299"/>
    <w:rsid w:val="00307FB6"/>
    <w:rsid w:val="00317339"/>
    <w:rsid w:val="00322004"/>
    <w:rsid w:val="003402C2"/>
    <w:rsid w:val="0037276D"/>
    <w:rsid w:val="0037526D"/>
    <w:rsid w:val="00381C24"/>
    <w:rsid w:val="003958D0"/>
    <w:rsid w:val="003B00E5"/>
    <w:rsid w:val="0040612E"/>
    <w:rsid w:val="00407B78"/>
    <w:rsid w:val="00424203"/>
    <w:rsid w:val="0042523A"/>
    <w:rsid w:val="00454E07"/>
    <w:rsid w:val="004606FF"/>
    <w:rsid w:val="00477509"/>
    <w:rsid w:val="0050108D"/>
    <w:rsid w:val="00504114"/>
    <w:rsid w:val="00513081"/>
    <w:rsid w:val="00517901"/>
    <w:rsid w:val="00526683"/>
    <w:rsid w:val="005709E0"/>
    <w:rsid w:val="00572113"/>
    <w:rsid w:val="00572E19"/>
    <w:rsid w:val="005961C8"/>
    <w:rsid w:val="005D7914"/>
    <w:rsid w:val="005E3CB3"/>
    <w:rsid w:val="005E6387"/>
    <w:rsid w:val="005F0B42"/>
    <w:rsid w:val="005F75FF"/>
    <w:rsid w:val="006160E5"/>
    <w:rsid w:val="00623071"/>
    <w:rsid w:val="006259D1"/>
    <w:rsid w:val="00681A10"/>
    <w:rsid w:val="006A5396"/>
    <w:rsid w:val="006C2031"/>
    <w:rsid w:val="006D461A"/>
    <w:rsid w:val="006F35EE"/>
    <w:rsid w:val="007021FF"/>
    <w:rsid w:val="00753E37"/>
    <w:rsid w:val="00757357"/>
    <w:rsid w:val="00765859"/>
    <w:rsid w:val="00786232"/>
    <w:rsid w:val="008154E9"/>
    <w:rsid w:val="00825F8D"/>
    <w:rsid w:val="00834B71"/>
    <w:rsid w:val="00845F61"/>
    <w:rsid w:val="0086445C"/>
    <w:rsid w:val="00894693"/>
    <w:rsid w:val="008A08D7"/>
    <w:rsid w:val="008B6909"/>
    <w:rsid w:val="008F7CAA"/>
    <w:rsid w:val="00902F33"/>
    <w:rsid w:val="00906890"/>
    <w:rsid w:val="00911BE4"/>
    <w:rsid w:val="009311A7"/>
    <w:rsid w:val="00951972"/>
    <w:rsid w:val="00955948"/>
    <w:rsid w:val="00961F2E"/>
    <w:rsid w:val="009A550A"/>
    <w:rsid w:val="009C4ECD"/>
    <w:rsid w:val="009F38A0"/>
    <w:rsid w:val="00A06E07"/>
    <w:rsid w:val="00A146FF"/>
    <w:rsid w:val="00A256B7"/>
    <w:rsid w:val="00A34B7B"/>
    <w:rsid w:val="00A5495A"/>
    <w:rsid w:val="00A84021"/>
    <w:rsid w:val="00A917B3"/>
    <w:rsid w:val="00A97A2C"/>
    <w:rsid w:val="00AB4B51"/>
    <w:rsid w:val="00AB5752"/>
    <w:rsid w:val="00AF4708"/>
    <w:rsid w:val="00B10CC7"/>
    <w:rsid w:val="00B30AB0"/>
    <w:rsid w:val="00B539E7"/>
    <w:rsid w:val="00B62458"/>
    <w:rsid w:val="00BD33EE"/>
    <w:rsid w:val="00BE3532"/>
    <w:rsid w:val="00BE3B45"/>
    <w:rsid w:val="00C0296F"/>
    <w:rsid w:val="00C03D44"/>
    <w:rsid w:val="00C15451"/>
    <w:rsid w:val="00C356BF"/>
    <w:rsid w:val="00C60F0C"/>
    <w:rsid w:val="00C805C9"/>
    <w:rsid w:val="00C92939"/>
    <w:rsid w:val="00C92B25"/>
    <w:rsid w:val="00C93489"/>
    <w:rsid w:val="00CA1679"/>
    <w:rsid w:val="00CB23C8"/>
    <w:rsid w:val="00CC539B"/>
    <w:rsid w:val="00CE5A1A"/>
    <w:rsid w:val="00CF55F6"/>
    <w:rsid w:val="00D33D63"/>
    <w:rsid w:val="00D47FEA"/>
    <w:rsid w:val="00D90138"/>
    <w:rsid w:val="00DD598A"/>
    <w:rsid w:val="00DF5890"/>
    <w:rsid w:val="00E14855"/>
    <w:rsid w:val="00E709B2"/>
    <w:rsid w:val="00E73F76"/>
    <w:rsid w:val="00EA2C9F"/>
    <w:rsid w:val="00EF1360"/>
    <w:rsid w:val="00EF3220"/>
    <w:rsid w:val="00F32B71"/>
    <w:rsid w:val="00F36A8D"/>
    <w:rsid w:val="00F650CF"/>
    <w:rsid w:val="00F94155"/>
    <w:rsid w:val="00FA0B9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95629"/>
  <w15:docId w15:val="{5948A8E6-BA46-4452-B068-1FDF514E7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DD5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ED/C/HRV/1" TargetMode="External"/><Relationship Id="rId13" Type="http://schemas.openxmlformats.org/officeDocument/2006/relationships/hyperlink" Target="https://undocs.org/es/CED/C/MNE/AI/1" TargetMode="External"/><Relationship Id="rId18" Type="http://schemas.openxmlformats.org/officeDocument/2006/relationships/hyperlink" Target="https://undocs.org/es/CED/C/SRB/AI/1" TargetMode="External"/><Relationship Id="rId26" Type="http://schemas.openxmlformats.org/officeDocument/2006/relationships/hyperlink" Target="https://undocs.org/es/CED/C/MEX/VR/1%20" TargetMode="External"/><Relationship Id="rId3" Type="http://schemas.openxmlformats.org/officeDocument/2006/relationships/settings" Target="settings.xml"/><Relationship Id="rId21" Type="http://schemas.openxmlformats.org/officeDocument/2006/relationships/hyperlink" Target="https://undocs.org/es/CED/C/PER/QSA/AI/1" TargetMode="External"/><Relationship Id="rId7" Type="http://schemas.openxmlformats.org/officeDocument/2006/relationships/image" Target="media/image1.wmf"/><Relationship Id="rId12" Type="http://schemas.openxmlformats.org/officeDocument/2006/relationships/hyperlink" Target="https://undocs.org/es/CED/C/GAB/AI/1" TargetMode="External"/><Relationship Id="rId17" Type="http://schemas.openxmlformats.org/officeDocument/2006/relationships/hyperlink" Target="https://undocs.org/es/CED/C/BEL/AI/1" TargetMode="External"/><Relationship Id="rId25" Type="http://schemas.openxmlformats.org/officeDocument/2006/relationships/hyperlink" Target="https://undocs.org/es/CED/C/MEX/VR/1%2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s/CED/C/MLT/1" TargetMode="External"/><Relationship Id="rId20" Type="http://schemas.openxmlformats.org/officeDocument/2006/relationships/hyperlink" Target="https://undocs.org/es/CED/C/ARG/QSA/AI/1"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ED/C/ARM/AI/1" TargetMode="External"/><Relationship Id="rId24" Type="http://schemas.openxmlformats.org/officeDocument/2006/relationships/hyperlink" Target="https://undocs.org/es/CED/C/IRQ/VR/1%2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s/CED/C/GMB/1" TargetMode="External"/><Relationship Id="rId23" Type="http://schemas.openxmlformats.org/officeDocument/2006/relationships/hyperlink" Target="https://undocs.org/es/CED/C/IRQ/VR/1" TargetMode="External"/><Relationship Id="rId28" Type="http://schemas.openxmlformats.org/officeDocument/2006/relationships/header" Target="header2.xml"/><Relationship Id="rId10" Type="http://schemas.openxmlformats.org/officeDocument/2006/relationships/hyperlink" Target="https://undocs.org/es/CED/C/TGO/1" TargetMode="External"/><Relationship Id="rId19" Type="http://schemas.openxmlformats.org/officeDocument/2006/relationships/hyperlink" Target="https://undocs.org/es/CED/C/ARG/RQSA/AI/1"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undocs.org/es/CED/C/LUX/1" TargetMode="External"/><Relationship Id="rId14" Type="http://schemas.openxmlformats.org/officeDocument/2006/relationships/hyperlink" Target="https://undocs.org/es/CED/C/CAF/1" TargetMode="External"/><Relationship Id="rId22" Type="http://schemas.openxmlformats.org/officeDocument/2006/relationships/hyperlink" Target="https://undocs.org/es/CED/C/PAN/FCO/1"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1703</Words>
  <Characters>9438</Characters>
  <Application>Microsoft Office Word</Application>
  <DocSecurity>0</DocSecurity>
  <Lines>190</Lines>
  <Paragraphs>99</Paragraphs>
  <ScaleCrop>false</ScaleCrop>
  <HeadingPairs>
    <vt:vector size="2" baseType="variant">
      <vt:variant>
        <vt:lpstr>Título</vt:lpstr>
      </vt:variant>
      <vt:variant>
        <vt:i4>1</vt:i4>
      </vt:variant>
    </vt:vector>
  </HeadingPairs>
  <TitlesOfParts>
    <vt:vector size="1" baseType="lpstr">
      <vt:lpstr>CED/C/28/1</vt:lpstr>
    </vt:vector>
  </TitlesOfParts>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CED/C/28/1</dc:title>
  <dc:subject/>
  <dc:creator>Romina Valeria MERINO MAC-KAY</dc:creator>
  <cp:keywords/>
  <cp:lastModifiedBy>Romina Merino Mac-Kay</cp:lastModifiedBy>
  <cp:revision>3</cp:revision>
  <cp:lastPrinted>2025-01-24T10:56:00Z</cp:lastPrinted>
  <dcterms:created xsi:type="dcterms:W3CDTF">2025-01-24T10:56:00Z</dcterms:created>
  <dcterms:modified xsi:type="dcterms:W3CDTF">2025-01-24T10:56:00Z</dcterms:modified>
</cp:coreProperties>
</file>