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EE1AAF" w:rsidRDefault="007C2330" w:rsidP="00B614C4">
            <w:pPr>
              <w:spacing w:line="240" w:lineRule="atLeast"/>
              <w:jc w:val="right"/>
              <w:rPr>
                <w:sz w:val="20"/>
                <w:szCs w:val="21"/>
              </w:rPr>
            </w:pPr>
            <w:proofErr w:type="spellStart"/>
            <w:r>
              <w:rPr>
                <w:sz w:val="40"/>
                <w:szCs w:val="21"/>
              </w:rPr>
              <w:t>CCPR</w:t>
            </w:r>
            <w:proofErr w:type="spellEnd"/>
            <w:r>
              <w:rPr>
                <w:sz w:val="20"/>
                <w:szCs w:val="21"/>
              </w:rPr>
              <w:t>/C/</w:t>
            </w:r>
            <w:proofErr w:type="spellStart"/>
            <w:r>
              <w:rPr>
                <w:sz w:val="20"/>
                <w:szCs w:val="21"/>
              </w:rPr>
              <w:t>JOR</w:t>
            </w:r>
            <w:proofErr w:type="spellEnd"/>
            <w:r>
              <w:rPr>
                <w:sz w:val="20"/>
                <w:szCs w:val="21"/>
              </w:rPr>
              <w:t>/CO/5</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7C2330" w:rsidP="00EE1AAF">
            <w:pPr>
              <w:spacing w:before="240" w:line="240" w:lineRule="atLeast"/>
              <w:rPr>
                <w:sz w:val="20"/>
              </w:rPr>
            </w:pPr>
            <w:r>
              <w:rPr>
                <w:sz w:val="20"/>
              </w:rPr>
              <w:t>Distr.: General</w:t>
            </w:r>
          </w:p>
          <w:p w:rsidR="00CE1D1C" w:rsidRPr="00F124C6" w:rsidRDefault="007C2330" w:rsidP="00B614C4">
            <w:pPr>
              <w:spacing w:line="240" w:lineRule="atLeast"/>
              <w:rPr>
                <w:sz w:val="20"/>
              </w:rPr>
            </w:pPr>
            <w:r>
              <w:rPr>
                <w:sz w:val="20"/>
              </w:rPr>
              <w:t>4 December</w:t>
            </w:r>
            <w:r w:rsidR="00EA7E67">
              <w:rPr>
                <w:sz w:val="20"/>
              </w:rPr>
              <w:t xml:space="preserve"> </w:t>
            </w:r>
            <w:r>
              <w:rPr>
                <w:sz w:val="20"/>
              </w:rPr>
              <w:t>2</w:t>
            </w:r>
            <w:r w:rsidR="00EA7E67">
              <w:rPr>
                <w:sz w:val="20"/>
              </w:rPr>
              <w:t>0</w:t>
            </w:r>
            <w:r>
              <w:rPr>
                <w:sz w:val="20"/>
              </w:rPr>
              <w:t>1</w:t>
            </w:r>
            <w:r>
              <w:rPr>
                <w:rFonts w:hint="eastAsia"/>
                <w:sz w:val="20"/>
              </w:rPr>
              <w:t>7</w:t>
            </w:r>
          </w:p>
          <w:p w:rsidR="00CE1D1C" w:rsidRPr="00F124C6" w:rsidRDefault="007C2330" w:rsidP="00B614C4">
            <w:pPr>
              <w:spacing w:line="240" w:lineRule="atLeast"/>
              <w:rPr>
                <w:sz w:val="20"/>
              </w:rPr>
            </w:pPr>
            <w:r>
              <w:rPr>
                <w:sz w:val="20"/>
              </w:rPr>
              <w:t>Chinese</w:t>
            </w:r>
            <w:r w:rsidR="00CE1D1C" w:rsidRPr="00F124C6">
              <w:rPr>
                <w:sz w:val="20"/>
              </w:rPr>
              <w:t xml:space="preserve"> </w:t>
            </w:r>
          </w:p>
          <w:p w:rsidR="00CE1D1C" w:rsidRPr="00F124C6" w:rsidRDefault="007C2330" w:rsidP="00B614C4">
            <w:pPr>
              <w:spacing w:line="240" w:lineRule="atLeast"/>
            </w:pPr>
            <w:r>
              <w:rPr>
                <w:sz w:val="20"/>
              </w:rPr>
              <w:t>Original: English</w:t>
            </w:r>
          </w:p>
        </w:tc>
      </w:tr>
    </w:tbl>
    <w:p w:rsidR="007C2330" w:rsidRDefault="007C2330" w:rsidP="007715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rsidR="007C2330" w:rsidRDefault="007C2330" w:rsidP="00771504">
      <w:pPr>
        <w:spacing w:before="120"/>
        <w:rPr>
          <w:rFonts w:ascii="Time New Roman" w:eastAsia="黑体" w:hAnsi="Time New Roman" w:hint="eastAsia"/>
          <w:sz w:val="24"/>
          <w:szCs w:val="24"/>
        </w:rPr>
      </w:pPr>
    </w:p>
    <w:p w:rsidR="007C2330" w:rsidRDefault="007C2330" w:rsidP="007C2330">
      <w:pPr>
        <w:pStyle w:val="HChGC"/>
        <w:rPr>
          <w:bCs/>
        </w:rPr>
      </w:pPr>
      <w:r w:rsidRPr="00400EAE">
        <w:tab/>
      </w:r>
      <w:r w:rsidRPr="00400EAE">
        <w:tab/>
      </w:r>
      <w:r w:rsidRPr="009F2104">
        <w:rPr>
          <w:rFonts w:hint="eastAsia"/>
        </w:rPr>
        <w:t>关于</w:t>
      </w:r>
      <w:r>
        <w:rPr>
          <w:rFonts w:hint="eastAsia"/>
        </w:rPr>
        <w:t>约旦第五</w:t>
      </w:r>
      <w:r w:rsidRPr="009F2104">
        <w:rPr>
          <w:rFonts w:hint="eastAsia"/>
        </w:rPr>
        <w:t>次定期报告的结论性意见</w:t>
      </w:r>
      <w:bookmarkStart w:id="0" w:name="_GoBack"/>
      <w:r w:rsidRPr="0069472E">
        <w:rPr>
          <w:rStyle w:val="a8"/>
          <w:rFonts w:eastAsia="黑体"/>
          <w:bCs/>
          <w:sz w:val="28"/>
          <w:vertAlign w:val="baseline"/>
        </w:rPr>
        <w:footnoteReference w:customMarkFollows="1" w:id="2"/>
        <w:t>*</w:t>
      </w:r>
      <w:bookmarkEnd w:id="0"/>
    </w:p>
    <w:p w:rsidR="007C2330" w:rsidRDefault="007C2330" w:rsidP="007C2330">
      <w:pPr>
        <w:pStyle w:val="SingleTxtGC"/>
      </w:pPr>
      <w:r>
        <w:rPr>
          <w:rFonts w:hint="eastAsia"/>
        </w:rPr>
        <w:t>1.</w:t>
      </w:r>
      <w:r>
        <w:rPr>
          <w:rFonts w:hint="eastAsia"/>
        </w:rPr>
        <w:tab/>
      </w:r>
      <w:r>
        <w:rPr>
          <w:rFonts w:hint="eastAsia"/>
        </w:rPr>
        <w:t>委员会在</w:t>
      </w:r>
      <w:r>
        <w:rPr>
          <w:rFonts w:hint="eastAsia"/>
        </w:rPr>
        <w:t>2017</w:t>
      </w:r>
      <w:r>
        <w:rPr>
          <w:rFonts w:hint="eastAsia"/>
        </w:rPr>
        <w:t>年</w:t>
      </w:r>
      <w:r>
        <w:rPr>
          <w:rFonts w:hint="eastAsia"/>
        </w:rPr>
        <w:t>10</w:t>
      </w:r>
      <w:r>
        <w:rPr>
          <w:rFonts w:hint="eastAsia"/>
        </w:rPr>
        <w:t>月</w:t>
      </w:r>
      <w:r>
        <w:rPr>
          <w:rFonts w:hint="eastAsia"/>
        </w:rPr>
        <w:t>19</w:t>
      </w:r>
      <w:r>
        <w:rPr>
          <w:rFonts w:hint="eastAsia"/>
        </w:rPr>
        <w:t>日和</w:t>
      </w:r>
      <w:r>
        <w:rPr>
          <w:rFonts w:hint="eastAsia"/>
        </w:rPr>
        <w:t>20</w:t>
      </w:r>
      <w:r>
        <w:rPr>
          <w:rFonts w:hint="eastAsia"/>
        </w:rPr>
        <w:t>日举行的第</w:t>
      </w:r>
      <w:r>
        <w:rPr>
          <w:rFonts w:hint="eastAsia"/>
        </w:rPr>
        <w:t>3420</w:t>
      </w:r>
      <w:r>
        <w:rPr>
          <w:rFonts w:hint="eastAsia"/>
        </w:rPr>
        <w:t>次和第</w:t>
      </w:r>
      <w:r>
        <w:rPr>
          <w:rFonts w:hint="eastAsia"/>
        </w:rPr>
        <w:t>3421</w:t>
      </w:r>
      <w:r>
        <w:rPr>
          <w:rFonts w:hint="eastAsia"/>
        </w:rPr>
        <w:t>次会议</w:t>
      </w:r>
      <w:r>
        <w:rPr>
          <w:rFonts w:hint="eastAsia"/>
        </w:rPr>
        <w:t>(</w:t>
      </w:r>
      <w:proofErr w:type="spellStart"/>
      <w:r>
        <w:rPr>
          <w:rFonts w:hint="eastAsia"/>
        </w:rPr>
        <w:t>CCPR</w:t>
      </w:r>
      <w:proofErr w:type="spellEnd"/>
      <w:r>
        <w:rPr>
          <w:rFonts w:hint="eastAsia"/>
        </w:rPr>
        <w:t>/C/</w:t>
      </w:r>
      <w:proofErr w:type="spellStart"/>
      <w:r>
        <w:rPr>
          <w:rFonts w:hint="eastAsia"/>
        </w:rPr>
        <w:t>SR.3420</w:t>
      </w:r>
      <w:proofErr w:type="spellEnd"/>
      <w:r>
        <w:rPr>
          <w:rFonts w:hint="eastAsia"/>
        </w:rPr>
        <w:t>和</w:t>
      </w:r>
      <w:r>
        <w:rPr>
          <w:rFonts w:hint="eastAsia"/>
        </w:rPr>
        <w:t>3421)</w:t>
      </w:r>
      <w:r>
        <w:rPr>
          <w:rFonts w:hint="eastAsia"/>
        </w:rPr>
        <w:t>上审议了约旦的第五次定期报告</w:t>
      </w:r>
      <w:r>
        <w:rPr>
          <w:rFonts w:hint="eastAsia"/>
        </w:rPr>
        <w:t>(</w:t>
      </w:r>
      <w:proofErr w:type="spellStart"/>
      <w:r>
        <w:rPr>
          <w:rFonts w:hint="eastAsia"/>
        </w:rPr>
        <w:t>CCPR</w:t>
      </w:r>
      <w:proofErr w:type="spellEnd"/>
      <w:r>
        <w:rPr>
          <w:rFonts w:hint="eastAsia"/>
        </w:rPr>
        <w:t>/C/</w:t>
      </w:r>
      <w:proofErr w:type="spellStart"/>
      <w:r>
        <w:rPr>
          <w:rFonts w:hint="eastAsia"/>
        </w:rPr>
        <w:t>JOR</w:t>
      </w:r>
      <w:proofErr w:type="spellEnd"/>
      <w:r>
        <w:rPr>
          <w:rFonts w:hint="eastAsia"/>
        </w:rPr>
        <w:t>/5)</w:t>
      </w:r>
      <w:r>
        <w:rPr>
          <w:rFonts w:hint="eastAsia"/>
        </w:rPr>
        <w:t>，并在</w:t>
      </w:r>
      <w:r>
        <w:rPr>
          <w:rFonts w:hint="eastAsia"/>
        </w:rPr>
        <w:t>2017</w:t>
      </w:r>
      <w:r>
        <w:rPr>
          <w:rFonts w:hint="eastAsia"/>
        </w:rPr>
        <w:t>年</w:t>
      </w:r>
      <w:r>
        <w:rPr>
          <w:rFonts w:hint="eastAsia"/>
        </w:rPr>
        <w:t>11</w:t>
      </w:r>
      <w:r>
        <w:rPr>
          <w:rFonts w:hint="eastAsia"/>
        </w:rPr>
        <w:t>月</w:t>
      </w:r>
      <w:r>
        <w:rPr>
          <w:rFonts w:hint="eastAsia"/>
        </w:rPr>
        <w:t>6</w:t>
      </w:r>
      <w:r>
        <w:rPr>
          <w:rFonts w:hint="eastAsia"/>
        </w:rPr>
        <w:t>日和</w:t>
      </w:r>
      <w:r>
        <w:rPr>
          <w:rFonts w:hint="eastAsia"/>
        </w:rPr>
        <w:t>7</w:t>
      </w:r>
      <w:r>
        <w:rPr>
          <w:rFonts w:hint="eastAsia"/>
        </w:rPr>
        <w:t>日举行的第</w:t>
      </w:r>
      <w:r>
        <w:rPr>
          <w:rFonts w:hint="eastAsia"/>
        </w:rPr>
        <w:t>3443</w:t>
      </w:r>
      <w:r>
        <w:rPr>
          <w:rFonts w:hint="eastAsia"/>
        </w:rPr>
        <w:t>次和第</w:t>
      </w:r>
      <w:r>
        <w:rPr>
          <w:rFonts w:hint="eastAsia"/>
        </w:rPr>
        <w:t>3445</w:t>
      </w:r>
      <w:r>
        <w:rPr>
          <w:rFonts w:hint="eastAsia"/>
        </w:rPr>
        <w:t>次会议上通过了本结论性意见。</w:t>
      </w:r>
    </w:p>
    <w:p w:rsidR="007C2330" w:rsidRDefault="007C2330" w:rsidP="00385EF3">
      <w:pPr>
        <w:pStyle w:val="H1GC"/>
      </w:pPr>
      <w:r>
        <w:rPr>
          <w:rFonts w:hint="eastAsia"/>
        </w:rPr>
        <w:tab/>
        <w:t>A.</w:t>
      </w:r>
      <w:r>
        <w:rPr>
          <w:rFonts w:hint="eastAsia"/>
        </w:rPr>
        <w:tab/>
      </w:r>
      <w:r>
        <w:rPr>
          <w:rFonts w:hint="eastAsia"/>
        </w:rPr>
        <w:t>导言</w:t>
      </w:r>
    </w:p>
    <w:p w:rsidR="007C2330" w:rsidRDefault="007C2330" w:rsidP="007C2330">
      <w:pPr>
        <w:pStyle w:val="SingleTxtGC"/>
      </w:pPr>
      <w:r>
        <w:rPr>
          <w:rFonts w:hint="eastAsia"/>
        </w:rPr>
        <w:t>2.</w:t>
      </w:r>
      <w:r>
        <w:rPr>
          <w:rFonts w:hint="eastAsia"/>
        </w:rPr>
        <w:tab/>
      </w:r>
      <w:r>
        <w:rPr>
          <w:rFonts w:hint="eastAsia"/>
        </w:rPr>
        <w:t>委员会欢迎约旦提交第五次定期报告和其中所载资料。委员会赞赏有机会再次与缔约国代表团开展建设性对话，讨论缔约国在报告所述期间为执行《公约》规定而采取的措施。委员会感谢缔约国对问题清单</w:t>
      </w:r>
      <w:r>
        <w:rPr>
          <w:rFonts w:hint="eastAsia"/>
        </w:rPr>
        <w:t>(</w:t>
      </w:r>
      <w:proofErr w:type="spellStart"/>
      <w:r>
        <w:rPr>
          <w:rFonts w:hint="eastAsia"/>
        </w:rPr>
        <w:t>CCPR</w:t>
      </w:r>
      <w:proofErr w:type="spellEnd"/>
      <w:r>
        <w:rPr>
          <w:rFonts w:hint="eastAsia"/>
        </w:rPr>
        <w:t>/C/</w:t>
      </w:r>
      <w:proofErr w:type="spellStart"/>
      <w:r>
        <w:rPr>
          <w:rFonts w:hint="eastAsia"/>
        </w:rPr>
        <w:t>JOR</w:t>
      </w:r>
      <w:proofErr w:type="spellEnd"/>
      <w:r>
        <w:rPr>
          <w:rFonts w:hint="eastAsia"/>
        </w:rPr>
        <w:t>/Q/5)</w:t>
      </w:r>
      <w:proofErr w:type="gramStart"/>
      <w:r>
        <w:rPr>
          <w:rFonts w:hint="eastAsia"/>
        </w:rPr>
        <w:t>作出</w:t>
      </w:r>
      <w:proofErr w:type="gramEnd"/>
      <w:r>
        <w:rPr>
          <w:rFonts w:hint="eastAsia"/>
        </w:rPr>
        <w:t>的书面答复</w:t>
      </w:r>
      <w:r>
        <w:rPr>
          <w:rFonts w:hint="eastAsia"/>
        </w:rPr>
        <w:t>(</w:t>
      </w:r>
      <w:proofErr w:type="spellStart"/>
      <w:r>
        <w:rPr>
          <w:rFonts w:hint="eastAsia"/>
        </w:rPr>
        <w:t>CCPR</w:t>
      </w:r>
      <w:proofErr w:type="spellEnd"/>
      <w:r>
        <w:rPr>
          <w:rFonts w:hint="eastAsia"/>
        </w:rPr>
        <w:t>/C/</w:t>
      </w:r>
      <w:proofErr w:type="spellStart"/>
      <w:r>
        <w:rPr>
          <w:rFonts w:hint="eastAsia"/>
        </w:rPr>
        <w:t>JOR</w:t>
      </w:r>
      <w:proofErr w:type="spellEnd"/>
      <w:r>
        <w:rPr>
          <w:rFonts w:hint="eastAsia"/>
        </w:rPr>
        <w:t>/Q/5/</w:t>
      </w:r>
      <w:proofErr w:type="spellStart"/>
      <w:r>
        <w:rPr>
          <w:rFonts w:hint="eastAsia"/>
        </w:rPr>
        <w:t>Add.1</w:t>
      </w:r>
      <w:proofErr w:type="spellEnd"/>
      <w:r>
        <w:rPr>
          <w:rFonts w:hint="eastAsia"/>
        </w:rPr>
        <w:t>)</w:t>
      </w:r>
      <w:r>
        <w:rPr>
          <w:rFonts w:hint="eastAsia"/>
        </w:rPr>
        <w:t>和代表团在对话期间通过口头答复所作的补充及其提供的书面补充资料。</w:t>
      </w:r>
    </w:p>
    <w:p w:rsidR="007C2330" w:rsidRDefault="007C2330" w:rsidP="001E179E">
      <w:pPr>
        <w:pStyle w:val="H1GC"/>
      </w:pPr>
      <w:r>
        <w:rPr>
          <w:rFonts w:hint="eastAsia"/>
        </w:rPr>
        <w:tab/>
        <w:t>B.</w:t>
      </w:r>
      <w:r>
        <w:rPr>
          <w:rFonts w:hint="eastAsia"/>
        </w:rPr>
        <w:tab/>
      </w:r>
      <w:r>
        <w:rPr>
          <w:rFonts w:hint="eastAsia"/>
        </w:rPr>
        <w:t>积极方面</w:t>
      </w:r>
    </w:p>
    <w:p w:rsidR="007C2330" w:rsidRDefault="007C2330" w:rsidP="007C2330">
      <w:pPr>
        <w:pStyle w:val="SingleTxtGC"/>
      </w:pPr>
      <w:r>
        <w:rPr>
          <w:rFonts w:hint="eastAsia"/>
        </w:rPr>
        <w:t>3.</w:t>
      </w:r>
      <w:r>
        <w:rPr>
          <w:rFonts w:hint="eastAsia"/>
        </w:rPr>
        <w:tab/>
      </w:r>
      <w:r>
        <w:rPr>
          <w:rFonts w:hint="eastAsia"/>
        </w:rPr>
        <w:t>委员会欢迎缔约国采取以下立法和体制措施：</w:t>
      </w:r>
    </w:p>
    <w:p w:rsidR="007C2330" w:rsidRDefault="007C2330" w:rsidP="007C2330">
      <w:pPr>
        <w:pStyle w:val="SingleTxtGC"/>
      </w:pPr>
      <w:r>
        <w:rPr>
          <w:rFonts w:hint="eastAsia"/>
        </w:rPr>
        <w:tab/>
        <w:t>(a)</w:t>
      </w:r>
      <w:r>
        <w:rPr>
          <w:rFonts w:hint="eastAsia"/>
        </w:rPr>
        <w:tab/>
      </w:r>
      <w:r>
        <w:rPr>
          <w:rFonts w:hint="eastAsia"/>
        </w:rPr>
        <w:t>修正《约旦宪法》，</w:t>
      </w:r>
      <w:r>
        <w:rPr>
          <w:rFonts w:hint="eastAsia"/>
        </w:rPr>
        <w:t>2011</w:t>
      </w:r>
      <w:r>
        <w:rPr>
          <w:rFonts w:hint="eastAsia"/>
        </w:rPr>
        <w:t>年；</w:t>
      </w:r>
    </w:p>
    <w:p w:rsidR="007C2330" w:rsidRDefault="007C2330" w:rsidP="007C2330">
      <w:pPr>
        <w:pStyle w:val="SingleTxtGC"/>
      </w:pPr>
      <w:r>
        <w:rPr>
          <w:rFonts w:hint="eastAsia"/>
        </w:rPr>
        <w:tab/>
        <w:t>(b)</w:t>
      </w:r>
      <w:r>
        <w:rPr>
          <w:rFonts w:hint="eastAsia"/>
        </w:rPr>
        <w:tab/>
      </w:r>
      <w:r>
        <w:rPr>
          <w:rFonts w:hint="eastAsia"/>
        </w:rPr>
        <w:t>设立宪法法院，</w:t>
      </w:r>
      <w:r>
        <w:rPr>
          <w:rFonts w:hint="eastAsia"/>
        </w:rPr>
        <w:t>2012</w:t>
      </w:r>
      <w:r>
        <w:rPr>
          <w:rFonts w:hint="eastAsia"/>
        </w:rPr>
        <w:t>年；</w:t>
      </w:r>
    </w:p>
    <w:p w:rsidR="007C2330" w:rsidRDefault="007C2330" w:rsidP="007C2330">
      <w:pPr>
        <w:pStyle w:val="SingleTxtGC"/>
      </w:pPr>
      <w:r>
        <w:rPr>
          <w:rFonts w:hint="eastAsia"/>
        </w:rPr>
        <w:tab/>
        <w:t>(c)</w:t>
      </w:r>
      <w:r>
        <w:rPr>
          <w:rFonts w:hint="eastAsia"/>
        </w:rPr>
        <w:tab/>
      </w:r>
      <w:r>
        <w:rPr>
          <w:rFonts w:hint="eastAsia"/>
        </w:rPr>
        <w:t>设立独立的选举委员会，</w:t>
      </w:r>
      <w:r>
        <w:rPr>
          <w:rFonts w:hint="eastAsia"/>
        </w:rPr>
        <w:t>2011</w:t>
      </w:r>
      <w:r>
        <w:rPr>
          <w:rFonts w:hint="eastAsia"/>
        </w:rPr>
        <w:t>年；</w:t>
      </w:r>
    </w:p>
    <w:p w:rsidR="007C2330" w:rsidRDefault="007C2330" w:rsidP="007C2330">
      <w:pPr>
        <w:pStyle w:val="SingleTxtGC"/>
      </w:pPr>
      <w:r>
        <w:rPr>
          <w:rFonts w:hint="eastAsia"/>
        </w:rPr>
        <w:tab/>
        <w:t>(d)</w:t>
      </w:r>
      <w:r>
        <w:rPr>
          <w:rFonts w:hint="eastAsia"/>
        </w:rPr>
        <w:tab/>
      </w:r>
      <w:r>
        <w:rPr>
          <w:rFonts w:hint="eastAsia"/>
        </w:rPr>
        <w:t>任命人权协调员，</w:t>
      </w:r>
      <w:r>
        <w:rPr>
          <w:rFonts w:hint="eastAsia"/>
        </w:rPr>
        <w:t>2014</w:t>
      </w:r>
      <w:r>
        <w:rPr>
          <w:rFonts w:hint="eastAsia"/>
        </w:rPr>
        <w:t>年；</w:t>
      </w:r>
    </w:p>
    <w:p w:rsidR="007C2330" w:rsidRDefault="007C2330" w:rsidP="005A00C6">
      <w:pPr>
        <w:pStyle w:val="SingleTxtGC"/>
      </w:pPr>
      <w:r>
        <w:rPr>
          <w:rFonts w:hint="eastAsia"/>
        </w:rPr>
        <w:tab/>
        <w:t>(e)</w:t>
      </w:r>
      <w:r>
        <w:rPr>
          <w:rFonts w:hint="eastAsia"/>
        </w:rPr>
        <w:tab/>
      </w:r>
      <w:r>
        <w:rPr>
          <w:rFonts w:hint="eastAsia"/>
        </w:rPr>
        <w:t>制定</w:t>
      </w:r>
      <w:r>
        <w:rPr>
          <w:rFonts w:hint="eastAsia"/>
        </w:rPr>
        <w:t>2016</w:t>
      </w:r>
      <w:r w:rsidR="005A00C6">
        <w:rPr>
          <w:rFonts w:hint="eastAsia"/>
        </w:rPr>
        <w:t>-</w:t>
      </w:r>
      <w:r>
        <w:rPr>
          <w:rFonts w:hint="eastAsia"/>
        </w:rPr>
        <w:t>2025</w:t>
      </w:r>
      <w:r>
        <w:rPr>
          <w:rFonts w:hint="eastAsia"/>
        </w:rPr>
        <w:t>年国家人权行动计划。</w:t>
      </w:r>
    </w:p>
    <w:p w:rsidR="007C2330" w:rsidRDefault="007C2330" w:rsidP="001E179E">
      <w:pPr>
        <w:pStyle w:val="H1GC"/>
      </w:pPr>
      <w:r>
        <w:rPr>
          <w:rFonts w:hint="eastAsia"/>
        </w:rPr>
        <w:lastRenderedPageBreak/>
        <w:tab/>
        <w:t>C.</w:t>
      </w:r>
      <w:r>
        <w:rPr>
          <w:rFonts w:hint="eastAsia"/>
        </w:rPr>
        <w:tab/>
      </w:r>
      <w:r>
        <w:rPr>
          <w:rFonts w:hint="eastAsia"/>
        </w:rPr>
        <w:t>关注的主要问题及建议</w:t>
      </w:r>
    </w:p>
    <w:p w:rsidR="007C2330" w:rsidRDefault="007C2330" w:rsidP="00C41D3C">
      <w:pPr>
        <w:pStyle w:val="H23GC"/>
      </w:pPr>
      <w:r>
        <w:rPr>
          <w:rFonts w:hint="eastAsia"/>
        </w:rPr>
        <w:tab/>
      </w:r>
      <w:r>
        <w:rPr>
          <w:rFonts w:hint="eastAsia"/>
        </w:rPr>
        <w:tab/>
      </w:r>
      <w:r>
        <w:rPr>
          <w:rFonts w:hint="eastAsia"/>
        </w:rPr>
        <w:t>《公约》的国内执行</w:t>
      </w:r>
    </w:p>
    <w:p w:rsidR="007C2330" w:rsidRDefault="007C2330" w:rsidP="007C2330">
      <w:pPr>
        <w:pStyle w:val="SingleTxtGC"/>
      </w:pPr>
      <w:r>
        <w:rPr>
          <w:rFonts w:hint="eastAsia"/>
        </w:rPr>
        <w:t>4.</w:t>
      </w:r>
      <w:r>
        <w:rPr>
          <w:rFonts w:hint="eastAsia"/>
        </w:rPr>
        <w:tab/>
      </w:r>
      <w:r>
        <w:rPr>
          <w:rFonts w:hint="eastAsia"/>
        </w:rPr>
        <w:t>虽然《公约》的规定优先于国内法，但委员会注意到《宪法》并未明文规定《公约》的地位。它还注意到，在伊斯兰教法与《公约》规定不一致的情况下，《公约》的优先地位未得到明文承认。委员会又注意到，现行的《个人地位法》反映的是伊斯兰教法，适用于所有约旦人，无论其信奉何种宗教</w:t>
      </w:r>
      <w:r>
        <w:rPr>
          <w:rFonts w:hint="eastAsia"/>
        </w:rPr>
        <w:t>(</w:t>
      </w:r>
      <w:r>
        <w:rPr>
          <w:rFonts w:hint="eastAsia"/>
        </w:rPr>
        <w:t>第二条</w:t>
      </w:r>
      <w:r>
        <w:rPr>
          <w:rFonts w:hint="eastAsia"/>
        </w:rPr>
        <w:t>)</w:t>
      </w:r>
      <w:r>
        <w:rPr>
          <w:rFonts w:hint="eastAsia"/>
        </w:rPr>
        <w:t>。</w:t>
      </w:r>
    </w:p>
    <w:p w:rsidR="007C2330" w:rsidRPr="005A00C6" w:rsidRDefault="007C2330" w:rsidP="007C2330">
      <w:pPr>
        <w:pStyle w:val="SingleTxtGC"/>
        <w:rPr>
          <w:rFonts w:ascii="Time New Roman" w:eastAsia="黑体" w:hAnsi="Time New Roman" w:hint="eastAsia"/>
        </w:rPr>
      </w:pPr>
      <w:r w:rsidRPr="005A00C6">
        <w:rPr>
          <w:rFonts w:ascii="Time New Roman" w:eastAsia="黑体" w:hAnsi="Time New Roman" w:hint="eastAsia"/>
        </w:rPr>
        <w:t>5.</w:t>
      </w:r>
      <w:r w:rsidRPr="005A00C6">
        <w:rPr>
          <w:rFonts w:ascii="Time New Roman" w:eastAsia="黑体" w:hAnsi="Time New Roman" w:hint="eastAsia"/>
        </w:rPr>
        <w:tab/>
      </w:r>
      <w:r w:rsidRPr="005A00C6">
        <w:rPr>
          <w:rFonts w:ascii="Time New Roman" w:eastAsia="黑体" w:hAnsi="Time New Roman" w:hint="eastAsia"/>
        </w:rPr>
        <w:t>缔约国应在其国内法律秩序中全面适用《公约》，并确保遵照其在《公约》下承担的义务解释和适用国内法，包括基于伊斯兰教法的国内法。此外，缔约国应进一步努力，提高法官、检察官、司法官员和律师对《公约》的认识。缔约国应考虑制定一项适用于约旦所有公民和居民的统一的个人地位法，无论其信奉何种宗教。缔约国还应考虑加入《公约任择议定书》。</w:t>
      </w:r>
    </w:p>
    <w:p w:rsidR="007C2330" w:rsidRDefault="007C2330" w:rsidP="001E179E">
      <w:pPr>
        <w:pStyle w:val="H23GC"/>
      </w:pPr>
      <w:r>
        <w:rPr>
          <w:rFonts w:hint="eastAsia"/>
        </w:rPr>
        <w:tab/>
      </w:r>
      <w:r>
        <w:rPr>
          <w:rFonts w:hint="eastAsia"/>
        </w:rPr>
        <w:tab/>
      </w:r>
      <w:r>
        <w:rPr>
          <w:rFonts w:hint="eastAsia"/>
        </w:rPr>
        <w:t>国家人权机构</w:t>
      </w:r>
    </w:p>
    <w:p w:rsidR="007C2330" w:rsidRDefault="007C2330" w:rsidP="007C2330">
      <w:pPr>
        <w:pStyle w:val="SingleTxtGC"/>
      </w:pPr>
      <w:r>
        <w:rPr>
          <w:rFonts w:hint="eastAsia"/>
        </w:rPr>
        <w:t>6.</w:t>
      </w:r>
      <w:r>
        <w:rPr>
          <w:rFonts w:hint="eastAsia"/>
        </w:rPr>
        <w:tab/>
      </w:r>
      <w:r>
        <w:rPr>
          <w:rFonts w:hint="eastAsia"/>
        </w:rPr>
        <w:t>委员会欢迎国家人权中心的职权范围有所扩大，其成员的独立性得到强化，而且在</w:t>
      </w:r>
      <w:r>
        <w:rPr>
          <w:rFonts w:hint="eastAsia"/>
        </w:rPr>
        <w:t>2016</w:t>
      </w:r>
      <w:r>
        <w:rPr>
          <w:rFonts w:hint="eastAsia"/>
        </w:rPr>
        <w:t>年被国家人权机构全球联盟重新认证为“</w:t>
      </w:r>
      <w:r>
        <w:rPr>
          <w:rFonts w:hint="eastAsia"/>
        </w:rPr>
        <w:t>A</w:t>
      </w:r>
      <w:r>
        <w:rPr>
          <w:rFonts w:hint="eastAsia"/>
        </w:rPr>
        <w:t>”类国家人权机构。但委员会感到关切的是，没有为该中心提供适足的资源，使其能够切实履行其职责。</w:t>
      </w:r>
      <w:r>
        <w:rPr>
          <w:rFonts w:hint="eastAsia"/>
        </w:rPr>
        <w:t>(</w:t>
      </w:r>
      <w:r>
        <w:rPr>
          <w:rFonts w:hint="eastAsia"/>
        </w:rPr>
        <w:t>第二条</w:t>
      </w:r>
      <w:r>
        <w:rPr>
          <w:rFonts w:hint="eastAsia"/>
        </w:rPr>
        <w:t>)</w:t>
      </w:r>
      <w:r>
        <w:rPr>
          <w:rFonts w:hint="eastAsia"/>
        </w:rPr>
        <w:t>。</w:t>
      </w:r>
    </w:p>
    <w:p w:rsidR="007C2330" w:rsidRPr="000A7982" w:rsidRDefault="007C2330" w:rsidP="007C2330">
      <w:pPr>
        <w:pStyle w:val="SingleTxtGC"/>
        <w:rPr>
          <w:rFonts w:ascii="Time New Roman" w:eastAsia="黑体" w:hAnsi="Time New Roman" w:hint="eastAsia"/>
        </w:rPr>
      </w:pPr>
      <w:r w:rsidRPr="000A7982">
        <w:rPr>
          <w:rFonts w:ascii="Time New Roman" w:eastAsia="黑体" w:hAnsi="Time New Roman" w:hint="eastAsia"/>
        </w:rPr>
        <w:t>7.</w:t>
      </w:r>
      <w:r w:rsidRPr="000A7982">
        <w:rPr>
          <w:rFonts w:ascii="Time New Roman" w:eastAsia="黑体" w:hAnsi="Time New Roman" w:hint="eastAsia"/>
        </w:rPr>
        <w:tab/>
      </w:r>
      <w:r w:rsidRPr="000A7982">
        <w:rPr>
          <w:rFonts w:ascii="Time New Roman" w:eastAsia="黑体" w:hAnsi="Time New Roman" w:hint="eastAsia"/>
        </w:rPr>
        <w:t>缔约国应当为国家人权中心提供必要的人力资源和财政资源，使其能够履行其职责，并应制定接收和处理关于人权遭受侵犯的申诉的明确程序。</w:t>
      </w:r>
    </w:p>
    <w:p w:rsidR="007C2330" w:rsidRDefault="007C2330" w:rsidP="001E179E">
      <w:pPr>
        <w:pStyle w:val="H23GC"/>
      </w:pPr>
      <w:r>
        <w:rPr>
          <w:rFonts w:hint="eastAsia"/>
        </w:rPr>
        <w:tab/>
      </w:r>
      <w:r>
        <w:rPr>
          <w:rFonts w:hint="eastAsia"/>
        </w:rPr>
        <w:tab/>
      </w:r>
      <w:r>
        <w:rPr>
          <w:rFonts w:hint="eastAsia"/>
        </w:rPr>
        <w:t>不歧视和平等</w:t>
      </w:r>
    </w:p>
    <w:p w:rsidR="007C2330" w:rsidRDefault="007C2330" w:rsidP="007C2330">
      <w:pPr>
        <w:pStyle w:val="SingleTxtGC"/>
      </w:pPr>
      <w:r>
        <w:rPr>
          <w:rFonts w:hint="eastAsia"/>
        </w:rPr>
        <w:t>8.</w:t>
      </w:r>
      <w:r>
        <w:rPr>
          <w:rFonts w:hint="eastAsia"/>
        </w:rPr>
        <w:tab/>
      </w:r>
      <w:r>
        <w:rPr>
          <w:rFonts w:hint="eastAsia"/>
        </w:rPr>
        <w:t>尽管《宪法》第</w:t>
      </w:r>
      <w:r>
        <w:rPr>
          <w:rFonts w:hint="eastAsia"/>
        </w:rPr>
        <w:t>6</w:t>
      </w:r>
      <w:r>
        <w:rPr>
          <w:rFonts w:hint="eastAsia"/>
        </w:rPr>
        <w:t>条第</w:t>
      </w:r>
      <w:r>
        <w:rPr>
          <w:rFonts w:hint="eastAsia"/>
        </w:rPr>
        <w:t>1</w:t>
      </w:r>
      <w:r>
        <w:rPr>
          <w:rFonts w:hint="eastAsia"/>
        </w:rPr>
        <w:t>款规定法律面前人人平等，但委员会感到遗憾的是，尚未制定全面的法律来禁止基于《公约》中载明的包括性别、性取向和性别认同在内的所有理由的歧视行为。它还关注《个人地位法》的歧视性规定影响到妇女的平等权利。它特别关切的是：未满</w:t>
      </w:r>
      <w:r>
        <w:rPr>
          <w:rFonts w:hint="eastAsia"/>
        </w:rPr>
        <w:t>18</w:t>
      </w:r>
      <w:r>
        <w:rPr>
          <w:rFonts w:hint="eastAsia"/>
        </w:rPr>
        <w:t>岁女孩的早婚现象；允许</w:t>
      </w:r>
      <w:proofErr w:type="gramStart"/>
      <w:r>
        <w:rPr>
          <w:rFonts w:hint="eastAsia"/>
        </w:rPr>
        <w:t>一</w:t>
      </w:r>
      <w:proofErr w:type="gramEnd"/>
      <w:r>
        <w:rPr>
          <w:rFonts w:hint="eastAsia"/>
        </w:rPr>
        <w:t>夫多妻；继承问题；和约旦妇女不能把国籍传给子女</w:t>
      </w:r>
      <w:r>
        <w:rPr>
          <w:rFonts w:hint="eastAsia"/>
        </w:rPr>
        <w:t>(</w:t>
      </w:r>
      <w:r>
        <w:rPr>
          <w:rFonts w:hint="eastAsia"/>
        </w:rPr>
        <w:t>第二、第三、第二十三、第二十四和第二十六条</w:t>
      </w:r>
      <w:r>
        <w:rPr>
          <w:rFonts w:hint="eastAsia"/>
        </w:rPr>
        <w:t>)</w:t>
      </w:r>
      <w:r>
        <w:rPr>
          <w:rFonts w:hint="eastAsia"/>
        </w:rPr>
        <w:t>。</w:t>
      </w:r>
    </w:p>
    <w:p w:rsidR="007C2330" w:rsidRPr="000A7982" w:rsidRDefault="007C2330" w:rsidP="007C2330">
      <w:pPr>
        <w:pStyle w:val="SingleTxtGC"/>
        <w:rPr>
          <w:rFonts w:ascii="Time New Roman" w:eastAsia="黑体" w:hAnsi="Time New Roman" w:hint="eastAsia"/>
        </w:rPr>
      </w:pPr>
      <w:r w:rsidRPr="000A7982">
        <w:rPr>
          <w:rFonts w:ascii="Time New Roman" w:eastAsia="黑体" w:hAnsi="Time New Roman" w:hint="eastAsia"/>
        </w:rPr>
        <w:t>9.</w:t>
      </w:r>
      <w:r w:rsidRPr="000A7982">
        <w:rPr>
          <w:rFonts w:ascii="Time New Roman" w:eastAsia="黑体" w:hAnsi="Time New Roman" w:hint="eastAsia"/>
        </w:rPr>
        <w:tab/>
      </w:r>
      <w:r w:rsidRPr="000A7982">
        <w:rPr>
          <w:rFonts w:ascii="Time New Roman" w:eastAsia="黑体" w:hAnsi="Time New Roman" w:hint="eastAsia"/>
        </w:rPr>
        <w:t>缔约国应采取一切必要措施，确保其法律框架全面涵盖歧视理由，包括性别、性取向和性别认同，并使其法律，包括《个人地位法》，与《公约》相符。缔约国应采取步骤，确保妇女在法律上和实际上不受任何形式的歧视，包括在结婚、离婚、继承或国籍传给子女或配偶等事项上。它应继续加大努力，解决歧视性传统和习俗问题，包括早婚和</w:t>
      </w:r>
      <w:proofErr w:type="gramStart"/>
      <w:r w:rsidRPr="000A7982">
        <w:rPr>
          <w:rFonts w:ascii="Time New Roman" w:eastAsia="黑体" w:hAnsi="Time New Roman" w:hint="eastAsia"/>
        </w:rPr>
        <w:t>一</w:t>
      </w:r>
      <w:proofErr w:type="gramEnd"/>
      <w:r w:rsidRPr="000A7982">
        <w:rPr>
          <w:rFonts w:ascii="Time New Roman" w:eastAsia="黑体" w:hAnsi="Time New Roman" w:hint="eastAsia"/>
        </w:rPr>
        <w:t>夫多妻。缔约国应开展宣传运动，以促进两性平等和不歧视。</w:t>
      </w:r>
    </w:p>
    <w:p w:rsidR="007C2330" w:rsidRDefault="007C2330" w:rsidP="001E179E">
      <w:pPr>
        <w:pStyle w:val="H23GC"/>
      </w:pPr>
      <w:r>
        <w:rPr>
          <w:rFonts w:hint="eastAsia"/>
        </w:rPr>
        <w:tab/>
      </w:r>
      <w:r>
        <w:rPr>
          <w:rFonts w:hint="eastAsia"/>
        </w:rPr>
        <w:tab/>
      </w:r>
      <w:r>
        <w:rPr>
          <w:rFonts w:hint="eastAsia"/>
        </w:rPr>
        <w:t>暴力侵害妇女，包括家庭暴力</w:t>
      </w:r>
    </w:p>
    <w:p w:rsidR="007C2330" w:rsidRDefault="007C2330" w:rsidP="007C2330">
      <w:pPr>
        <w:pStyle w:val="SingleTxtGC"/>
      </w:pPr>
      <w:r>
        <w:rPr>
          <w:rFonts w:hint="eastAsia"/>
        </w:rPr>
        <w:t>10.</w:t>
      </w:r>
      <w:r>
        <w:rPr>
          <w:rFonts w:hint="eastAsia"/>
        </w:rPr>
        <w:tab/>
      </w:r>
      <w:r>
        <w:rPr>
          <w:rFonts w:hint="eastAsia"/>
        </w:rPr>
        <w:t>委员会欣慰地注意到，颁布了防止家庭暴力的法律和撤销了允许迎娶受害人以逃避强奸罪责的《刑法》第</w:t>
      </w:r>
      <w:r>
        <w:rPr>
          <w:rFonts w:hint="eastAsia"/>
        </w:rPr>
        <w:t>308</w:t>
      </w:r>
      <w:r>
        <w:rPr>
          <w:rFonts w:hint="eastAsia"/>
        </w:rPr>
        <w:t>条，但委员会仍感关切的是，《刑法》第</w:t>
      </w:r>
      <w:r>
        <w:rPr>
          <w:rFonts w:hint="eastAsia"/>
        </w:rPr>
        <w:t>292</w:t>
      </w:r>
      <w:r>
        <w:rPr>
          <w:rFonts w:hint="eastAsia"/>
        </w:rPr>
        <w:t>条作了例外规定，没有把未经同意的婚内性行为定为罪行。委员会还感到关切的是，《刑法》第</w:t>
      </w:r>
      <w:r>
        <w:rPr>
          <w:rFonts w:hint="eastAsia"/>
        </w:rPr>
        <w:t>98</w:t>
      </w:r>
      <w:r>
        <w:rPr>
          <w:rFonts w:hint="eastAsia"/>
        </w:rPr>
        <w:t>条规定，经受害人家属同意，谋杀罪可以减刑。它还对以保护妇女免遭暴力或名誉犯罪侵害为名而采取诸如保护性拘留一类保护性措施的政</w:t>
      </w:r>
      <w:r w:rsidRPr="005164FE">
        <w:rPr>
          <w:rFonts w:hint="eastAsia"/>
          <w:spacing w:val="4"/>
        </w:rPr>
        <w:t>策感到关切。委员会注意到，在实际解决家庭暴力方面，尚待努力之处仍多</w:t>
      </w:r>
      <w:r w:rsidRPr="005164FE">
        <w:rPr>
          <w:rFonts w:hint="eastAsia"/>
          <w:spacing w:val="4"/>
        </w:rPr>
        <w:t>(</w:t>
      </w:r>
      <w:r w:rsidRPr="005164FE">
        <w:rPr>
          <w:rFonts w:hint="eastAsia"/>
          <w:spacing w:val="4"/>
        </w:rPr>
        <w:t>第</w:t>
      </w:r>
      <w:r>
        <w:rPr>
          <w:rFonts w:hint="eastAsia"/>
        </w:rPr>
        <w:t>二、第三、第六、第七和第二十六条</w:t>
      </w:r>
      <w:r>
        <w:rPr>
          <w:rFonts w:hint="eastAsia"/>
        </w:rPr>
        <w:t>)</w:t>
      </w:r>
      <w:r>
        <w:rPr>
          <w:rFonts w:hint="eastAsia"/>
        </w:rPr>
        <w:t>。</w:t>
      </w:r>
    </w:p>
    <w:p w:rsidR="007C2330" w:rsidRPr="00B23158" w:rsidRDefault="007C2330" w:rsidP="007C2330">
      <w:pPr>
        <w:pStyle w:val="SingleTxtGC"/>
        <w:rPr>
          <w:rFonts w:ascii="Time New Roman" w:eastAsia="黑体" w:hAnsi="Time New Roman" w:hint="eastAsia"/>
        </w:rPr>
      </w:pPr>
      <w:r w:rsidRPr="00B23158">
        <w:rPr>
          <w:rFonts w:ascii="Time New Roman" w:eastAsia="黑体" w:hAnsi="Time New Roman" w:hint="eastAsia"/>
        </w:rPr>
        <w:t>11.</w:t>
      </w:r>
      <w:r w:rsidRPr="00B23158">
        <w:rPr>
          <w:rFonts w:ascii="Time New Roman" w:eastAsia="黑体" w:hAnsi="Time New Roman" w:hint="eastAsia"/>
        </w:rPr>
        <w:tab/>
      </w:r>
      <w:r w:rsidRPr="00B23158">
        <w:rPr>
          <w:rFonts w:ascii="Time New Roman" w:eastAsia="黑体" w:hAnsi="Time New Roman" w:hint="eastAsia"/>
        </w:rPr>
        <w:t>缔约国应：</w:t>
      </w:r>
    </w:p>
    <w:p w:rsidR="007C2330" w:rsidRPr="00B23158" w:rsidRDefault="007C2330" w:rsidP="005164FE">
      <w:pPr>
        <w:pStyle w:val="SingleTxtGC"/>
        <w:numPr>
          <w:ilvl w:val="0"/>
          <w:numId w:val="8"/>
        </w:numPr>
        <w:rPr>
          <w:rFonts w:ascii="Time New Roman" w:eastAsia="黑体" w:hAnsi="Time New Roman" w:hint="eastAsia"/>
        </w:rPr>
      </w:pPr>
      <w:r w:rsidRPr="00B23158">
        <w:rPr>
          <w:rFonts w:ascii="Time New Roman" w:eastAsia="黑体" w:hAnsi="Time New Roman" w:hint="eastAsia"/>
        </w:rPr>
        <w:t>加强保护妇女免遭家庭暴力的法律框架，特别是修正《刑法》第</w:t>
      </w:r>
      <w:r w:rsidRPr="00B23158">
        <w:rPr>
          <w:rFonts w:ascii="Time New Roman" w:eastAsia="黑体" w:hAnsi="Time New Roman" w:hint="eastAsia"/>
        </w:rPr>
        <w:t>292</w:t>
      </w:r>
      <w:r w:rsidRPr="00B23158">
        <w:rPr>
          <w:rFonts w:ascii="Time New Roman" w:eastAsia="黑体" w:hAnsi="Time New Roman" w:hint="eastAsia"/>
        </w:rPr>
        <w:t>条，将婚内强奸定为罪行，并撤销名誉犯罪减轻处罚的条件；</w:t>
      </w:r>
    </w:p>
    <w:p w:rsidR="007C2330" w:rsidRPr="00B23158" w:rsidRDefault="007C2330" w:rsidP="005164FE">
      <w:pPr>
        <w:pStyle w:val="SingleTxtGC"/>
        <w:numPr>
          <w:ilvl w:val="0"/>
          <w:numId w:val="8"/>
        </w:numPr>
        <w:rPr>
          <w:rFonts w:ascii="Time New Roman" w:eastAsia="黑体" w:hAnsi="Time New Roman" w:hint="eastAsia"/>
        </w:rPr>
      </w:pPr>
      <w:r w:rsidRPr="00B23158">
        <w:rPr>
          <w:rFonts w:ascii="Time New Roman" w:eastAsia="黑体" w:hAnsi="Time New Roman" w:hint="eastAsia"/>
        </w:rPr>
        <w:t>修正其保护性拘留政策，并采取一切适当措施，确保躲避家庭暴力的妇女能够得到收容和支助而不致有失去自由之虞；</w:t>
      </w:r>
    </w:p>
    <w:p w:rsidR="007C2330" w:rsidRPr="00B23158" w:rsidRDefault="007C2330" w:rsidP="005164FE">
      <w:pPr>
        <w:pStyle w:val="SingleTxtGC"/>
        <w:numPr>
          <w:ilvl w:val="0"/>
          <w:numId w:val="8"/>
        </w:numPr>
        <w:rPr>
          <w:rFonts w:ascii="Time New Roman" w:eastAsia="黑体" w:hAnsi="Time New Roman" w:hint="eastAsia"/>
        </w:rPr>
      </w:pPr>
      <w:r w:rsidRPr="00B23158">
        <w:rPr>
          <w:rFonts w:ascii="Time New Roman" w:eastAsia="黑体" w:hAnsi="Time New Roman" w:hint="eastAsia"/>
        </w:rPr>
        <w:t>制定和实施对执法官员、法官、检察官和律师及各省与家庭保护有关的部门雇员进行培训的更有效方案，并向家庭暴力受害人提供援助；</w:t>
      </w:r>
    </w:p>
    <w:p w:rsidR="007C2330" w:rsidRPr="00B23158" w:rsidRDefault="007C2330" w:rsidP="005164FE">
      <w:pPr>
        <w:pStyle w:val="SingleTxtGC"/>
        <w:numPr>
          <w:ilvl w:val="0"/>
          <w:numId w:val="8"/>
        </w:numPr>
        <w:rPr>
          <w:rFonts w:ascii="Time New Roman" w:eastAsia="黑体" w:hAnsi="Time New Roman" w:hint="eastAsia"/>
        </w:rPr>
      </w:pPr>
      <w:r w:rsidRPr="00B23158">
        <w:rPr>
          <w:rFonts w:ascii="Time New Roman" w:eastAsia="黑体" w:hAnsi="Time New Roman" w:hint="eastAsia"/>
        </w:rPr>
        <w:t>开展宣传运动，以制止暴力侵害妇女，包括家庭暴力，对暴力侵害妇女的根本原因进行研究，并立足于这类研究加大宣传努力，以防止和消除暴力侵害妇女的行为。</w:t>
      </w:r>
    </w:p>
    <w:p w:rsidR="007C2330" w:rsidRDefault="007C2330" w:rsidP="001E179E">
      <w:pPr>
        <w:pStyle w:val="H23GC"/>
      </w:pPr>
      <w:r>
        <w:rPr>
          <w:rFonts w:hint="eastAsia"/>
        </w:rPr>
        <w:tab/>
      </w:r>
      <w:r>
        <w:rPr>
          <w:rFonts w:hint="eastAsia"/>
        </w:rPr>
        <w:tab/>
      </w:r>
      <w:r>
        <w:rPr>
          <w:rFonts w:hint="eastAsia"/>
        </w:rPr>
        <w:t>反恐措施</w:t>
      </w:r>
    </w:p>
    <w:p w:rsidR="007C2330" w:rsidRDefault="007C2330" w:rsidP="007C2330">
      <w:pPr>
        <w:pStyle w:val="SingleTxtGC"/>
      </w:pPr>
      <w:r>
        <w:rPr>
          <w:rFonts w:hint="eastAsia"/>
        </w:rPr>
        <w:t>12.</w:t>
      </w:r>
      <w:r>
        <w:rPr>
          <w:rFonts w:hint="eastAsia"/>
        </w:rPr>
        <w:tab/>
      </w:r>
      <w:r>
        <w:rPr>
          <w:rFonts w:hint="eastAsia"/>
        </w:rPr>
        <w:t>委员会关注</w:t>
      </w:r>
      <w:r>
        <w:rPr>
          <w:rFonts w:hint="eastAsia"/>
        </w:rPr>
        <w:t>2006</w:t>
      </w:r>
      <w:r>
        <w:rPr>
          <w:rFonts w:hint="eastAsia"/>
        </w:rPr>
        <w:t>年的《防止恐怖主义法》，包括</w:t>
      </w:r>
      <w:r>
        <w:rPr>
          <w:rFonts w:hint="eastAsia"/>
        </w:rPr>
        <w:t>2014</w:t>
      </w:r>
      <w:r>
        <w:rPr>
          <w:rFonts w:hint="eastAsia"/>
        </w:rPr>
        <w:t>年所作的修正，后者扩大了恐怖主义的定义，将扰乱公共秩序、破坏和谐的行为以及支持或传播恐怖主义团体观点的网上活动等也涵盖在内。这样的笼统规定使当局得以拘留并起诉行使其言论自由与和平集会权利的人。委员会特别感到关切的是，这种宽泛的恐怖主义定义是更广泛的一组安全措施的一部分，诸如警方和情报部门有权进行逮捕和拘留以及将嫌疑人送交国家安全法院，而该法院的法官是由行政部门任命的</w:t>
      </w:r>
      <w:r>
        <w:rPr>
          <w:rFonts w:hint="eastAsia"/>
        </w:rPr>
        <w:t>(</w:t>
      </w:r>
      <w:r>
        <w:rPr>
          <w:rFonts w:hint="eastAsia"/>
        </w:rPr>
        <w:t>第二、第九、第十四、第十九和第二十一条</w:t>
      </w:r>
      <w:r>
        <w:rPr>
          <w:rFonts w:hint="eastAsia"/>
        </w:rPr>
        <w:t>)</w:t>
      </w:r>
      <w:r>
        <w:rPr>
          <w:rFonts w:hint="eastAsia"/>
        </w:rPr>
        <w:t>。</w:t>
      </w:r>
    </w:p>
    <w:p w:rsidR="007C2330" w:rsidRPr="00B23158" w:rsidRDefault="007C2330" w:rsidP="007C2330">
      <w:pPr>
        <w:pStyle w:val="SingleTxtGC"/>
        <w:rPr>
          <w:rFonts w:ascii="Time New Roman" w:eastAsia="黑体" w:hAnsi="Time New Roman" w:hint="eastAsia"/>
        </w:rPr>
      </w:pPr>
      <w:r w:rsidRPr="00B23158">
        <w:rPr>
          <w:rFonts w:ascii="Time New Roman" w:eastAsia="黑体" w:hAnsi="Time New Roman" w:hint="eastAsia"/>
        </w:rPr>
        <w:t>13.</w:t>
      </w:r>
      <w:r w:rsidRPr="00B23158">
        <w:rPr>
          <w:rFonts w:ascii="Time New Roman" w:eastAsia="黑体" w:hAnsi="Time New Roman" w:hint="eastAsia"/>
        </w:rPr>
        <w:tab/>
      </w:r>
      <w:r w:rsidRPr="00B23158">
        <w:rPr>
          <w:rFonts w:ascii="Time New Roman" w:eastAsia="黑体" w:hAnsi="Time New Roman" w:hint="eastAsia"/>
        </w:rPr>
        <w:t>缔约国应：</w:t>
      </w:r>
    </w:p>
    <w:p w:rsidR="007C2330" w:rsidRPr="00B23158" w:rsidRDefault="007C2330" w:rsidP="007C2330">
      <w:pPr>
        <w:pStyle w:val="SingleTxtGC"/>
        <w:rPr>
          <w:rFonts w:ascii="Time New Roman" w:eastAsia="黑体" w:hAnsi="Time New Roman" w:hint="eastAsia"/>
        </w:rPr>
      </w:pPr>
      <w:r w:rsidRPr="00B23158">
        <w:rPr>
          <w:rFonts w:ascii="Time New Roman" w:eastAsia="黑体" w:hAnsi="Time New Roman" w:hint="eastAsia"/>
        </w:rPr>
        <w:tab/>
        <w:t>(a)</w:t>
      </w:r>
      <w:r w:rsidRPr="00B23158">
        <w:rPr>
          <w:rFonts w:ascii="Time New Roman" w:eastAsia="黑体" w:hAnsi="Time New Roman" w:hint="eastAsia"/>
        </w:rPr>
        <w:tab/>
      </w:r>
      <w:r w:rsidRPr="00B23158">
        <w:rPr>
          <w:rFonts w:ascii="Time New Roman" w:eastAsia="黑体" w:hAnsi="Time New Roman" w:hint="eastAsia"/>
        </w:rPr>
        <w:t>审查《防止恐怖主义法》，以确保其恐怖主义和恐怖主义行为的定义与《公约》和国际标准相符；</w:t>
      </w:r>
    </w:p>
    <w:p w:rsidR="007C2330" w:rsidRPr="00B23158" w:rsidRDefault="007C2330" w:rsidP="007C2330">
      <w:pPr>
        <w:pStyle w:val="SingleTxtGC"/>
        <w:rPr>
          <w:rFonts w:ascii="Time New Roman" w:eastAsia="黑体" w:hAnsi="Time New Roman" w:hint="eastAsia"/>
        </w:rPr>
      </w:pPr>
      <w:r w:rsidRPr="00B23158">
        <w:rPr>
          <w:rFonts w:ascii="Time New Roman" w:eastAsia="黑体" w:hAnsi="Time New Roman" w:hint="eastAsia"/>
        </w:rPr>
        <w:tab/>
        <w:t>(b)</w:t>
      </w:r>
      <w:r w:rsidRPr="00B23158">
        <w:rPr>
          <w:rFonts w:ascii="Time New Roman" w:eastAsia="黑体" w:hAnsi="Time New Roman" w:hint="eastAsia"/>
        </w:rPr>
        <w:tab/>
      </w:r>
      <w:r w:rsidRPr="00B23158">
        <w:rPr>
          <w:rFonts w:ascii="Time New Roman" w:eastAsia="黑体" w:hAnsi="Time New Roman" w:hint="eastAsia"/>
        </w:rPr>
        <w:t>确保被拘留者交由民事当局处置并享有所有基本法律保障；</w:t>
      </w:r>
    </w:p>
    <w:p w:rsidR="007C2330" w:rsidRPr="00B23158" w:rsidRDefault="007C2330" w:rsidP="007C2330">
      <w:pPr>
        <w:pStyle w:val="SingleTxtGC"/>
        <w:rPr>
          <w:rFonts w:ascii="Time New Roman" w:eastAsia="黑体" w:hAnsi="Time New Roman" w:hint="eastAsia"/>
        </w:rPr>
      </w:pPr>
      <w:r w:rsidRPr="00B23158">
        <w:rPr>
          <w:rFonts w:ascii="Time New Roman" w:eastAsia="黑体" w:hAnsi="Time New Roman" w:hint="eastAsia"/>
        </w:rPr>
        <w:tab/>
        <w:t>(c)</w:t>
      </w:r>
      <w:r w:rsidRPr="00B23158">
        <w:rPr>
          <w:rFonts w:ascii="Time New Roman" w:eastAsia="黑体" w:hAnsi="Time New Roman" w:hint="eastAsia"/>
        </w:rPr>
        <w:tab/>
      </w:r>
      <w:r w:rsidRPr="00B23158">
        <w:rPr>
          <w:rFonts w:ascii="Time New Roman" w:eastAsia="黑体" w:hAnsi="Time New Roman" w:hint="eastAsia"/>
        </w:rPr>
        <w:t>确保嫌疑人交由普通民事法院审理，并充分遵守正当程序要求。</w:t>
      </w:r>
    </w:p>
    <w:p w:rsidR="007C2330" w:rsidRDefault="007C2330" w:rsidP="001E179E">
      <w:pPr>
        <w:pStyle w:val="H23GC"/>
      </w:pPr>
      <w:r>
        <w:rPr>
          <w:rFonts w:hint="eastAsia"/>
        </w:rPr>
        <w:tab/>
      </w:r>
      <w:r>
        <w:rPr>
          <w:rFonts w:hint="eastAsia"/>
        </w:rPr>
        <w:tab/>
      </w:r>
      <w:r>
        <w:rPr>
          <w:rFonts w:hint="eastAsia"/>
        </w:rPr>
        <w:t>死刑</w:t>
      </w:r>
    </w:p>
    <w:p w:rsidR="007C2330" w:rsidRDefault="007C2330" w:rsidP="007C2330">
      <w:pPr>
        <w:pStyle w:val="SingleTxtGC"/>
      </w:pPr>
      <w:r>
        <w:rPr>
          <w:rFonts w:hint="eastAsia"/>
        </w:rPr>
        <w:t>14.</w:t>
      </w:r>
      <w:r>
        <w:rPr>
          <w:rFonts w:hint="eastAsia"/>
        </w:rPr>
        <w:tab/>
      </w:r>
      <w:r>
        <w:rPr>
          <w:rFonts w:hint="eastAsia"/>
        </w:rPr>
        <w:t>委员会感到关切的是，据报告，缔约国最近曾于</w:t>
      </w:r>
      <w:r>
        <w:rPr>
          <w:rFonts w:hint="eastAsia"/>
        </w:rPr>
        <w:t>2014</w:t>
      </w:r>
      <w:r>
        <w:rPr>
          <w:rFonts w:hint="eastAsia"/>
        </w:rPr>
        <w:t>年和</w:t>
      </w:r>
      <w:r>
        <w:rPr>
          <w:rFonts w:hint="eastAsia"/>
        </w:rPr>
        <w:t>2017</w:t>
      </w:r>
      <w:r>
        <w:rPr>
          <w:rFonts w:hint="eastAsia"/>
        </w:rPr>
        <w:t>年数次执行死刑，结束了自</w:t>
      </w:r>
      <w:r>
        <w:rPr>
          <w:rFonts w:hint="eastAsia"/>
        </w:rPr>
        <w:t>2007</w:t>
      </w:r>
      <w:r>
        <w:rPr>
          <w:rFonts w:hint="eastAsia"/>
        </w:rPr>
        <w:t>年</w:t>
      </w:r>
      <w:r>
        <w:rPr>
          <w:rFonts w:hint="eastAsia"/>
        </w:rPr>
        <w:t>4</w:t>
      </w:r>
      <w:r>
        <w:rPr>
          <w:rFonts w:hint="eastAsia"/>
        </w:rPr>
        <w:t>月以来的事实上暂停处决的做法。它还感到关切的</w:t>
      </w:r>
      <w:r w:rsidRPr="00B23158">
        <w:rPr>
          <w:rFonts w:hint="eastAsia"/>
          <w:spacing w:val="4"/>
        </w:rPr>
        <w:t>是，国内法判处死刑的某些罪行未达到《公约》所指“最严重罪行”的门槛</w:t>
      </w:r>
      <w:r w:rsidRPr="00B23158">
        <w:rPr>
          <w:rFonts w:hint="eastAsia"/>
          <w:spacing w:val="4"/>
        </w:rPr>
        <w:t>(</w:t>
      </w:r>
      <w:r w:rsidRPr="00B23158">
        <w:rPr>
          <w:rFonts w:hint="eastAsia"/>
          <w:spacing w:val="4"/>
        </w:rPr>
        <w:t>第</w:t>
      </w:r>
      <w:r>
        <w:rPr>
          <w:rFonts w:hint="eastAsia"/>
        </w:rPr>
        <w:t>六条</w:t>
      </w:r>
      <w:r>
        <w:rPr>
          <w:rFonts w:hint="eastAsia"/>
        </w:rPr>
        <w:t>)</w:t>
      </w:r>
      <w:r>
        <w:rPr>
          <w:rFonts w:hint="eastAsia"/>
        </w:rPr>
        <w:t>。</w:t>
      </w:r>
    </w:p>
    <w:p w:rsidR="007C2330" w:rsidRPr="003E625B" w:rsidRDefault="007C2330" w:rsidP="007C2330">
      <w:pPr>
        <w:pStyle w:val="SingleTxtGC"/>
        <w:rPr>
          <w:rFonts w:ascii="Time New Roman" w:eastAsia="黑体" w:hAnsi="Time New Roman" w:hint="eastAsia"/>
          <w:spacing w:val="-4"/>
        </w:rPr>
      </w:pPr>
      <w:r w:rsidRPr="003E625B">
        <w:rPr>
          <w:rFonts w:ascii="Time New Roman" w:eastAsia="黑体" w:hAnsi="Time New Roman" w:hint="eastAsia"/>
        </w:rPr>
        <w:t>15.</w:t>
      </w:r>
      <w:r w:rsidRPr="003E625B">
        <w:rPr>
          <w:rFonts w:ascii="Time New Roman" w:eastAsia="黑体" w:hAnsi="Time New Roman" w:hint="eastAsia"/>
        </w:rPr>
        <w:tab/>
      </w:r>
      <w:r w:rsidRPr="003E625B">
        <w:rPr>
          <w:rFonts w:ascii="Time New Roman" w:eastAsia="黑体" w:hAnsi="Time New Roman" w:hint="eastAsia"/>
        </w:rPr>
        <w:t>缔约国应采取一切必要措施，确保死刑只限于涉及蓄意杀害的最严重罪行。</w:t>
      </w:r>
      <w:r w:rsidRPr="003E625B">
        <w:rPr>
          <w:rFonts w:ascii="Time New Roman" w:eastAsia="黑体" w:hAnsi="Time New Roman" w:hint="eastAsia"/>
          <w:spacing w:val="-4"/>
        </w:rPr>
        <w:t>它还应考虑恢复其暂停死刑的做法并批准旨在废除死刑的《公约第二项议定书》。</w:t>
      </w:r>
    </w:p>
    <w:p w:rsidR="007C2330" w:rsidRDefault="007C2330" w:rsidP="001E179E">
      <w:pPr>
        <w:pStyle w:val="H23GC"/>
      </w:pPr>
      <w:r>
        <w:rPr>
          <w:rFonts w:hint="eastAsia"/>
        </w:rPr>
        <w:tab/>
      </w:r>
      <w:r>
        <w:rPr>
          <w:rFonts w:hint="eastAsia"/>
        </w:rPr>
        <w:tab/>
      </w:r>
      <w:r>
        <w:rPr>
          <w:rFonts w:hint="eastAsia"/>
        </w:rPr>
        <w:t>酷刑和虐待</w:t>
      </w:r>
    </w:p>
    <w:p w:rsidR="007C2330" w:rsidRDefault="007C2330" w:rsidP="007C2330">
      <w:pPr>
        <w:pStyle w:val="SingleTxtGC"/>
      </w:pPr>
      <w:r>
        <w:rPr>
          <w:rFonts w:hint="eastAsia"/>
        </w:rPr>
        <w:t>16.</w:t>
      </w:r>
      <w:r>
        <w:rPr>
          <w:rFonts w:hint="eastAsia"/>
        </w:rPr>
        <w:tab/>
      </w:r>
      <w:r>
        <w:rPr>
          <w:rFonts w:hint="eastAsia"/>
        </w:rPr>
        <w:t>委员会承认</w:t>
      </w:r>
      <w:r>
        <w:rPr>
          <w:rFonts w:hint="eastAsia"/>
        </w:rPr>
        <w:t>2011</w:t>
      </w:r>
      <w:r>
        <w:rPr>
          <w:rFonts w:hint="eastAsia"/>
        </w:rPr>
        <w:t>年对《宪法》所作的修正提及禁止酷刑，但注意到《刑法》第</w:t>
      </w:r>
      <w:r>
        <w:rPr>
          <w:rFonts w:hint="eastAsia"/>
        </w:rPr>
        <w:t>208</w:t>
      </w:r>
      <w:r>
        <w:rPr>
          <w:rFonts w:hint="eastAsia"/>
        </w:rPr>
        <w:t>条中的酷刑定义未充分保证国际公认的酷刑定义所涵盖的所有行为和行为人都属于罪行和罪犯。在这方面，委员会注意到《公共安全法》第</w:t>
      </w:r>
      <w:r>
        <w:rPr>
          <w:rFonts w:hint="eastAsia"/>
        </w:rPr>
        <w:t>81</w:t>
      </w:r>
      <w:r>
        <w:rPr>
          <w:rFonts w:hint="eastAsia"/>
        </w:rPr>
        <w:t>条</w:t>
      </w:r>
      <w:r>
        <w:rPr>
          <w:rFonts w:hint="eastAsia"/>
        </w:rPr>
        <w:t>(c)</w:t>
      </w:r>
      <w:proofErr w:type="gramStart"/>
      <w:r>
        <w:rPr>
          <w:rFonts w:hint="eastAsia"/>
        </w:rPr>
        <w:t>项允许</w:t>
      </w:r>
      <w:proofErr w:type="gramEnd"/>
      <w:r>
        <w:rPr>
          <w:rFonts w:hint="eastAsia"/>
        </w:rPr>
        <w:t>公安厅厅长将酷刑行为定为轻罪，只判处三年以下徒刑。它还关切地注意到，没有一个可受理涉嫌酷刑或虐待案件的独立申诉机制，而且这类案件很少被调查和起诉</w:t>
      </w:r>
      <w:r>
        <w:rPr>
          <w:rFonts w:hint="eastAsia"/>
        </w:rPr>
        <w:t>(</w:t>
      </w:r>
      <w:r>
        <w:rPr>
          <w:rFonts w:hint="eastAsia"/>
        </w:rPr>
        <w:t>第二和第七条</w:t>
      </w:r>
      <w:r>
        <w:rPr>
          <w:rFonts w:hint="eastAsia"/>
        </w:rPr>
        <w:t>)</w:t>
      </w:r>
      <w:r>
        <w:rPr>
          <w:rFonts w:hint="eastAsia"/>
        </w:rPr>
        <w:t>。</w:t>
      </w:r>
    </w:p>
    <w:p w:rsidR="007C2330" w:rsidRPr="003E625B" w:rsidRDefault="007C2330" w:rsidP="007C2330">
      <w:pPr>
        <w:pStyle w:val="SingleTxtGC"/>
        <w:rPr>
          <w:rFonts w:ascii="Time New Roman" w:eastAsia="黑体" w:hAnsi="Time New Roman" w:hint="eastAsia"/>
        </w:rPr>
      </w:pPr>
      <w:r w:rsidRPr="003E625B">
        <w:rPr>
          <w:rFonts w:ascii="Time New Roman" w:eastAsia="黑体" w:hAnsi="Time New Roman" w:hint="eastAsia"/>
        </w:rPr>
        <w:t>17.</w:t>
      </w:r>
      <w:r w:rsidRPr="003E625B">
        <w:rPr>
          <w:rFonts w:ascii="Time New Roman" w:eastAsia="黑体" w:hAnsi="Time New Roman" w:hint="eastAsia"/>
        </w:rPr>
        <w:tab/>
      </w:r>
      <w:r w:rsidRPr="003E625B">
        <w:rPr>
          <w:rFonts w:ascii="Time New Roman" w:eastAsia="黑体" w:hAnsi="Time New Roman" w:hint="eastAsia"/>
        </w:rPr>
        <w:t>缔约国应：</w:t>
      </w:r>
    </w:p>
    <w:p w:rsidR="007C2330" w:rsidRPr="003E625B" w:rsidRDefault="007C2330" w:rsidP="007C2330">
      <w:pPr>
        <w:pStyle w:val="SingleTxtGC"/>
        <w:rPr>
          <w:rFonts w:ascii="Time New Roman" w:eastAsia="黑体" w:hAnsi="Time New Roman" w:hint="eastAsia"/>
        </w:rPr>
      </w:pPr>
      <w:r w:rsidRPr="003E625B">
        <w:rPr>
          <w:rFonts w:ascii="Time New Roman" w:eastAsia="黑体" w:hAnsi="Time New Roman" w:hint="eastAsia"/>
        </w:rPr>
        <w:tab/>
        <w:t>(a)</w:t>
      </w:r>
      <w:r w:rsidRPr="003E625B">
        <w:rPr>
          <w:rFonts w:ascii="Time New Roman" w:eastAsia="黑体" w:hAnsi="Time New Roman" w:hint="eastAsia"/>
        </w:rPr>
        <w:tab/>
      </w:r>
      <w:r w:rsidRPr="003E625B">
        <w:rPr>
          <w:rFonts w:ascii="Time New Roman" w:eastAsia="黑体" w:hAnsi="Time New Roman" w:hint="eastAsia"/>
        </w:rPr>
        <w:t>审查其刑事立法，以确保酷刑定义充分符合《公约》和国际标准，将绝对禁止酷刑的原则纳入国内法，而且对酷刑案件不适用追诉时效；</w:t>
      </w:r>
    </w:p>
    <w:p w:rsidR="007C2330" w:rsidRPr="003E625B" w:rsidRDefault="007C2330" w:rsidP="007C2330">
      <w:pPr>
        <w:pStyle w:val="SingleTxtGC"/>
        <w:rPr>
          <w:rFonts w:ascii="Time New Roman" w:eastAsia="黑体" w:hAnsi="Time New Roman" w:hint="eastAsia"/>
        </w:rPr>
      </w:pPr>
      <w:r w:rsidRPr="003E625B">
        <w:rPr>
          <w:rFonts w:ascii="Time New Roman" w:eastAsia="黑体" w:hAnsi="Time New Roman" w:hint="eastAsia"/>
        </w:rPr>
        <w:tab/>
        <w:t>(b)</w:t>
      </w:r>
      <w:r w:rsidRPr="003E625B">
        <w:rPr>
          <w:rFonts w:ascii="Time New Roman" w:eastAsia="黑体" w:hAnsi="Time New Roman" w:hint="eastAsia"/>
        </w:rPr>
        <w:tab/>
      </w:r>
      <w:r w:rsidRPr="003E625B">
        <w:rPr>
          <w:rFonts w:ascii="Time New Roman" w:eastAsia="黑体" w:hAnsi="Time New Roman" w:hint="eastAsia"/>
        </w:rPr>
        <w:t>按照酷刑的严重程度处罚这种罪行；</w:t>
      </w:r>
    </w:p>
    <w:p w:rsidR="007C2330" w:rsidRPr="003E625B" w:rsidRDefault="007C2330" w:rsidP="007C2330">
      <w:pPr>
        <w:pStyle w:val="SingleTxtGC"/>
        <w:rPr>
          <w:rFonts w:ascii="Time New Roman" w:eastAsia="黑体" w:hAnsi="Time New Roman" w:hint="eastAsia"/>
        </w:rPr>
      </w:pPr>
      <w:r w:rsidRPr="003E625B">
        <w:rPr>
          <w:rFonts w:ascii="Time New Roman" w:eastAsia="黑体" w:hAnsi="Time New Roman" w:hint="eastAsia"/>
        </w:rPr>
        <w:tab/>
        <w:t>(c)</w:t>
      </w:r>
      <w:r w:rsidRPr="003E625B">
        <w:rPr>
          <w:rFonts w:ascii="Time New Roman" w:eastAsia="黑体" w:hAnsi="Time New Roman" w:hint="eastAsia"/>
        </w:rPr>
        <w:tab/>
      </w:r>
      <w:r w:rsidRPr="003E625B">
        <w:rPr>
          <w:rFonts w:ascii="Time New Roman" w:eastAsia="黑体" w:hAnsi="Time New Roman" w:hint="eastAsia"/>
        </w:rPr>
        <w:t>建立有效和独立的机制来受理申诉和调查涉嫌酷刑案件，并确保酷刑或虐待的受害人获得充分赔偿。</w:t>
      </w:r>
    </w:p>
    <w:p w:rsidR="007C2330" w:rsidRDefault="007C2330" w:rsidP="001E179E">
      <w:pPr>
        <w:pStyle w:val="H23GC"/>
      </w:pPr>
      <w:r>
        <w:rPr>
          <w:rFonts w:hint="eastAsia"/>
        </w:rPr>
        <w:tab/>
      </w:r>
      <w:r>
        <w:rPr>
          <w:rFonts w:hint="eastAsia"/>
        </w:rPr>
        <w:tab/>
      </w:r>
      <w:r>
        <w:rPr>
          <w:rFonts w:hint="eastAsia"/>
        </w:rPr>
        <w:t>生命权、人身自由和安全以及被剥夺自由的人的人道待遇</w:t>
      </w:r>
    </w:p>
    <w:p w:rsidR="007C2330" w:rsidRDefault="007C2330" w:rsidP="007C2330">
      <w:pPr>
        <w:pStyle w:val="SingleTxtGC"/>
      </w:pPr>
      <w:r>
        <w:rPr>
          <w:rFonts w:hint="eastAsia"/>
        </w:rPr>
        <w:t>18.</w:t>
      </w:r>
      <w:r>
        <w:rPr>
          <w:rFonts w:hint="eastAsia"/>
        </w:rPr>
        <w:tab/>
      </w:r>
      <w:r>
        <w:rPr>
          <w:rFonts w:hint="eastAsia"/>
        </w:rPr>
        <w:t>委员会感到关切的是，据报告，拘留场所有酷刑和虐待情事，还有犯人死于当局之手。委员会承认国家人权中心在探访拘留场所方面起了作用，但感到关切的是，《预防犯罪法》授权省长可长期拘留人犯，且送交法院审理的可能性很低。委员会注意到，在可提起申诉的情况下，须聘请具有特别资格的律师，服务费高昂，而且申诉这一补救手段成功的希望很小，实际上不常被使用。委员会还感到关切的是，据报告，这样的被拘留者多达</w:t>
      </w:r>
      <w:r>
        <w:rPr>
          <w:rFonts w:hint="eastAsia"/>
        </w:rPr>
        <w:t>30,000</w:t>
      </w:r>
      <w:r>
        <w:rPr>
          <w:rFonts w:hint="eastAsia"/>
        </w:rPr>
        <w:t>人，包括数千名妇女，拘留时间有数月之久，极端情况下长达数年</w:t>
      </w:r>
      <w:r>
        <w:rPr>
          <w:rFonts w:hint="eastAsia"/>
        </w:rPr>
        <w:t>(</w:t>
      </w:r>
      <w:r>
        <w:rPr>
          <w:rFonts w:hint="eastAsia"/>
        </w:rPr>
        <w:t>第六、第七、第九和第十条</w:t>
      </w:r>
      <w:r>
        <w:rPr>
          <w:rFonts w:hint="eastAsia"/>
        </w:rPr>
        <w:t>)</w:t>
      </w:r>
      <w:r>
        <w:rPr>
          <w:rFonts w:hint="eastAsia"/>
        </w:rPr>
        <w:t>。</w:t>
      </w:r>
    </w:p>
    <w:p w:rsidR="007C2330" w:rsidRPr="00567E95" w:rsidRDefault="007C2330" w:rsidP="007C2330">
      <w:pPr>
        <w:pStyle w:val="SingleTxtGC"/>
        <w:rPr>
          <w:rFonts w:ascii="Time New Roman" w:eastAsia="黑体" w:hAnsi="Time New Roman" w:hint="eastAsia"/>
        </w:rPr>
      </w:pPr>
      <w:r w:rsidRPr="00567E95">
        <w:rPr>
          <w:rFonts w:ascii="Time New Roman" w:eastAsia="黑体" w:hAnsi="Time New Roman" w:hint="eastAsia"/>
        </w:rPr>
        <w:t>19.</w:t>
      </w:r>
      <w:r w:rsidRPr="00567E95">
        <w:rPr>
          <w:rFonts w:ascii="Time New Roman" w:eastAsia="黑体" w:hAnsi="Time New Roman" w:hint="eastAsia"/>
        </w:rPr>
        <w:tab/>
      </w:r>
      <w:r w:rsidRPr="00567E95">
        <w:rPr>
          <w:rFonts w:ascii="Time New Roman" w:eastAsia="黑体" w:hAnsi="Time New Roman" w:hint="eastAsia"/>
        </w:rPr>
        <w:t>委员会重申，它曾建议</w:t>
      </w:r>
      <w:r w:rsidRPr="00567E95">
        <w:rPr>
          <w:rFonts w:ascii="Time New Roman" w:eastAsia="黑体" w:hAnsi="Time New Roman" w:hint="eastAsia"/>
        </w:rPr>
        <w:t>(</w:t>
      </w:r>
      <w:r w:rsidRPr="00567E95">
        <w:rPr>
          <w:rFonts w:ascii="Time New Roman" w:eastAsia="黑体" w:hAnsi="Time New Roman" w:hint="eastAsia"/>
        </w:rPr>
        <w:t>见</w:t>
      </w:r>
      <w:proofErr w:type="spellStart"/>
      <w:r w:rsidRPr="00567E95">
        <w:rPr>
          <w:rFonts w:ascii="Time New Roman" w:eastAsia="黑体" w:hAnsi="Time New Roman" w:hint="eastAsia"/>
        </w:rPr>
        <w:t>CCPR</w:t>
      </w:r>
      <w:proofErr w:type="spellEnd"/>
      <w:r w:rsidRPr="00567E95">
        <w:rPr>
          <w:rFonts w:ascii="Time New Roman" w:eastAsia="黑体" w:hAnsi="Time New Roman" w:hint="eastAsia"/>
        </w:rPr>
        <w:t>/C/</w:t>
      </w:r>
      <w:proofErr w:type="spellStart"/>
      <w:r w:rsidRPr="00567E95">
        <w:rPr>
          <w:rFonts w:ascii="Time New Roman" w:eastAsia="黑体" w:hAnsi="Time New Roman" w:hint="eastAsia"/>
        </w:rPr>
        <w:t>JOR</w:t>
      </w:r>
      <w:proofErr w:type="spellEnd"/>
      <w:r w:rsidRPr="00567E95">
        <w:rPr>
          <w:rFonts w:ascii="Time New Roman" w:eastAsia="黑体" w:hAnsi="Time New Roman" w:hint="eastAsia"/>
        </w:rPr>
        <w:t>/CO/4,</w:t>
      </w:r>
      <w:r w:rsidR="00FD15E6" w:rsidRPr="00567E95">
        <w:rPr>
          <w:rFonts w:ascii="Time New Roman" w:eastAsia="黑体" w:hAnsi="Time New Roman"/>
        </w:rPr>
        <w:t xml:space="preserve"> </w:t>
      </w:r>
      <w:r w:rsidRPr="00567E95">
        <w:rPr>
          <w:rFonts w:ascii="Time New Roman" w:eastAsia="黑体" w:hAnsi="Time New Roman" w:hint="eastAsia"/>
        </w:rPr>
        <w:t>第</w:t>
      </w:r>
      <w:r w:rsidRPr="00567E95">
        <w:rPr>
          <w:rFonts w:ascii="Time New Roman" w:eastAsia="黑体" w:hAnsi="Time New Roman" w:hint="eastAsia"/>
        </w:rPr>
        <w:t>11</w:t>
      </w:r>
      <w:r w:rsidRPr="00567E95">
        <w:rPr>
          <w:rFonts w:ascii="Time New Roman" w:eastAsia="黑体" w:hAnsi="Time New Roman" w:hint="eastAsia"/>
        </w:rPr>
        <w:t>段</w:t>
      </w:r>
      <w:r w:rsidRPr="00567E95">
        <w:rPr>
          <w:rFonts w:ascii="Time New Roman" w:eastAsia="黑体" w:hAnsi="Time New Roman" w:hint="eastAsia"/>
        </w:rPr>
        <w:t>)</w:t>
      </w:r>
      <w:r w:rsidRPr="00567E95">
        <w:rPr>
          <w:rFonts w:ascii="Time New Roman" w:eastAsia="黑体" w:hAnsi="Time New Roman" w:hint="eastAsia"/>
        </w:rPr>
        <w:t>缔约国修正《预防犯罪法》，以停止行政拘留的做法。同时，缔约国应采取具体步骤，大幅度减少行政拘留的人数。此外，缔约国应确保被行政拘留者能够向有权裁决拘留合法性的独立公正法院提起申诉。它应允许对所有拘留场所进行更进一步的探访，包括探访情报总局的下属设施。</w:t>
      </w:r>
    </w:p>
    <w:p w:rsidR="007C2330" w:rsidRDefault="007C2330" w:rsidP="007C2330">
      <w:pPr>
        <w:pStyle w:val="H23GC"/>
      </w:pPr>
      <w:r>
        <w:rPr>
          <w:rFonts w:hint="eastAsia"/>
        </w:rPr>
        <w:tab/>
      </w:r>
      <w:r>
        <w:rPr>
          <w:rFonts w:hint="eastAsia"/>
        </w:rPr>
        <w:tab/>
      </w:r>
      <w:r>
        <w:rPr>
          <w:rFonts w:hint="eastAsia"/>
        </w:rPr>
        <w:t>自愿终止妊娠</w:t>
      </w:r>
    </w:p>
    <w:p w:rsidR="007C2330" w:rsidRDefault="007C2330" w:rsidP="00FD15E6">
      <w:pPr>
        <w:pStyle w:val="SingleTxtGC"/>
      </w:pPr>
      <w:r>
        <w:rPr>
          <w:rFonts w:hint="eastAsia"/>
        </w:rPr>
        <w:t>20.</w:t>
      </w:r>
      <w:r>
        <w:rPr>
          <w:rFonts w:hint="eastAsia"/>
        </w:rPr>
        <w:tab/>
      </w:r>
      <w:r>
        <w:rPr>
          <w:rFonts w:hint="eastAsia"/>
        </w:rPr>
        <w:t>委员会注意到，经</w:t>
      </w:r>
      <w:r>
        <w:rPr>
          <w:rFonts w:hint="eastAsia"/>
        </w:rPr>
        <w:t>2011</w:t>
      </w:r>
      <w:r>
        <w:rPr>
          <w:rFonts w:hint="eastAsia"/>
        </w:rPr>
        <w:t>年修正的《刑法》第</w:t>
      </w:r>
      <w:r>
        <w:rPr>
          <w:rFonts w:hint="eastAsia"/>
        </w:rPr>
        <w:t>321</w:t>
      </w:r>
      <w:r w:rsidR="00FD15E6">
        <w:rPr>
          <w:rFonts w:hint="eastAsia"/>
        </w:rPr>
        <w:t>-</w:t>
      </w:r>
      <w:r>
        <w:rPr>
          <w:rFonts w:hint="eastAsia"/>
        </w:rPr>
        <w:t>325</w:t>
      </w:r>
      <w:r>
        <w:rPr>
          <w:rFonts w:hint="eastAsia"/>
        </w:rPr>
        <w:t>条将堕胎定为罪行，除非孕妇有生命或健康危险</w:t>
      </w:r>
      <w:r>
        <w:rPr>
          <w:rFonts w:hint="eastAsia"/>
        </w:rPr>
        <w:t>(</w:t>
      </w:r>
      <w:r>
        <w:rPr>
          <w:rFonts w:hint="eastAsia"/>
        </w:rPr>
        <w:t>《公共卫生法》</w:t>
      </w:r>
      <w:r>
        <w:rPr>
          <w:rFonts w:hint="eastAsia"/>
        </w:rPr>
        <w:t>(2008</w:t>
      </w:r>
      <w:r>
        <w:rPr>
          <w:rFonts w:hint="eastAsia"/>
        </w:rPr>
        <w:t>年</w:t>
      </w:r>
      <w:r>
        <w:rPr>
          <w:rFonts w:hint="eastAsia"/>
        </w:rPr>
        <w:t>)</w:t>
      </w:r>
      <w:r>
        <w:rPr>
          <w:rFonts w:hint="eastAsia"/>
        </w:rPr>
        <w:t>，第</w:t>
      </w:r>
      <w:r>
        <w:rPr>
          <w:rFonts w:hint="eastAsia"/>
        </w:rPr>
        <w:t>12</w:t>
      </w:r>
      <w:r>
        <w:rPr>
          <w:rFonts w:hint="eastAsia"/>
        </w:rPr>
        <w:t>条</w:t>
      </w:r>
      <w:r>
        <w:rPr>
          <w:rFonts w:hint="eastAsia"/>
        </w:rPr>
        <w:t>)</w:t>
      </w:r>
      <w:r>
        <w:rPr>
          <w:rFonts w:hint="eastAsia"/>
        </w:rPr>
        <w:t>。委员会感到关切的是，不允许有任何其他例外，这就造成了不安全堕胎。它还感到关切的是，《刑法》规定，在施行了堕胎的情况下，即使孕妇不同意，维护家族名誉也可作为从轻处理的一个理由。委员会又感到关切的是，据报告，有妇女根据《刑法》的堕胎规定被起诉</w:t>
      </w:r>
      <w:r>
        <w:rPr>
          <w:rFonts w:hint="eastAsia"/>
        </w:rPr>
        <w:t xml:space="preserve"> (</w:t>
      </w:r>
      <w:r>
        <w:rPr>
          <w:rFonts w:hint="eastAsia"/>
        </w:rPr>
        <w:t>第三、第六、第七、第十七和第二十六条</w:t>
      </w:r>
      <w:r>
        <w:rPr>
          <w:rFonts w:hint="eastAsia"/>
        </w:rPr>
        <w:t>)</w:t>
      </w:r>
      <w:r>
        <w:rPr>
          <w:rFonts w:hint="eastAsia"/>
        </w:rPr>
        <w:t>。</w:t>
      </w:r>
    </w:p>
    <w:p w:rsidR="007C2330" w:rsidRPr="00567E95" w:rsidRDefault="007C2330" w:rsidP="007C2330">
      <w:pPr>
        <w:pStyle w:val="SingleTxtGC"/>
        <w:rPr>
          <w:rFonts w:ascii="Time New Roman" w:eastAsia="黑体" w:hAnsi="Time New Roman" w:hint="eastAsia"/>
        </w:rPr>
      </w:pPr>
      <w:r w:rsidRPr="00567E95">
        <w:rPr>
          <w:rFonts w:ascii="Time New Roman" w:eastAsia="黑体" w:hAnsi="Time New Roman" w:hint="eastAsia"/>
        </w:rPr>
        <w:t>21.</w:t>
      </w:r>
      <w:r w:rsidRPr="00567E95">
        <w:rPr>
          <w:rFonts w:ascii="Time New Roman" w:eastAsia="黑体" w:hAnsi="Time New Roman" w:hint="eastAsia"/>
        </w:rPr>
        <w:tab/>
      </w:r>
      <w:r w:rsidRPr="00567E95">
        <w:rPr>
          <w:rFonts w:ascii="Time New Roman" w:eastAsia="黑体" w:hAnsi="Time New Roman" w:hint="eastAsia"/>
        </w:rPr>
        <w:t>缔约国应修正其立法，在怀孕的妇女和女孩妊娠进行下去会造成很大痛苦或苦难特别是在怀孕系强奸或乱伦造成或妊娠不可行的情况下，为能够安全、合法和有效堕胎提供保障。此外，对于所有其他情况，缔约国关于怀孕或堕胎的条例不得违反其确保妇女和女孩无须诉诸不安全堕胎的义务，它应根据上述原则修订其堕胎法律。对实行堕胎的妇女和女孩，或对协助堕胎的医疗服务提供者，缔约国都不得施加刑事处罚，因为采取这样的措施会迫使妇女和女孩诉诸不安全堕胎。缔约国应确保提供医疗设施和为使用这些设施进行合法堕胎提供保障，并确保妇女和女孩不致因刑事条款等法律障碍而诉诸可能危及其生命和健康的不安全堕胎。它还应确保只在妇女自愿同意的情况下实行堕胎，并对强制妇女接受堕胎的任何企图进行刑事处罚。缔约国还应确保可以获得避孕手段，并围绕妇女性和生殖方面的健康和权利开展教育和宣传活动。</w:t>
      </w:r>
    </w:p>
    <w:p w:rsidR="007C2330" w:rsidRDefault="007C2330" w:rsidP="007C2330">
      <w:pPr>
        <w:pStyle w:val="H23GC"/>
      </w:pPr>
      <w:r>
        <w:rPr>
          <w:rFonts w:hint="eastAsia"/>
        </w:rPr>
        <w:tab/>
      </w:r>
      <w:r>
        <w:rPr>
          <w:rFonts w:hint="eastAsia"/>
        </w:rPr>
        <w:tab/>
      </w:r>
      <w:r>
        <w:rPr>
          <w:rFonts w:hint="eastAsia"/>
        </w:rPr>
        <w:t>移徙家庭佣工</w:t>
      </w:r>
    </w:p>
    <w:p w:rsidR="007C2330" w:rsidRDefault="007C2330" w:rsidP="007C2330">
      <w:pPr>
        <w:pStyle w:val="SingleTxtGC"/>
      </w:pPr>
      <w:r>
        <w:rPr>
          <w:rFonts w:hint="eastAsia"/>
        </w:rPr>
        <w:t>22.</w:t>
      </w:r>
      <w:r>
        <w:rPr>
          <w:rFonts w:hint="eastAsia"/>
        </w:rPr>
        <w:tab/>
      </w:r>
      <w:r>
        <w:rPr>
          <w:rFonts w:hint="eastAsia"/>
        </w:rPr>
        <w:t>委员会承认缔约国致力于保护移</w:t>
      </w:r>
      <w:proofErr w:type="gramStart"/>
      <w:r>
        <w:rPr>
          <w:rFonts w:hint="eastAsia"/>
        </w:rPr>
        <w:t>徙工</w:t>
      </w:r>
      <w:proofErr w:type="gramEnd"/>
      <w:r>
        <w:rPr>
          <w:rFonts w:hint="eastAsia"/>
        </w:rPr>
        <w:t>人特别是家庭佣工，但仍感关切的是，据称有下列情事：雇主扣留雇员的护照和薪金并限制其自由；以及当局在送交主管司法机构处理之前长期拘留无证移</w:t>
      </w:r>
      <w:proofErr w:type="gramStart"/>
      <w:r>
        <w:rPr>
          <w:rFonts w:hint="eastAsia"/>
        </w:rPr>
        <w:t>徙工</w:t>
      </w:r>
      <w:proofErr w:type="gramEnd"/>
      <w:r>
        <w:rPr>
          <w:rFonts w:hint="eastAsia"/>
        </w:rPr>
        <w:t>人</w:t>
      </w:r>
      <w:r>
        <w:rPr>
          <w:rFonts w:hint="eastAsia"/>
        </w:rPr>
        <w:t>(</w:t>
      </w:r>
      <w:r>
        <w:rPr>
          <w:rFonts w:hint="eastAsia"/>
        </w:rPr>
        <w:t>第二、第八和第二十六条</w:t>
      </w:r>
      <w:r>
        <w:rPr>
          <w:rFonts w:hint="eastAsia"/>
        </w:rPr>
        <w:t>)</w:t>
      </w:r>
      <w:r>
        <w:rPr>
          <w:rFonts w:hint="eastAsia"/>
        </w:rPr>
        <w:t>。</w:t>
      </w:r>
    </w:p>
    <w:p w:rsidR="007C2330" w:rsidRPr="004D64EC" w:rsidRDefault="007C2330" w:rsidP="007C2330">
      <w:pPr>
        <w:pStyle w:val="SingleTxtGC"/>
        <w:rPr>
          <w:rFonts w:ascii="Time New Roman" w:eastAsia="黑体" w:hAnsi="Time New Roman" w:hint="eastAsia"/>
        </w:rPr>
      </w:pPr>
      <w:r w:rsidRPr="004D64EC">
        <w:rPr>
          <w:rFonts w:ascii="Time New Roman" w:eastAsia="黑体" w:hAnsi="Time New Roman" w:hint="eastAsia"/>
        </w:rPr>
        <w:t>23.</w:t>
      </w:r>
      <w:r w:rsidRPr="004D64EC">
        <w:rPr>
          <w:rFonts w:ascii="Time New Roman" w:eastAsia="黑体" w:hAnsi="Time New Roman" w:hint="eastAsia"/>
        </w:rPr>
        <w:tab/>
      </w:r>
      <w:r w:rsidRPr="004D64EC">
        <w:rPr>
          <w:rFonts w:ascii="Time New Roman" w:eastAsia="黑体" w:hAnsi="Time New Roman" w:hint="eastAsia"/>
        </w:rPr>
        <w:t>缔约国应确保移徙家庭佣工享有其他工人在劳动法下享有的权利，并强制执行防止侵犯其权利的法律。</w:t>
      </w:r>
    </w:p>
    <w:p w:rsidR="007C2330" w:rsidRDefault="007C2330" w:rsidP="007C2330">
      <w:pPr>
        <w:pStyle w:val="H23GC"/>
      </w:pPr>
      <w:r>
        <w:rPr>
          <w:rFonts w:hint="eastAsia"/>
        </w:rPr>
        <w:tab/>
      </w:r>
      <w:r>
        <w:rPr>
          <w:rFonts w:hint="eastAsia"/>
        </w:rPr>
        <w:tab/>
      </w:r>
      <w:r>
        <w:rPr>
          <w:rFonts w:hint="eastAsia"/>
        </w:rPr>
        <w:t>难民与不驱回</w:t>
      </w:r>
    </w:p>
    <w:p w:rsidR="007C2330" w:rsidRDefault="007C2330" w:rsidP="007C2330">
      <w:pPr>
        <w:pStyle w:val="SingleTxtGC"/>
      </w:pPr>
      <w:r>
        <w:rPr>
          <w:rFonts w:hint="eastAsia"/>
        </w:rPr>
        <w:t>24.</w:t>
      </w:r>
      <w:r>
        <w:rPr>
          <w:rFonts w:hint="eastAsia"/>
        </w:rPr>
        <w:tab/>
      </w:r>
      <w:r>
        <w:rPr>
          <w:rFonts w:hint="eastAsia"/>
        </w:rPr>
        <w:t>委员会注意到，目前从阿拉伯叙利亚共和国涌入的难民，包括巴勒斯坦难民，对缔约国造成了沉重负担，但它对位于约旦与阿拉伯叙利亚共和国交界处的</w:t>
      </w:r>
      <w:proofErr w:type="spellStart"/>
      <w:r>
        <w:rPr>
          <w:rFonts w:hint="eastAsia"/>
        </w:rPr>
        <w:t>Rukban</w:t>
      </w:r>
      <w:proofErr w:type="spellEnd"/>
      <w:r>
        <w:rPr>
          <w:rFonts w:hint="eastAsia"/>
        </w:rPr>
        <w:t>难民营内寻求庇护者的生活条件及食物和医疗服务的适足情况表示关切。它特别感到关切的是，缔约国拒绝受理庇护申请，据报告还有巴勒斯坦难民被强制遣返阿拉伯叙利亚共和国，这对缔约国是否遵守不驱回原则引起了严重的问题。委员会还感到关切的是，巴勒斯坦裔约旦人被剥夺国籍，使他们面临遭到</w:t>
      </w:r>
      <w:r w:rsidRPr="00AA0008">
        <w:rPr>
          <w:rFonts w:hint="eastAsia"/>
          <w:spacing w:val="4"/>
        </w:rPr>
        <w:t>逮捕、境内行动受限制和被非法驱逐的高度风险</w:t>
      </w:r>
      <w:r w:rsidRPr="00AA0008">
        <w:rPr>
          <w:rFonts w:hint="eastAsia"/>
          <w:spacing w:val="4"/>
        </w:rPr>
        <w:t>(</w:t>
      </w:r>
      <w:r w:rsidRPr="00AA0008">
        <w:rPr>
          <w:rFonts w:hint="eastAsia"/>
          <w:spacing w:val="4"/>
        </w:rPr>
        <w:t>第二、第六、第七、第九、第</w:t>
      </w:r>
      <w:r>
        <w:rPr>
          <w:rFonts w:hint="eastAsia"/>
        </w:rPr>
        <w:t>十、第十三和第二十六条</w:t>
      </w:r>
      <w:r>
        <w:rPr>
          <w:rFonts w:hint="eastAsia"/>
        </w:rPr>
        <w:t>)</w:t>
      </w:r>
      <w:r>
        <w:rPr>
          <w:rFonts w:hint="eastAsia"/>
        </w:rPr>
        <w:t>。</w:t>
      </w:r>
    </w:p>
    <w:p w:rsidR="007C2330" w:rsidRPr="004D64EC" w:rsidRDefault="007C2330" w:rsidP="007C2330">
      <w:pPr>
        <w:pStyle w:val="SingleTxtGC"/>
        <w:rPr>
          <w:rFonts w:ascii="Time New Roman" w:eastAsia="黑体" w:hAnsi="Time New Roman" w:hint="eastAsia"/>
        </w:rPr>
      </w:pPr>
      <w:r w:rsidRPr="004D64EC">
        <w:rPr>
          <w:rFonts w:ascii="Time New Roman" w:eastAsia="黑体" w:hAnsi="Time New Roman" w:hint="eastAsia"/>
        </w:rPr>
        <w:t>25.</w:t>
      </w:r>
      <w:r w:rsidRPr="004D64EC">
        <w:rPr>
          <w:rFonts w:ascii="Time New Roman" w:eastAsia="黑体" w:hAnsi="Time New Roman" w:hint="eastAsia"/>
        </w:rPr>
        <w:tab/>
      </w:r>
      <w:r w:rsidRPr="004D64EC">
        <w:rPr>
          <w:rFonts w:ascii="Time New Roman" w:eastAsia="黑体" w:hAnsi="Time New Roman" w:hint="eastAsia"/>
        </w:rPr>
        <w:t>缔约国应采取一切必要措施，确保遵守不驱回原则，包括对巴勒斯坦难民，无论其在约旦的身份如何，并为免遭驱回制定程序性保障，包括须经独立的司法机构审查和提供有效的补救办法。缔约国应确保公民资格不被撤销，除非依照与《公约》和国际标准相符的国内法行事且须经过独立的司法审查。它还应采取措施，改善难民营中难民的地位和生活条件。</w:t>
      </w:r>
    </w:p>
    <w:p w:rsidR="007C2330" w:rsidRDefault="007C2330" w:rsidP="007C2330">
      <w:pPr>
        <w:pStyle w:val="H23GC"/>
      </w:pPr>
      <w:r>
        <w:rPr>
          <w:rFonts w:hint="eastAsia"/>
        </w:rPr>
        <w:tab/>
      </w:r>
      <w:r>
        <w:rPr>
          <w:rFonts w:hint="eastAsia"/>
        </w:rPr>
        <w:tab/>
      </w:r>
      <w:r>
        <w:rPr>
          <w:rFonts w:hint="eastAsia"/>
        </w:rPr>
        <w:t>公平审判权和司法独立</w:t>
      </w:r>
    </w:p>
    <w:p w:rsidR="007C2330" w:rsidRDefault="007C2330" w:rsidP="007C2330">
      <w:pPr>
        <w:pStyle w:val="SingleTxtGC"/>
      </w:pPr>
      <w:r>
        <w:rPr>
          <w:rFonts w:hint="eastAsia"/>
        </w:rPr>
        <w:t>26.</w:t>
      </w:r>
      <w:r>
        <w:rPr>
          <w:rFonts w:hint="eastAsia"/>
        </w:rPr>
        <w:tab/>
      </w:r>
      <w:r>
        <w:rPr>
          <w:rFonts w:hint="eastAsia"/>
        </w:rPr>
        <w:t>委员会再次表示关切的是，国家安全法院依然存在。它还感到关切的是，该法院的管辖范围很广泛，也涵盖恐怖主义行为。委员会又感到关切的是，据报告，该法院既不独立也不公正，一贯依据《防止恐怖主义法》审判平民，而该法院的做法侵犯了公平审判权</w:t>
      </w:r>
      <w:r>
        <w:rPr>
          <w:rFonts w:hint="eastAsia"/>
        </w:rPr>
        <w:t>(</w:t>
      </w:r>
      <w:r>
        <w:rPr>
          <w:rFonts w:hint="eastAsia"/>
        </w:rPr>
        <w:t>第十四条</w:t>
      </w:r>
      <w:r>
        <w:rPr>
          <w:rFonts w:hint="eastAsia"/>
        </w:rPr>
        <w:t>)</w:t>
      </w:r>
      <w:r>
        <w:rPr>
          <w:rFonts w:hint="eastAsia"/>
        </w:rPr>
        <w:t>。</w:t>
      </w:r>
    </w:p>
    <w:p w:rsidR="007C2330" w:rsidRPr="004D64EC" w:rsidRDefault="007C2330" w:rsidP="007C2330">
      <w:pPr>
        <w:pStyle w:val="SingleTxtGC"/>
        <w:rPr>
          <w:rFonts w:ascii="Time New Roman" w:eastAsia="黑体" w:hAnsi="Time New Roman" w:hint="eastAsia"/>
        </w:rPr>
      </w:pPr>
      <w:r w:rsidRPr="004D64EC">
        <w:rPr>
          <w:rFonts w:ascii="Time New Roman" w:eastAsia="黑体" w:hAnsi="Time New Roman" w:hint="eastAsia"/>
        </w:rPr>
        <w:t>27.</w:t>
      </w:r>
      <w:r w:rsidRPr="004D64EC">
        <w:rPr>
          <w:rFonts w:ascii="Time New Roman" w:eastAsia="黑体" w:hAnsi="Time New Roman" w:hint="eastAsia"/>
        </w:rPr>
        <w:tab/>
      </w:r>
      <w:r w:rsidRPr="004D64EC">
        <w:rPr>
          <w:rFonts w:ascii="Time New Roman" w:eastAsia="黑体" w:hAnsi="Time New Roman" w:hint="eastAsia"/>
        </w:rPr>
        <w:t>委员会重申，先前曾于</w:t>
      </w:r>
      <w:r w:rsidRPr="004D64EC">
        <w:rPr>
          <w:rFonts w:ascii="Time New Roman" w:eastAsia="黑体" w:hAnsi="Time New Roman" w:hint="eastAsia"/>
        </w:rPr>
        <w:t>1994</w:t>
      </w:r>
      <w:r w:rsidRPr="004D64EC">
        <w:rPr>
          <w:rFonts w:ascii="Time New Roman" w:eastAsia="黑体" w:hAnsi="Time New Roman" w:hint="eastAsia"/>
        </w:rPr>
        <w:t>年</w:t>
      </w:r>
      <w:r w:rsidRPr="004D64EC">
        <w:rPr>
          <w:rFonts w:ascii="Time New Roman" w:eastAsia="黑体" w:hAnsi="Time New Roman" w:hint="eastAsia"/>
        </w:rPr>
        <w:t>(</w:t>
      </w:r>
      <w:r w:rsidRPr="004D64EC">
        <w:rPr>
          <w:rFonts w:ascii="Time New Roman" w:eastAsia="黑体" w:hAnsi="Time New Roman" w:hint="eastAsia"/>
        </w:rPr>
        <w:t>见</w:t>
      </w:r>
      <w:proofErr w:type="spellStart"/>
      <w:r w:rsidRPr="004D64EC">
        <w:rPr>
          <w:rFonts w:ascii="Time New Roman" w:eastAsia="黑体" w:hAnsi="Time New Roman" w:hint="eastAsia"/>
        </w:rPr>
        <w:t>CCPR</w:t>
      </w:r>
      <w:proofErr w:type="spellEnd"/>
      <w:r w:rsidRPr="004D64EC">
        <w:rPr>
          <w:rFonts w:ascii="Time New Roman" w:eastAsia="黑体" w:hAnsi="Time New Roman" w:hint="eastAsia"/>
        </w:rPr>
        <w:t>/C/79/</w:t>
      </w:r>
      <w:proofErr w:type="spellStart"/>
      <w:r w:rsidRPr="004D64EC">
        <w:rPr>
          <w:rFonts w:ascii="Time New Roman" w:eastAsia="黑体" w:hAnsi="Time New Roman" w:hint="eastAsia"/>
        </w:rPr>
        <w:t>Add.35</w:t>
      </w:r>
      <w:proofErr w:type="spellEnd"/>
      <w:r w:rsidRPr="004D64EC">
        <w:rPr>
          <w:rFonts w:ascii="Time New Roman" w:eastAsia="黑体" w:hAnsi="Time New Roman" w:hint="eastAsia"/>
        </w:rPr>
        <w:t>,</w:t>
      </w:r>
      <w:r w:rsidR="004D64EC">
        <w:rPr>
          <w:rFonts w:ascii="Time New Roman" w:eastAsia="黑体" w:hAnsi="Time New Roman"/>
        </w:rPr>
        <w:t xml:space="preserve"> </w:t>
      </w:r>
      <w:r w:rsidRPr="004D64EC">
        <w:rPr>
          <w:rFonts w:ascii="Time New Roman" w:eastAsia="黑体" w:hAnsi="Time New Roman" w:hint="eastAsia"/>
        </w:rPr>
        <w:t>第</w:t>
      </w:r>
      <w:r w:rsidRPr="004D64EC">
        <w:rPr>
          <w:rFonts w:ascii="Time New Roman" w:eastAsia="黑体" w:hAnsi="Time New Roman" w:hint="eastAsia"/>
        </w:rPr>
        <w:t>16</w:t>
      </w:r>
      <w:r w:rsidRPr="004D64EC">
        <w:rPr>
          <w:rFonts w:ascii="Time New Roman" w:eastAsia="黑体" w:hAnsi="Time New Roman" w:hint="eastAsia"/>
        </w:rPr>
        <w:t>段</w:t>
      </w:r>
      <w:r w:rsidRPr="004D64EC">
        <w:rPr>
          <w:rFonts w:ascii="Time New Roman" w:eastAsia="黑体" w:hAnsi="Time New Roman" w:hint="eastAsia"/>
        </w:rPr>
        <w:t>)</w:t>
      </w:r>
      <w:r w:rsidRPr="004D64EC">
        <w:rPr>
          <w:rFonts w:ascii="Time New Roman" w:eastAsia="黑体" w:hAnsi="Time New Roman" w:hint="eastAsia"/>
        </w:rPr>
        <w:t>和</w:t>
      </w:r>
      <w:r w:rsidRPr="004D64EC">
        <w:rPr>
          <w:rFonts w:ascii="Time New Roman" w:eastAsia="黑体" w:hAnsi="Time New Roman" w:hint="eastAsia"/>
        </w:rPr>
        <w:t>2010</w:t>
      </w:r>
      <w:r w:rsidRPr="004D64EC">
        <w:rPr>
          <w:rFonts w:ascii="Time New Roman" w:eastAsia="黑体" w:hAnsi="Time New Roman" w:hint="eastAsia"/>
        </w:rPr>
        <w:t>年建议</w:t>
      </w:r>
      <w:r w:rsidRPr="004D64EC">
        <w:rPr>
          <w:rFonts w:ascii="Time New Roman" w:eastAsia="黑体" w:hAnsi="Time New Roman" w:hint="eastAsia"/>
        </w:rPr>
        <w:t>(</w:t>
      </w:r>
      <w:proofErr w:type="spellStart"/>
      <w:r w:rsidRPr="004D64EC">
        <w:rPr>
          <w:rFonts w:ascii="Time New Roman" w:eastAsia="黑体" w:hAnsi="Time New Roman" w:hint="eastAsia"/>
        </w:rPr>
        <w:t>CCPR</w:t>
      </w:r>
      <w:proofErr w:type="spellEnd"/>
      <w:r w:rsidRPr="004D64EC">
        <w:rPr>
          <w:rFonts w:ascii="Time New Roman" w:eastAsia="黑体" w:hAnsi="Time New Roman" w:hint="eastAsia"/>
        </w:rPr>
        <w:t>/C/</w:t>
      </w:r>
      <w:proofErr w:type="spellStart"/>
      <w:r w:rsidRPr="004D64EC">
        <w:rPr>
          <w:rFonts w:ascii="Time New Roman" w:eastAsia="黑体" w:hAnsi="Time New Roman" w:hint="eastAsia"/>
        </w:rPr>
        <w:t>JOR</w:t>
      </w:r>
      <w:proofErr w:type="spellEnd"/>
      <w:r w:rsidRPr="004D64EC">
        <w:rPr>
          <w:rFonts w:ascii="Time New Roman" w:eastAsia="黑体" w:hAnsi="Time New Roman" w:hint="eastAsia"/>
        </w:rPr>
        <w:t>/CO/4,</w:t>
      </w:r>
      <w:r w:rsidR="004D64EC">
        <w:rPr>
          <w:rFonts w:ascii="Time New Roman" w:eastAsia="黑体" w:hAnsi="Time New Roman"/>
        </w:rPr>
        <w:t xml:space="preserve"> </w:t>
      </w:r>
      <w:r w:rsidRPr="004D64EC">
        <w:rPr>
          <w:rFonts w:ascii="Time New Roman" w:eastAsia="黑体" w:hAnsi="Time New Roman" w:hint="eastAsia"/>
        </w:rPr>
        <w:t>第</w:t>
      </w:r>
      <w:r w:rsidRPr="004D64EC">
        <w:rPr>
          <w:rFonts w:ascii="Time New Roman" w:eastAsia="黑体" w:hAnsi="Time New Roman" w:hint="eastAsia"/>
        </w:rPr>
        <w:t>12</w:t>
      </w:r>
      <w:r w:rsidRPr="004D64EC">
        <w:rPr>
          <w:rFonts w:ascii="Time New Roman" w:eastAsia="黑体" w:hAnsi="Time New Roman" w:hint="eastAsia"/>
        </w:rPr>
        <w:t>段</w:t>
      </w:r>
      <w:r w:rsidRPr="004D64EC">
        <w:rPr>
          <w:rFonts w:ascii="Time New Roman" w:eastAsia="黑体" w:hAnsi="Time New Roman" w:hint="eastAsia"/>
        </w:rPr>
        <w:t>)</w:t>
      </w:r>
      <w:r w:rsidRPr="004D64EC">
        <w:rPr>
          <w:rFonts w:ascii="Time New Roman" w:eastAsia="黑体" w:hAnsi="Time New Roman" w:hint="eastAsia"/>
        </w:rPr>
        <w:t>缔约国废除国家安全法院。</w:t>
      </w:r>
    </w:p>
    <w:p w:rsidR="007C2330" w:rsidRDefault="007C2330" w:rsidP="007C2330">
      <w:pPr>
        <w:pStyle w:val="H23GC"/>
      </w:pPr>
      <w:r>
        <w:rPr>
          <w:rFonts w:hint="eastAsia"/>
        </w:rPr>
        <w:tab/>
      </w:r>
      <w:r>
        <w:rPr>
          <w:rFonts w:hint="eastAsia"/>
        </w:rPr>
        <w:tab/>
      </w:r>
      <w:r>
        <w:rPr>
          <w:rFonts w:hint="eastAsia"/>
        </w:rPr>
        <w:t>良心、宗教或信仰自由</w:t>
      </w:r>
    </w:p>
    <w:p w:rsidR="007C2330" w:rsidRDefault="007C2330" w:rsidP="007C2330">
      <w:pPr>
        <w:pStyle w:val="SingleTxtGC"/>
      </w:pPr>
      <w:r>
        <w:rPr>
          <w:rFonts w:hint="eastAsia"/>
        </w:rPr>
        <w:t>28.</w:t>
      </w:r>
      <w:r>
        <w:rPr>
          <w:rFonts w:hint="eastAsia"/>
        </w:rPr>
        <w:tab/>
      </w:r>
      <w:r>
        <w:rPr>
          <w:rFonts w:hint="eastAsia"/>
        </w:rPr>
        <w:t>委员会感到关切的是，宗教自由受到限制，包括不准那些放弃伊斯兰信仰的人结婚或剥夺其继承权利</w:t>
      </w:r>
      <w:r>
        <w:rPr>
          <w:rFonts w:hint="eastAsia"/>
        </w:rPr>
        <w:t>(</w:t>
      </w:r>
      <w:r>
        <w:rPr>
          <w:rFonts w:hint="eastAsia"/>
        </w:rPr>
        <w:t>第二、第十八和第二十六条</w:t>
      </w:r>
      <w:r>
        <w:rPr>
          <w:rFonts w:hint="eastAsia"/>
        </w:rPr>
        <w:t>)</w:t>
      </w:r>
      <w:r>
        <w:rPr>
          <w:rFonts w:hint="eastAsia"/>
        </w:rPr>
        <w:t>。</w:t>
      </w:r>
    </w:p>
    <w:p w:rsidR="007C2330" w:rsidRPr="004D64EC" w:rsidRDefault="007C2330" w:rsidP="007C2330">
      <w:pPr>
        <w:pStyle w:val="SingleTxtGC"/>
        <w:rPr>
          <w:rFonts w:ascii="Time New Roman" w:eastAsia="黑体" w:hAnsi="Time New Roman" w:hint="eastAsia"/>
        </w:rPr>
      </w:pPr>
      <w:r w:rsidRPr="004D64EC">
        <w:rPr>
          <w:rFonts w:ascii="Time New Roman" w:eastAsia="黑体" w:hAnsi="Time New Roman" w:hint="eastAsia"/>
        </w:rPr>
        <w:t>29.</w:t>
      </w:r>
      <w:r w:rsidRPr="004D64EC">
        <w:rPr>
          <w:rFonts w:ascii="Time New Roman" w:eastAsia="黑体" w:hAnsi="Time New Roman" w:hint="eastAsia"/>
        </w:rPr>
        <w:tab/>
      </w:r>
      <w:r w:rsidRPr="004D64EC">
        <w:rPr>
          <w:rFonts w:ascii="Time New Roman" w:eastAsia="黑体" w:hAnsi="Time New Roman" w:hint="eastAsia"/>
        </w:rPr>
        <w:t>缔约国应采取步骤，确保尊重所有人的宗教或信仰自由，并确保其法律和实际行为充分符合《公约》的规定。</w:t>
      </w:r>
    </w:p>
    <w:p w:rsidR="007C2330" w:rsidRDefault="007C2330" w:rsidP="007C2330">
      <w:pPr>
        <w:pStyle w:val="H23GC"/>
      </w:pPr>
      <w:r>
        <w:rPr>
          <w:rFonts w:hint="eastAsia"/>
        </w:rPr>
        <w:tab/>
      </w:r>
      <w:r>
        <w:rPr>
          <w:rFonts w:hint="eastAsia"/>
        </w:rPr>
        <w:tab/>
      </w:r>
      <w:r>
        <w:rPr>
          <w:rFonts w:hint="eastAsia"/>
        </w:rPr>
        <w:t>言论自由</w:t>
      </w:r>
    </w:p>
    <w:p w:rsidR="007C2330" w:rsidRDefault="007C2330" w:rsidP="007C2330">
      <w:pPr>
        <w:pStyle w:val="SingleTxtGC"/>
      </w:pPr>
      <w:r>
        <w:rPr>
          <w:rFonts w:hint="eastAsia"/>
        </w:rPr>
        <w:t>30.</w:t>
      </w:r>
      <w:r>
        <w:rPr>
          <w:rFonts w:hint="eastAsia"/>
        </w:rPr>
        <w:tab/>
      </w:r>
      <w:r>
        <w:rPr>
          <w:rFonts w:hint="eastAsia"/>
        </w:rPr>
        <w:t>委员会欢迎缔约国提供的</w:t>
      </w:r>
      <w:r>
        <w:rPr>
          <w:rFonts w:hint="eastAsia"/>
        </w:rPr>
        <w:t>2011</w:t>
      </w:r>
      <w:r>
        <w:rPr>
          <w:rFonts w:hint="eastAsia"/>
        </w:rPr>
        <w:t>年至</w:t>
      </w:r>
      <w:r>
        <w:rPr>
          <w:rFonts w:hint="eastAsia"/>
        </w:rPr>
        <w:t>2015</w:t>
      </w:r>
      <w:r>
        <w:rPr>
          <w:rFonts w:hint="eastAsia"/>
        </w:rPr>
        <w:t>年媒体战略的拟订情况，但感到关切的是，据报告，记者仍因表示了被视为批评的观点</w:t>
      </w:r>
      <w:r>
        <w:rPr>
          <w:rFonts w:hint="eastAsia"/>
        </w:rPr>
        <w:t>(</w:t>
      </w:r>
      <w:r>
        <w:rPr>
          <w:rFonts w:hint="eastAsia"/>
        </w:rPr>
        <w:t>包括“侮辱国王”</w:t>
      </w:r>
      <w:r>
        <w:rPr>
          <w:rFonts w:hint="eastAsia"/>
        </w:rPr>
        <w:t>)</w:t>
      </w:r>
      <w:r>
        <w:rPr>
          <w:rFonts w:hint="eastAsia"/>
        </w:rPr>
        <w:t>而在《刑法》和《防止恐怖主义法》下面对起诉和处罚</w:t>
      </w:r>
      <w:r>
        <w:rPr>
          <w:rFonts w:hint="eastAsia"/>
        </w:rPr>
        <w:t>(</w:t>
      </w:r>
      <w:r>
        <w:rPr>
          <w:rFonts w:hint="eastAsia"/>
        </w:rPr>
        <w:t>第十九条</w:t>
      </w:r>
      <w:r>
        <w:rPr>
          <w:rFonts w:hint="eastAsia"/>
        </w:rPr>
        <w:t>)</w:t>
      </w:r>
      <w:r>
        <w:rPr>
          <w:rFonts w:hint="eastAsia"/>
        </w:rPr>
        <w:t>。</w:t>
      </w:r>
    </w:p>
    <w:p w:rsidR="007C2330" w:rsidRPr="004D64EC" w:rsidRDefault="007C2330" w:rsidP="007C2330">
      <w:pPr>
        <w:pStyle w:val="SingleTxtGC"/>
        <w:rPr>
          <w:rFonts w:ascii="Time New Roman" w:eastAsia="黑体" w:hAnsi="Time New Roman" w:hint="eastAsia"/>
        </w:rPr>
      </w:pPr>
      <w:r w:rsidRPr="004D64EC">
        <w:rPr>
          <w:rFonts w:ascii="Time New Roman" w:eastAsia="黑体" w:hAnsi="Time New Roman" w:hint="eastAsia"/>
        </w:rPr>
        <w:t>31.</w:t>
      </w:r>
      <w:r w:rsidRPr="004D64EC">
        <w:rPr>
          <w:rFonts w:ascii="Time New Roman" w:eastAsia="黑体" w:hAnsi="Time New Roman" w:hint="eastAsia"/>
        </w:rPr>
        <w:tab/>
      </w:r>
      <w:r w:rsidRPr="004D64EC">
        <w:rPr>
          <w:rFonts w:ascii="Time New Roman" w:eastAsia="黑体" w:hAnsi="Time New Roman" w:hint="eastAsia"/>
        </w:rPr>
        <w:t>缔约国应采取必要步骤保护记者，使其能够完全自由和不受任何限制地从事活动。它应调查攻击记者的案件，并将肇事者绳之以法。它还应审查其立法，以确保不对表达批评观点的人施以刑事处罚，并确保对报刊和媒体活动施加的任何限制符合《公约》的规定。</w:t>
      </w:r>
    </w:p>
    <w:p w:rsidR="007C2330" w:rsidRDefault="007C2330" w:rsidP="007C2330">
      <w:pPr>
        <w:pStyle w:val="H23GC"/>
      </w:pPr>
      <w:r>
        <w:rPr>
          <w:rFonts w:hint="eastAsia"/>
        </w:rPr>
        <w:tab/>
      </w:r>
      <w:r>
        <w:rPr>
          <w:rFonts w:hint="eastAsia"/>
        </w:rPr>
        <w:tab/>
      </w:r>
      <w:r>
        <w:rPr>
          <w:rFonts w:hint="eastAsia"/>
        </w:rPr>
        <w:t>和平集会和结社自由权</w:t>
      </w:r>
    </w:p>
    <w:p w:rsidR="007C2330" w:rsidRDefault="007C2330" w:rsidP="004D64EC">
      <w:pPr>
        <w:pStyle w:val="SingleTxtGC"/>
      </w:pPr>
      <w:r>
        <w:rPr>
          <w:rFonts w:hint="eastAsia"/>
        </w:rPr>
        <w:t>32.</w:t>
      </w:r>
      <w:r>
        <w:rPr>
          <w:rFonts w:hint="eastAsia"/>
        </w:rPr>
        <w:tab/>
      </w:r>
      <w:r>
        <w:rPr>
          <w:rFonts w:hint="eastAsia"/>
        </w:rPr>
        <w:t>委员会注意到，缔约国采取步骤制定了</w:t>
      </w:r>
      <w:r>
        <w:rPr>
          <w:rFonts w:hint="eastAsia"/>
        </w:rPr>
        <w:t>2011</w:t>
      </w:r>
      <w:r>
        <w:rPr>
          <w:rFonts w:hint="eastAsia"/>
        </w:rPr>
        <w:t>年的《公共集会法》，为举行和平集会提供便利，例如订明无须取得示威许可，只需知会当局即可。但委员会关切地注意到，据报告，该法实际上遭到规避。委员会感到关切的是，许多示威活动被禁止；参与者和组织者在《预防犯罪法》和《防止恐怖主义法》下被拘留，多人还被迫签下不参加示威的保证书；而且民间社会组织受到严厉限制，包括在经费筹募方面</w:t>
      </w:r>
      <w:r>
        <w:rPr>
          <w:rFonts w:hint="eastAsia"/>
        </w:rPr>
        <w:t>(</w:t>
      </w:r>
      <w:r>
        <w:rPr>
          <w:rFonts w:hint="eastAsia"/>
        </w:rPr>
        <w:t>第十九、第二十一和第二十二条</w:t>
      </w:r>
      <w:r>
        <w:rPr>
          <w:rFonts w:hint="eastAsia"/>
        </w:rPr>
        <w:t>)</w:t>
      </w:r>
      <w:r>
        <w:rPr>
          <w:rFonts w:hint="eastAsia"/>
        </w:rPr>
        <w:t>。</w:t>
      </w:r>
    </w:p>
    <w:p w:rsidR="007C2330" w:rsidRPr="004D64EC" w:rsidRDefault="007C2330" w:rsidP="007C2330">
      <w:pPr>
        <w:pStyle w:val="SingleTxtGC"/>
        <w:rPr>
          <w:rFonts w:ascii="Time New Roman" w:eastAsia="黑体" w:hAnsi="Time New Roman" w:hint="eastAsia"/>
        </w:rPr>
      </w:pPr>
      <w:r w:rsidRPr="004D64EC">
        <w:rPr>
          <w:rFonts w:ascii="Time New Roman" w:eastAsia="黑体" w:hAnsi="Time New Roman" w:hint="eastAsia"/>
        </w:rPr>
        <w:t>33.</w:t>
      </w:r>
      <w:r w:rsidRPr="004D64EC">
        <w:rPr>
          <w:rFonts w:ascii="Time New Roman" w:eastAsia="黑体" w:hAnsi="Time New Roman" w:hint="eastAsia"/>
        </w:rPr>
        <w:tab/>
      </w:r>
      <w:r w:rsidRPr="004D64EC">
        <w:rPr>
          <w:rFonts w:ascii="Time New Roman" w:eastAsia="黑体" w:hAnsi="Time New Roman" w:hint="eastAsia"/>
        </w:rPr>
        <w:t>缔约国应按《公约》第二十一条的规定和国际标准保障和平集会权利。缔约国不得利用安全法律和措施恐吓行使这一权利的民间社会成员，并应确保其能够自由开展活动且可获得资助。</w:t>
      </w:r>
    </w:p>
    <w:p w:rsidR="007C2330" w:rsidRDefault="007C2330" w:rsidP="007C2330">
      <w:pPr>
        <w:pStyle w:val="H23GC"/>
      </w:pPr>
      <w:r>
        <w:rPr>
          <w:rFonts w:hint="eastAsia"/>
        </w:rPr>
        <w:tab/>
      </w:r>
      <w:r>
        <w:rPr>
          <w:rFonts w:hint="eastAsia"/>
        </w:rPr>
        <w:tab/>
      </w:r>
      <w:r>
        <w:rPr>
          <w:rFonts w:hint="eastAsia"/>
        </w:rPr>
        <w:t>参与公共事务</w:t>
      </w:r>
    </w:p>
    <w:p w:rsidR="007C2330" w:rsidRDefault="007C2330" w:rsidP="007C2330">
      <w:pPr>
        <w:pStyle w:val="SingleTxtGC"/>
      </w:pPr>
      <w:r>
        <w:rPr>
          <w:rFonts w:hint="eastAsia"/>
        </w:rPr>
        <w:t>34.</w:t>
      </w:r>
      <w:r>
        <w:rPr>
          <w:rFonts w:hint="eastAsia"/>
        </w:rPr>
        <w:tab/>
      </w:r>
      <w:r>
        <w:rPr>
          <w:rFonts w:hint="eastAsia"/>
        </w:rPr>
        <w:t>委员会欢迎国家妇女委员会的设立和妇女参与政治的程度有所提高，但注意到在工业部门和公共部门工作的妇女比率依然很低</w:t>
      </w:r>
      <w:r>
        <w:rPr>
          <w:rFonts w:hint="eastAsia"/>
        </w:rPr>
        <w:t>(</w:t>
      </w:r>
      <w:r>
        <w:rPr>
          <w:rFonts w:hint="eastAsia"/>
        </w:rPr>
        <w:t>第二十五条</w:t>
      </w:r>
      <w:r>
        <w:rPr>
          <w:rFonts w:hint="eastAsia"/>
        </w:rPr>
        <w:t>)</w:t>
      </w:r>
      <w:r>
        <w:rPr>
          <w:rFonts w:hint="eastAsia"/>
        </w:rPr>
        <w:t>。</w:t>
      </w:r>
    </w:p>
    <w:p w:rsidR="007C2330" w:rsidRPr="002A3552" w:rsidRDefault="007C2330" w:rsidP="007C2330">
      <w:pPr>
        <w:pStyle w:val="SingleTxtGC"/>
        <w:rPr>
          <w:rFonts w:ascii="Time New Roman" w:eastAsia="黑体" w:hAnsi="Time New Roman" w:hint="eastAsia"/>
        </w:rPr>
      </w:pPr>
      <w:r w:rsidRPr="002A3552">
        <w:rPr>
          <w:rFonts w:ascii="Time New Roman" w:eastAsia="黑体" w:hAnsi="Time New Roman" w:hint="eastAsia"/>
        </w:rPr>
        <w:t>35.</w:t>
      </w:r>
      <w:r w:rsidRPr="002A3552">
        <w:rPr>
          <w:rFonts w:ascii="Time New Roman" w:eastAsia="黑体" w:hAnsi="Time New Roman" w:hint="eastAsia"/>
        </w:rPr>
        <w:tab/>
      </w:r>
      <w:r w:rsidRPr="002A3552">
        <w:rPr>
          <w:rFonts w:ascii="Time New Roman" w:eastAsia="黑体" w:hAnsi="Time New Roman" w:hint="eastAsia"/>
        </w:rPr>
        <w:t>缔约国应采取一切必要措施，包括采取临时特别措施，进一步提高妇女参与私营部门和公共部门的程度，特别是担任决策职位。</w:t>
      </w:r>
    </w:p>
    <w:p w:rsidR="007C2330" w:rsidRDefault="007C2330" w:rsidP="007C2330">
      <w:pPr>
        <w:pStyle w:val="H1GC"/>
      </w:pPr>
      <w:r>
        <w:rPr>
          <w:rFonts w:hint="eastAsia"/>
        </w:rPr>
        <w:tab/>
        <w:t>D.</w:t>
      </w:r>
      <w:r>
        <w:rPr>
          <w:rFonts w:hint="eastAsia"/>
        </w:rPr>
        <w:tab/>
      </w:r>
      <w:r>
        <w:rPr>
          <w:rFonts w:hint="eastAsia"/>
        </w:rPr>
        <w:t>传播和后续行动</w:t>
      </w:r>
    </w:p>
    <w:p w:rsidR="007C2330" w:rsidRDefault="007C2330" w:rsidP="007C2330">
      <w:pPr>
        <w:pStyle w:val="SingleTxtGC"/>
      </w:pPr>
      <w:r>
        <w:rPr>
          <w:rFonts w:hint="eastAsia"/>
        </w:rPr>
        <w:t>36.</w:t>
      </w:r>
      <w:r>
        <w:rPr>
          <w:rFonts w:hint="eastAsia"/>
        </w:rPr>
        <w:tab/>
      </w:r>
      <w:r>
        <w:rPr>
          <w:rFonts w:hint="eastAsia"/>
        </w:rPr>
        <w:t>缔约国应广泛传播《公约》、缔约国的第五次定期报告、对委员会问题清单的书面答复和本结论性意见，以提高司法、立法和行政部门以及在缔约国开展活动的民间社会团体和非政府组织及广大公众对《公约》所载权利的认识。</w:t>
      </w:r>
    </w:p>
    <w:p w:rsidR="007C2330" w:rsidRDefault="007C2330" w:rsidP="007C2330">
      <w:pPr>
        <w:pStyle w:val="SingleTxtGC"/>
      </w:pPr>
      <w:r>
        <w:rPr>
          <w:rFonts w:hint="eastAsia"/>
        </w:rPr>
        <w:t>37.</w:t>
      </w:r>
      <w:r>
        <w:rPr>
          <w:rFonts w:hint="eastAsia"/>
        </w:rPr>
        <w:tab/>
      </w:r>
      <w:r>
        <w:rPr>
          <w:rFonts w:hint="eastAsia"/>
        </w:rPr>
        <w:t>根据委员会议事规则第</w:t>
      </w:r>
      <w:r>
        <w:rPr>
          <w:rFonts w:hint="eastAsia"/>
        </w:rPr>
        <w:t>71</w:t>
      </w:r>
      <w:r>
        <w:rPr>
          <w:rFonts w:hint="eastAsia"/>
        </w:rPr>
        <w:t>条第</w:t>
      </w:r>
      <w:r>
        <w:rPr>
          <w:rFonts w:hint="eastAsia"/>
        </w:rPr>
        <w:t>5</w:t>
      </w:r>
      <w:r>
        <w:rPr>
          <w:rFonts w:hint="eastAsia"/>
        </w:rPr>
        <w:t>款，缔约国应在</w:t>
      </w:r>
      <w:r>
        <w:rPr>
          <w:rFonts w:hint="eastAsia"/>
        </w:rPr>
        <w:t>2019</w:t>
      </w:r>
      <w:r>
        <w:rPr>
          <w:rFonts w:hint="eastAsia"/>
        </w:rPr>
        <w:t>年</w:t>
      </w:r>
      <w:r>
        <w:rPr>
          <w:rFonts w:hint="eastAsia"/>
        </w:rPr>
        <w:t>11</w:t>
      </w:r>
      <w:r>
        <w:rPr>
          <w:rFonts w:hint="eastAsia"/>
        </w:rPr>
        <w:t>月</w:t>
      </w:r>
      <w:r>
        <w:rPr>
          <w:rFonts w:hint="eastAsia"/>
        </w:rPr>
        <w:t>10</w:t>
      </w:r>
      <w:r>
        <w:rPr>
          <w:rFonts w:hint="eastAsia"/>
        </w:rPr>
        <w:t>日前提供资料，说明委员会在上文第</w:t>
      </w:r>
      <w:r>
        <w:rPr>
          <w:rFonts w:hint="eastAsia"/>
        </w:rPr>
        <w:t>11</w:t>
      </w:r>
      <w:r>
        <w:rPr>
          <w:rFonts w:hint="eastAsia"/>
        </w:rPr>
        <w:t>段</w:t>
      </w:r>
      <w:r>
        <w:rPr>
          <w:rFonts w:hint="eastAsia"/>
        </w:rPr>
        <w:t>(</w:t>
      </w:r>
      <w:r>
        <w:rPr>
          <w:rFonts w:hint="eastAsia"/>
        </w:rPr>
        <w:t>暴力侵害妇女，包括家庭暴力</w:t>
      </w:r>
      <w:r>
        <w:rPr>
          <w:rFonts w:hint="eastAsia"/>
        </w:rPr>
        <w:t>)</w:t>
      </w:r>
      <w:r>
        <w:rPr>
          <w:rFonts w:hint="eastAsia"/>
        </w:rPr>
        <w:t>、第</w:t>
      </w:r>
      <w:r>
        <w:rPr>
          <w:rFonts w:hint="eastAsia"/>
        </w:rPr>
        <w:t>19</w:t>
      </w:r>
      <w:r>
        <w:rPr>
          <w:rFonts w:hint="eastAsia"/>
        </w:rPr>
        <w:t>段</w:t>
      </w:r>
      <w:r>
        <w:rPr>
          <w:rFonts w:hint="eastAsia"/>
        </w:rPr>
        <w:t>(</w:t>
      </w:r>
      <w:r>
        <w:rPr>
          <w:rFonts w:hint="eastAsia"/>
        </w:rPr>
        <w:t>生命权、人身自由和安全以及被剥夺自由的人的人道待遇</w:t>
      </w:r>
      <w:r>
        <w:rPr>
          <w:rFonts w:hint="eastAsia"/>
        </w:rPr>
        <w:t>)</w:t>
      </w:r>
      <w:r>
        <w:rPr>
          <w:rFonts w:hint="eastAsia"/>
        </w:rPr>
        <w:t>和第</w:t>
      </w:r>
      <w:r>
        <w:rPr>
          <w:rFonts w:hint="eastAsia"/>
        </w:rPr>
        <w:t>25</w:t>
      </w:r>
      <w:r>
        <w:rPr>
          <w:rFonts w:hint="eastAsia"/>
        </w:rPr>
        <w:t>段</w:t>
      </w:r>
      <w:r>
        <w:rPr>
          <w:rFonts w:hint="eastAsia"/>
        </w:rPr>
        <w:t>(</w:t>
      </w:r>
      <w:r>
        <w:rPr>
          <w:rFonts w:hint="eastAsia"/>
        </w:rPr>
        <w:t>难民与不驱回</w:t>
      </w:r>
      <w:r>
        <w:rPr>
          <w:rFonts w:hint="eastAsia"/>
        </w:rPr>
        <w:t>)</w:t>
      </w:r>
      <w:r>
        <w:rPr>
          <w:rFonts w:hint="eastAsia"/>
        </w:rPr>
        <w:t>所提建议的落实情况。</w:t>
      </w:r>
    </w:p>
    <w:p w:rsidR="007C2330" w:rsidRDefault="007C2330" w:rsidP="007C2330">
      <w:pPr>
        <w:pStyle w:val="SingleTxtGC"/>
      </w:pPr>
      <w:r>
        <w:rPr>
          <w:rFonts w:hint="eastAsia"/>
        </w:rPr>
        <w:t>38.</w:t>
      </w:r>
      <w:r>
        <w:rPr>
          <w:rFonts w:hint="eastAsia"/>
        </w:rPr>
        <w:tab/>
      </w:r>
      <w:r>
        <w:rPr>
          <w:rFonts w:hint="eastAsia"/>
        </w:rPr>
        <w:t>委员会请缔约国在</w:t>
      </w:r>
      <w:r>
        <w:rPr>
          <w:rFonts w:hint="eastAsia"/>
        </w:rPr>
        <w:t>2022</w:t>
      </w:r>
      <w:r>
        <w:rPr>
          <w:rFonts w:hint="eastAsia"/>
        </w:rPr>
        <w:t>年</w:t>
      </w:r>
      <w:r>
        <w:rPr>
          <w:rFonts w:hint="eastAsia"/>
        </w:rPr>
        <w:t>11</w:t>
      </w:r>
      <w:r>
        <w:rPr>
          <w:rFonts w:hint="eastAsia"/>
        </w:rPr>
        <w:t>月</w:t>
      </w:r>
      <w:r>
        <w:rPr>
          <w:rFonts w:hint="eastAsia"/>
        </w:rPr>
        <w:t>10</w:t>
      </w:r>
      <w:r>
        <w:rPr>
          <w:rFonts w:hint="eastAsia"/>
        </w:rPr>
        <w:t>日前提交下次定期报告，载</w:t>
      </w:r>
      <w:proofErr w:type="gramStart"/>
      <w:r>
        <w:rPr>
          <w:rFonts w:hint="eastAsia"/>
        </w:rPr>
        <w:t>列具体</w:t>
      </w:r>
      <w:proofErr w:type="gramEnd"/>
      <w:r>
        <w:rPr>
          <w:rFonts w:hint="eastAsia"/>
        </w:rPr>
        <w:t>和最新资料说明落实本结论性意见所提建议和全面履行《公约》的情况。委员会还请缔约国在编写报告时广泛征求在缔约国开展活动的民间社会团体和非政府组织的意见。按照大会第</w:t>
      </w:r>
      <w:r>
        <w:rPr>
          <w:rFonts w:hint="eastAsia"/>
        </w:rPr>
        <w:t>68/268</w:t>
      </w:r>
      <w:r>
        <w:rPr>
          <w:rFonts w:hint="eastAsia"/>
        </w:rPr>
        <w:t>号决议，报告字数应限制在</w:t>
      </w:r>
      <w:r>
        <w:rPr>
          <w:rFonts w:hint="eastAsia"/>
        </w:rPr>
        <w:t>21,200</w:t>
      </w:r>
      <w:r>
        <w:rPr>
          <w:rFonts w:hint="eastAsia"/>
        </w:rPr>
        <w:t>字以内。或者，委员会请缔约国在本结论性意见通过后一年内同意采用简化报告程序，即由委员会向缔约国发送问题清单供其提交报告。缔约国对问题清单的答复将构成其根据《公约》第四十条提交的下次定期报告。</w:t>
      </w:r>
    </w:p>
    <w:p w:rsidR="007C2330" w:rsidRPr="002D6A9C" w:rsidRDefault="007C233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C2330" w:rsidRPr="007C2330" w:rsidRDefault="007C2330" w:rsidP="007C2330">
      <w:pPr>
        <w:pStyle w:val="SingleTxtGC"/>
      </w:pPr>
    </w:p>
    <w:sectPr w:rsidR="007C2330" w:rsidRPr="007C233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A6C" w:rsidRPr="000D319F" w:rsidRDefault="00D86A6C" w:rsidP="000D319F">
      <w:pPr>
        <w:pStyle w:val="af0"/>
        <w:spacing w:after="240"/>
        <w:ind w:left="907"/>
        <w:rPr>
          <w:rFonts w:asciiTheme="majorBidi" w:eastAsia="宋体" w:hAnsiTheme="majorBidi" w:cstheme="majorBidi"/>
          <w:sz w:val="21"/>
          <w:szCs w:val="21"/>
          <w:lang w:val="en-US"/>
        </w:rPr>
      </w:pPr>
    </w:p>
    <w:p w:rsidR="00D86A6C" w:rsidRPr="000D319F" w:rsidRDefault="00D86A6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86A6C" w:rsidRPr="000D319F" w:rsidRDefault="00D86A6C" w:rsidP="000D319F">
      <w:pPr>
        <w:pStyle w:val="af0"/>
      </w:pPr>
    </w:p>
  </w:endnote>
  <w:endnote w:type="continuationNotice" w:id="1">
    <w:p w:rsidR="00D86A6C" w:rsidRDefault="00D86A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330" w:rsidRPr="00EE1AAF" w:rsidRDefault="007C2330" w:rsidP="00EE1AA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D79C6">
      <w:rPr>
        <w:rStyle w:val="af2"/>
        <w:noProof/>
      </w:rPr>
      <w:t>2</w:t>
    </w:r>
    <w:r>
      <w:rPr>
        <w:rStyle w:val="af2"/>
      </w:rPr>
      <w:fldChar w:fldCharType="end"/>
    </w:r>
    <w:r>
      <w:rPr>
        <w:rStyle w:val="af2"/>
      </w:rPr>
      <w:tab/>
    </w:r>
    <w:proofErr w:type="spellStart"/>
    <w:r w:rsidRPr="00EE1AAF">
      <w:rPr>
        <w:rStyle w:val="af2"/>
        <w:b w:val="0"/>
        <w:snapToGrid w:val="0"/>
        <w:sz w:val="16"/>
      </w:rPr>
      <w:t>GE.17</w:t>
    </w:r>
    <w:proofErr w:type="spellEnd"/>
    <w:r w:rsidRPr="00EE1AAF">
      <w:rPr>
        <w:rStyle w:val="af2"/>
        <w:b w:val="0"/>
        <w:snapToGrid w:val="0"/>
        <w:sz w:val="16"/>
      </w:rPr>
      <w:t>-21522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330" w:rsidRPr="00EE1AAF" w:rsidRDefault="007C2330" w:rsidP="00EE1AAF">
    <w:pPr>
      <w:pStyle w:val="af0"/>
      <w:tabs>
        <w:tab w:val="clear" w:pos="431"/>
        <w:tab w:val="right" w:pos="9638"/>
      </w:tabs>
      <w:rPr>
        <w:rStyle w:val="af2"/>
      </w:rPr>
    </w:pPr>
    <w:proofErr w:type="spellStart"/>
    <w:r>
      <w:t>GE.17</w:t>
    </w:r>
    <w:proofErr w:type="spellEnd"/>
    <w:r>
      <w:t>-21522</w:t>
    </w:r>
    <w:r>
      <w:tab/>
    </w:r>
    <w:r>
      <w:rPr>
        <w:rStyle w:val="af2"/>
      </w:rPr>
      <w:fldChar w:fldCharType="begin"/>
    </w:r>
    <w:r>
      <w:rPr>
        <w:rStyle w:val="af2"/>
      </w:rPr>
      <w:instrText xml:space="preserve"> PAGE  \* MERGEFORMAT </w:instrText>
    </w:r>
    <w:r>
      <w:rPr>
        <w:rStyle w:val="af2"/>
      </w:rPr>
      <w:fldChar w:fldCharType="separate"/>
    </w:r>
    <w:r w:rsidR="004D79C6">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330" w:rsidRPr="00EA7E67" w:rsidRDefault="007C2330" w:rsidP="00D7172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-21522</w:t>
    </w:r>
    <w:r w:rsidRPr="00EE277A">
      <w:rPr>
        <w:sz w:val="20"/>
        <w:lang w:eastAsia="zh-CN"/>
      </w:rPr>
      <w:t xml:space="preserve"> (C)</w:t>
    </w:r>
    <w:r>
      <w:rPr>
        <w:sz w:val="20"/>
        <w:lang w:eastAsia="zh-CN"/>
      </w:rPr>
      <w:tab/>
    </w:r>
    <w:r w:rsidR="00C41D3C">
      <w:rPr>
        <w:sz w:val="20"/>
        <w:lang w:eastAsia="zh-CN"/>
      </w:rPr>
      <w:t>1412</w:t>
    </w:r>
    <w:r>
      <w:rPr>
        <w:sz w:val="20"/>
        <w:lang w:eastAsia="zh-CN"/>
      </w:rPr>
      <w:t>1</w:t>
    </w:r>
    <w:r>
      <w:rPr>
        <w:rFonts w:eastAsiaTheme="minorEastAsia" w:hint="eastAsia"/>
        <w:sz w:val="20"/>
        <w:lang w:eastAsia="zh-CN"/>
      </w:rPr>
      <w:t>7</w:t>
    </w:r>
    <w:r>
      <w:rPr>
        <w:sz w:val="20"/>
        <w:lang w:eastAsia="zh-CN"/>
      </w:rPr>
      <w:tab/>
    </w:r>
    <w:r w:rsidR="00D71722">
      <w:rPr>
        <w:sz w:val="20"/>
        <w:lang w:eastAsia="zh-CN"/>
      </w:rPr>
      <w:t>3</w:t>
    </w:r>
    <w:r>
      <w:rPr>
        <w:sz w:val="20"/>
        <w:lang w:eastAsia="zh-CN"/>
      </w:rPr>
      <w:t>00</w:t>
    </w:r>
    <w:r w:rsidR="00D71722">
      <w:rPr>
        <w:sz w:val="20"/>
        <w:lang w:eastAsia="zh-CN"/>
      </w:rPr>
      <w:t>1</w:t>
    </w:r>
    <w:r>
      <w:rPr>
        <w:sz w:val="20"/>
        <w:lang w:eastAsia="zh-CN"/>
      </w:rPr>
      <w:t>1</w:t>
    </w:r>
    <w:r w:rsidR="00D71722">
      <w:rPr>
        <w:rFonts w:eastAsiaTheme="minorEastAsia"/>
        <w:sz w:val="20"/>
        <w:lang w:eastAsia="zh-CN"/>
      </w:rPr>
      <w:t>8</w:t>
    </w:r>
  </w:p>
  <w:p w:rsidR="007C2330" w:rsidRPr="00487939" w:rsidRDefault="007C2330" w:rsidP="007C2330">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JOR/CO/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OR/CO/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A6C" w:rsidRPr="000157B1" w:rsidRDefault="00D86A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86A6C" w:rsidRPr="000157B1" w:rsidRDefault="00D86A6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86A6C" w:rsidRDefault="00D86A6C"/>
  </w:footnote>
  <w:footnote w:id="2">
    <w:p w:rsidR="007C2330" w:rsidRDefault="007C2330" w:rsidP="00C41D3C">
      <w:pPr>
        <w:pStyle w:val="a6"/>
      </w:pPr>
      <w:r>
        <w:tab/>
      </w:r>
      <w:r w:rsidRPr="00C41D3C">
        <w:rPr>
          <w:rStyle w:val="a8"/>
          <w:rFonts w:eastAsia="宋体"/>
          <w:szCs w:val="21"/>
          <w:vertAlign w:val="baseline"/>
        </w:rPr>
        <w:t>*</w:t>
      </w:r>
      <w:r>
        <w:tab/>
      </w:r>
      <w:r w:rsidRPr="004B49AB">
        <w:rPr>
          <w:rFonts w:hint="eastAsia"/>
        </w:rPr>
        <w:t>委员会第</w:t>
      </w:r>
      <w:r>
        <w:rPr>
          <w:rFonts w:hint="eastAsia"/>
        </w:rPr>
        <w:t>121</w:t>
      </w:r>
      <w:r w:rsidRPr="004B49AB">
        <w:rPr>
          <w:rFonts w:hint="eastAsia"/>
        </w:rPr>
        <w:t>届会议</w:t>
      </w:r>
      <w:r w:rsidRPr="004B49AB">
        <w:t>(2017</w:t>
      </w:r>
      <w:r w:rsidRPr="004B49AB">
        <w:rPr>
          <w:rFonts w:hint="eastAsia"/>
        </w:rPr>
        <w:t>年</w:t>
      </w:r>
      <w:r>
        <w:rPr>
          <w:rFonts w:hint="eastAsia"/>
        </w:rPr>
        <w:t>10</w:t>
      </w:r>
      <w:r w:rsidRPr="004B49AB">
        <w:rPr>
          <w:rFonts w:hint="eastAsia"/>
        </w:rPr>
        <w:t>月</w:t>
      </w:r>
      <w:r>
        <w:rPr>
          <w:rFonts w:hint="eastAsia"/>
        </w:rPr>
        <w:t>16</w:t>
      </w:r>
      <w:r w:rsidRPr="004B49AB">
        <w:rPr>
          <w:rFonts w:hint="eastAsia"/>
        </w:rPr>
        <w:t>日至</w:t>
      </w:r>
      <w:r>
        <w:rPr>
          <w:rFonts w:hint="eastAsia"/>
        </w:rPr>
        <w:t>11</w:t>
      </w:r>
      <w:r>
        <w:rPr>
          <w:rFonts w:hint="eastAsia"/>
        </w:rPr>
        <w:t>月</w:t>
      </w:r>
      <w:r>
        <w:rPr>
          <w:rFonts w:hint="eastAsia"/>
        </w:rPr>
        <w:t>10</w:t>
      </w:r>
      <w:r w:rsidRPr="004B49AB">
        <w:rPr>
          <w:rFonts w:hint="eastAsia"/>
        </w:rPr>
        <w:t>日</w:t>
      </w:r>
      <w:r w:rsidRPr="004B49AB">
        <w:t>)</w:t>
      </w:r>
      <w:r w:rsidRPr="004B49AB">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330" w:rsidRDefault="007C2330" w:rsidP="00EE1AAF">
    <w:pPr>
      <w:pStyle w:val="af3"/>
    </w:pPr>
    <w:proofErr w:type="spellStart"/>
    <w:r>
      <w:t>CCPR</w:t>
    </w:r>
    <w:proofErr w:type="spellEnd"/>
    <w:r>
      <w:t>/C/</w:t>
    </w:r>
    <w:proofErr w:type="spellStart"/>
    <w:r>
      <w:t>JOR</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330" w:rsidRPr="00202A30" w:rsidRDefault="007C2330" w:rsidP="00EE1AAF">
    <w:pPr>
      <w:pStyle w:val="af3"/>
      <w:jc w:val="right"/>
    </w:pPr>
    <w:proofErr w:type="spellStart"/>
    <w:r>
      <w:t>CCPR</w:t>
    </w:r>
    <w:proofErr w:type="spellEnd"/>
    <w:r>
      <w:t>/C/</w:t>
    </w:r>
    <w:proofErr w:type="spellStart"/>
    <w:r>
      <w:t>JOR</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AB44AD"/>
    <w:multiLevelType w:val="hybridMultilevel"/>
    <w:tmpl w:val="EFC6FE5E"/>
    <w:lvl w:ilvl="0" w:tplc="43F4582C">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 w15:restartNumberingAfterBreak="0">
    <w:nsid w:val="39EA72A9"/>
    <w:multiLevelType w:val="hybridMultilevel"/>
    <w:tmpl w:val="1804DAA4"/>
    <w:lvl w:ilvl="0" w:tplc="5BAC5C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716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1546"/>
    <w:rsid w:val="00011483"/>
    <w:rsid w:val="0004554F"/>
    <w:rsid w:val="000A7982"/>
    <w:rsid w:val="000D319F"/>
    <w:rsid w:val="000E4D0E"/>
    <w:rsid w:val="000F5EB8"/>
    <w:rsid w:val="00144B69"/>
    <w:rsid w:val="00153E86"/>
    <w:rsid w:val="0017083E"/>
    <w:rsid w:val="00171546"/>
    <w:rsid w:val="00172E04"/>
    <w:rsid w:val="00175CE2"/>
    <w:rsid w:val="001B1BD1"/>
    <w:rsid w:val="001C3EF2"/>
    <w:rsid w:val="001D17F6"/>
    <w:rsid w:val="001E179E"/>
    <w:rsid w:val="00204B42"/>
    <w:rsid w:val="0021265F"/>
    <w:rsid w:val="002231C3"/>
    <w:rsid w:val="0024417F"/>
    <w:rsid w:val="00250F8D"/>
    <w:rsid w:val="002A3552"/>
    <w:rsid w:val="002E1C97"/>
    <w:rsid w:val="002F5834"/>
    <w:rsid w:val="003006AB"/>
    <w:rsid w:val="00326EBF"/>
    <w:rsid w:val="00327FE4"/>
    <w:rsid w:val="003333CC"/>
    <w:rsid w:val="00385EF3"/>
    <w:rsid w:val="003E625B"/>
    <w:rsid w:val="00427F63"/>
    <w:rsid w:val="00434D38"/>
    <w:rsid w:val="00494EB8"/>
    <w:rsid w:val="004C4A0A"/>
    <w:rsid w:val="004D0A00"/>
    <w:rsid w:val="004D64EC"/>
    <w:rsid w:val="004D79C6"/>
    <w:rsid w:val="004F348E"/>
    <w:rsid w:val="00501220"/>
    <w:rsid w:val="005164FE"/>
    <w:rsid w:val="00567E95"/>
    <w:rsid w:val="005A00C6"/>
    <w:rsid w:val="005E403A"/>
    <w:rsid w:val="005E4086"/>
    <w:rsid w:val="00604D91"/>
    <w:rsid w:val="006257FE"/>
    <w:rsid w:val="00670DEE"/>
    <w:rsid w:val="00680656"/>
    <w:rsid w:val="0069472E"/>
    <w:rsid w:val="006B1119"/>
    <w:rsid w:val="006D3757"/>
    <w:rsid w:val="006D37EB"/>
    <w:rsid w:val="006E3E46"/>
    <w:rsid w:val="006E71B1"/>
    <w:rsid w:val="006F1404"/>
    <w:rsid w:val="0070593B"/>
    <w:rsid w:val="00705D89"/>
    <w:rsid w:val="00731A42"/>
    <w:rsid w:val="00755487"/>
    <w:rsid w:val="00767E69"/>
    <w:rsid w:val="0077079A"/>
    <w:rsid w:val="00771504"/>
    <w:rsid w:val="007A5599"/>
    <w:rsid w:val="007C2330"/>
    <w:rsid w:val="00856233"/>
    <w:rsid w:val="00860F27"/>
    <w:rsid w:val="008B0560"/>
    <w:rsid w:val="008B2BFA"/>
    <w:rsid w:val="008D31F4"/>
    <w:rsid w:val="008E6A3F"/>
    <w:rsid w:val="00923557"/>
    <w:rsid w:val="00936F03"/>
    <w:rsid w:val="00943B69"/>
    <w:rsid w:val="00944CB3"/>
    <w:rsid w:val="0096722F"/>
    <w:rsid w:val="00986624"/>
    <w:rsid w:val="009B09D7"/>
    <w:rsid w:val="009D35ED"/>
    <w:rsid w:val="00A03CB6"/>
    <w:rsid w:val="00A1364C"/>
    <w:rsid w:val="00A21076"/>
    <w:rsid w:val="00A31BA8"/>
    <w:rsid w:val="00A3739A"/>
    <w:rsid w:val="00A52DAF"/>
    <w:rsid w:val="00A84072"/>
    <w:rsid w:val="00AA0008"/>
    <w:rsid w:val="00B16570"/>
    <w:rsid w:val="00B23158"/>
    <w:rsid w:val="00B23B03"/>
    <w:rsid w:val="00B43EB7"/>
    <w:rsid w:val="00B53320"/>
    <w:rsid w:val="00B614C4"/>
    <w:rsid w:val="00BC6522"/>
    <w:rsid w:val="00C121D5"/>
    <w:rsid w:val="00C17349"/>
    <w:rsid w:val="00C351AA"/>
    <w:rsid w:val="00C41D3C"/>
    <w:rsid w:val="00C70852"/>
    <w:rsid w:val="00C7253F"/>
    <w:rsid w:val="00C90707"/>
    <w:rsid w:val="00CE1D1C"/>
    <w:rsid w:val="00D26A05"/>
    <w:rsid w:val="00D71722"/>
    <w:rsid w:val="00D86A6C"/>
    <w:rsid w:val="00D9309B"/>
    <w:rsid w:val="00D97B98"/>
    <w:rsid w:val="00DC671F"/>
    <w:rsid w:val="00DE4DA7"/>
    <w:rsid w:val="00E02C13"/>
    <w:rsid w:val="00E1223F"/>
    <w:rsid w:val="00E33B38"/>
    <w:rsid w:val="00E442A1"/>
    <w:rsid w:val="00E47FE5"/>
    <w:rsid w:val="00E574AF"/>
    <w:rsid w:val="00EA7E67"/>
    <w:rsid w:val="00EE1AAF"/>
    <w:rsid w:val="00F24E6D"/>
    <w:rsid w:val="00F714DA"/>
    <w:rsid w:val="00FB456B"/>
    <w:rsid w:val="00FD15E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15:docId w15:val="{145CBE9B-4144-41D6-9D05-3E0D7C7F6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35BBB-F896-4047-AF35-1B5718A9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5448</Words>
  <Characters>5861</Characters>
  <Application>Microsoft Office Word</Application>
  <DocSecurity>0</DocSecurity>
  <Lines>215</Lines>
  <Paragraphs>82</Paragraphs>
  <ScaleCrop>false</ScaleCrop>
  <Company>DCM</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1721522</dc:title>
  <dc:subject>CCPR/C/JOR/CO/5</dc:subject>
  <dc:creator>tian</dc:creator>
  <cp:keywords/>
  <dc:description/>
  <cp:lastModifiedBy>Hui TIAN</cp:lastModifiedBy>
  <cp:revision>2</cp:revision>
  <cp:lastPrinted>2014-05-09T11:28:00Z</cp:lastPrinted>
  <dcterms:created xsi:type="dcterms:W3CDTF">2018-01-30T14:28:00Z</dcterms:created>
  <dcterms:modified xsi:type="dcterms:W3CDTF">2018-01-30T14:28:00Z</dcterms:modified>
</cp:coreProperties>
</file>