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87D95">
        <w:trPr>
          <w:cantSplit/>
          <w:trHeight w:hRule="exact" w:val="851"/>
        </w:trPr>
        <w:tc>
          <w:tcPr>
            <w:tcW w:w="1276" w:type="dxa"/>
            <w:tcBorders>
              <w:bottom w:val="single" w:sz="4" w:space="0" w:color="auto"/>
            </w:tcBorders>
            <w:vAlign w:val="bottom"/>
          </w:tcPr>
          <w:p w:rsidR="00B56E9C" w:rsidRPr="00EF3155" w:rsidRDefault="00B56E9C" w:rsidP="00B6553F">
            <w:pPr>
              <w:spacing w:after="80"/>
            </w:pPr>
          </w:p>
        </w:tc>
        <w:tc>
          <w:tcPr>
            <w:tcW w:w="2268" w:type="dxa"/>
            <w:tcBorders>
              <w:bottom w:val="single" w:sz="4" w:space="0" w:color="auto"/>
            </w:tcBorders>
            <w:vAlign w:val="bottom"/>
          </w:tcPr>
          <w:p w:rsidR="00B56E9C" w:rsidRPr="00087D95" w:rsidRDefault="00CF2E76" w:rsidP="00B6553F">
            <w:pPr>
              <w:spacing w:after="80" w:line="300" w:lineRule="exact"/>
              <w:rPr>
                <w:b/>
                <w:sz w:val="24"/>
                <w:szCs w:val="24"/>
              </w:rPr>
            </w:pPr>
            <w:r w:rsidRPr="00087D95">
              <w:rPr>
                <w:sz w:val="28"/>
                <w:szCs w:val="28"/>
              </w:rPr>
              <w:t>United Nations</w:t>
            </w:r>
          </w:p>
        </w:tc>
        <w:tc>
          <w:tcPr>
            <w:tcW w:w="6095" w:type="dxa"/>
            <w:gridSpan w:val="2"/>
            <w:tcBorders>
              <w:bottom w:val="single" w:sz="4" w:space="0" w:color="auto"/>
            </w:tcBorders>
            <w:vAlign w:val="bottom"/>
          </w:tcPr>
          <w:p w:rsidR="00B56E9C" w:rsidRPr="00087D95" w:rsidRDefault="001F7F4C" w:rsidP="00490164">
            <w:pPr>
              <w:jc w:val="right"/>
            </w:pPr>
            <w:r w:rsidRPr="00087D95">
              <w:rPr>
                <w:sz w:val="40"/>
              </w:rPr>
              <w:t>CCPR</w:t>
            </w:r>
            <w:r w:rsidRPr="00087D95">
              <w:t>/C/GC/34</w:t>
            </w:r>
          </w:p>
        </w:tc>
      </w:tr>
      <w:tr w:rsidR="00CF2E76" w:rsidRPr="00087D95">
        <w:trPr>
          <w:cantSplit/>
          <w:trHeight w:hRule="exact" w:val="2835"/>
        </w:trPr>
        <w:tc>
          <w:tcPr>
            <w:tcW w:w="1276" w:type="dxa"/>
            <w:tcBorders>
              <w:top w:val="single" w:sz="4" w:space="0" w:color="auto"/>
              <w:bottom w:val="single" w:sz="12" w:space="0" w:color="auto"/>
            </w:tcBorders>
          </w:tcPr>
          <w:p w:rsidR="00CF2E76" w:rsidRPr="00087D95" w:rsidRDefault="00CF2E76" w:rsidP="00CF2E76">
            <w:pPr>
              <w:spacing w:before="120"/>
            </w:pPr>
            <w:r w:rsidRPr="00087D9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CF2E76" w:rsidRPr="00087D95" w:rsidRDefault="00CF2E76" w:rsidP="00CF2E76">
            <w:pPr>
              <w:spacing w:before="120" w:line="380" w:lineRule="exact"/>
              <w:rPr>
                <w:sz w:val="34"/>
              </w:rPr>
            </w:pPr>
            <w:r w:rsidRPr="00087D95">
              <w:rPr>
                <w:b/>
                <w:sz w:val="34"/>
                <w:szCs w:val="40"/>
              </w:rPr>
              <w:t>International Covenant on</w:t>
            </w:r>
            <w:r w:rsidRPr="00087D95">
              <w:rPr>
                <w:b/>
                <w:sz w:val="34"/>
                <w:szCs w:val="40"/>
              </w:rPr>
              <w:br/>
              <w:t>Civil and Political Rights</w:t>
            </w:r>
          </w:p>
        </w:tc>
        <w:tc>
          <w:tcPr>
            <w:tcW w:w="2835" w:type="dxa"/>
            <w:tcBorders>
              <w:top w:val="single" w:sz="4" w:space="0" w:color="auto"/>
              <w:bottom w:val="single" w:sz="12" w:space="0" w:color="auto"/>
            </w:tcBorders>
          </w:tcPr>
          <w:p w:rsidR="00CF2E76" w:rsidRPr="00087D95" w:rsidRDefault="00CF2E76" w:rsidP="00CF2E76">
            <w:pPr>
              <w:spacing w:before="240" w:line="240" w:lineRule="exact"/>
            </w:pPr>
            <w:r w:rsidRPr="00087D95">
              <w:t>Distr.: General</w:t>
            </w:r>
          </w:p>
          <w:p w:rsidR="00CF2E76" w:rsidRPr="00087D95" w:rsidRDefault="008B65ED" w:rsidP="00CF2E76">
            <w:pPr>
              <w:spacing w:line="240" w:lineRule="exact"/>
            </w:pPr>
            <w:r>
              <w:t>1</w:t>
            </w:r>
            <w:r w:rsidR="009051A8">
              <w:t>2</w:t>
            </w:r>
            <w:r w:rsidR="00CF2E76" w:rsidRPr="00087D95">
              <w:t xml:space="preserve"> </w:t>
            </w:r>
            <w:r w:rsidR="009051A8">
              <w:t>September</w:t>
            </w:r>
            <w:r w:rsidR="00CF2E76" w:rsidRPr="00087D95">
              <w:t xml:space="preserve"> 2011</w:t>
            </w:r>
          </w:p>
          <w:p w:rsidR="00CF2E76" w:rsidRPr="00087D95" w:rsidRDefault="00CF2E76" w:rsidP="00CF2E76">
            <w:pPr>
              <w:spacing w:line="240" w:lineRule="exact"/>
            </w:pPr>
          </w:p>
          <w:p w:rsidR="00CF2E76" w:rsidRPr="00087D95" w:rsidRDefault="00CF2E76" w:rsidP="00CF2E76">
            <w:pPr>
              <w:spacing w:line="240" w:lineRule="exact"/>
            </w:pPr>
            <w:r w:rsidRPr="00087D95">
              <w:t>Original: English</w:t>
            </w:r>
          </w:p>
        </w:tc>
      </w:tr>
    </w:tbl>
    <w:p w:rsidR="001F7F4C" w:rsidRPr="00087D95" w:rsidRDefault="00667A1B" w:rsidP="00667A1B">
      <w:pPr>
        <w:spacing w:before="120"/>
        <w:rPr>
          <w:b/>
          <w:bCs/>
          <w:sz w:val="24"/>
          <w:szCs w:val="24"/>
        </w:rPr>
      </w:pPr>
      <w:r w:rsidRPr="00087D95">
        <w:rPr>
          <w:b/>
          <w:bCs/>
          <w:sz w:val="24"/>
          <w:szCs w:val="24"/>
        </w:rPr>
        <w:t>Human Rights Committee</w:t>
      </w:r>
    </w:p>
    <w:p w:rsidR="002F4AA1" w:rsidRPr="00087D95" w:rsidRDefault="00CF2E76" w:rsidP="002F4AA1">
      <w:pPr>
        <w:rPr>
          <w:b/>
          <w:bCs/>
        </w:rPr>
      </w:pPr>
      <w:r w:rsidRPr="00087D95">
        <w:rPr>
          <w:b/>
          <w:bCs/>
        </w:rPr>
        <w:t>102</w:t>
      </w:r>
      <w:r w:rsidR="00087D95">
        <w:rPr>
          <w:b/>
          <w:bCs/>
        </w:rPr>
        <w:t>nd</w:t>
      </w:r>
      <w:r w:rsidRPr="00087D95">
        <w:rPr>
          <w:b/>
          <w:bCs/>
        </w:rPr>
        <w:t xml:space="preserve"> </w:t>
      </w:r>
      <w:r w:rsidR="001F7F4C" w:rsidRPr="00087D95">
        <w:rPr>
          <w:b/>
          <w:bCs/>
        </w:rPr>
        <w:t>session</w:t>
      </w:r>
    </w:p>
    <w:p w:rsidR="002F4AA1" w:rsidRPr="00087D95" w:rsidRDefault="00916087" w:rsidP="00EB637C">
      <w:smartTag w:uri="urn:schemas-microsoft-com:office:smarttags" w:element="place">
        <w:smartTag w:uri="urn:schemas-microsoft-com:office:smarttags" w:element="City">
          <w:r w:rsidRPr="00087D95">
            <w:t>Geneva</w:t>
          </w:r>
        </w:smartTag>
      </w:smartTag>
      <w:r w:rsidR="001F7F4C" w:rsidRPr="00087D95">
        <w:t xml:space="preserve">, </w:t>
      </w:r>
      <w:r w:rsidR="00EB637C" w:rsidRPr="00087D95">
        <w:t>1</w:t>
      </w:r>
      <w:r w:rsidRPr="00087D95">
        <w:t>1</w:t>
      </w:r>
      <w:r w:rsidR="00EB637C" w:rsidRPr="00087D95">
        <w:t>-</w:t>
      </w:r>
      <w:r w:rsidRPr="00087D95">
        <w:t>29 July</w:t>
      </w:r>
      <w:r w:rsidR="00987DAD" w:rsidRPr="00087D95">
        <w:t xml:space="preserve"> </w:t>
      </w:r>
      <w:r w:rsidR="005A49BB" w:rsidRPr="00087D95">
        <w:t>201</w:t>
      </w:r>
      <w:r w:rsidR="00EB637C" w:rsidRPr="00087D95">
        <w:t>1</w:t>
      </w:r>
    </w:p>
    <w:p w:rsidR="00CF2E76" w:rsidRPr="00087D95" w:rsidRDefault="003A0E39" w:rsidP="003A0E39">
      <w:pPr>
        <w:pStyle w:val="HChG"/>
      </w:pPr>
      <w:r w:rsidRPr="00087D95">
        <w:tab/>
      </w:r>
      <w:r w:rsidRPr="00087D95">
        <w:tab/>
      </w:r>
      <w:r w:rsidR="00916087" w:rsidRPr="00087D95">
        <w:t>G</w:t>
      </w:r>
      <w:r w:rsidR="001F7F4C" w:rsidRPr="00087D95">
        <w:t>eneral comment No. 34</w:t>
      </w:r>
      <w:r w:rsidR="008A703E" w:rsidRPr="00087D95">
        <w:t xml:space="preserve"> </w:t>
      </w:r>
    </w:p>
    <w:p w:rsidR="001F7F4C" w:rsidRPr="00087D95" w:rsidRDefault="003A0E39" w:rsidP="003A0E39">
      <w:pPr>
        <w:pStyle w:val="H1G"/>
      </w:pPr>
      <w:r w:rsidRPr="00087D95">
        <w:tab/>
      </w:r>
      <w:r w:rsidRPr="00087D95">
        <w:tab/>
      </w:r>
      <w:r w:rsidR="001F7F4C" w:rsidRPr="00087D95">
        <w:t>Article 19</w:t>
      </w:r>
      <w:r w:rsidR="004C5123" w:rsidRPr="00087D95">
        <w:t>: Freedom</w:t>
      </w:r>
      <w:r w:rsidR="004C3E2A" w:rsidRPr="00087D95">
        <w:t>s</w:t>
      </w:r>
      <w:r w:rsidR="004C5123" w:rsidRPr="00087D95">
        <w:t xml:space="preserve"> of opinion and expression</w:t>
      </w:r>
    </w:p>
    <w:p w:rsidR="001F7F4C" w:rsidRPr="00087D95" w:rsidRDefault="002F4AA1" w:rsidP="002F4AA1">
      <w:pPr>
        <w:pStyle w:val="H1G"/>
      </w:pPr>
      <w:r w:rsidRPr="00087D95">
        <w:tab/>
      </w:r>
      <w:r w:rsidRPr="00087D95">
        <w:tab/>
      </w:r>
      <w:r w:rsidR="001F7F4C" w:rsidRPr="00087D95">
        <w:t>General remarks</w:t>
      </w:r>
    </w:p>
    <w:p w:rsidR="00F750BE" w:rsidRPr="00087D95" w:rsidRDefault="00F750BE" w:rsidP="00F750BE">
      <w:pPr>
        <w:pStyle w:val="SingleTxtG"/>
      </w:pPr>
      <w:r w:rsidRPr="00087D95">
        <w:t>1.</w:t>
      </w:r>
      <w:r w:rsidRPr="00087D95">
        <w:tab/>
        <w:t>This general comment replaces general comment No. 10 (nineteenth session).</w:t>
      </w:r>
    </w:p>
    <w:p w:rsidR="00F750BE" w:rsidRPr="00087D95" w:rsidRDefault="00F750BE" w:rsidP="00F750BE">
      <w:pPr>
        <w:pStyle w:val="SingleTxtG"/>
      </w:pPr>
      <w:r w:rsidRPr="00087D95">
        <w:t>2.</w:t>
      </w:r>
      <w:r w:rsidRPr="00087D95">
        <w:tab/>
        <w:t>Freedom of opinion and freedom of expression are indispensable conditions for the full development of the person. They are essential for any society.</w:t>
      </w:r>
      <w:r w:rsidRPr="00087D95">
        <w:rPr>
          <w:rStyle w:val="FootnoteReference"/>
        </w:rPr>
        <w:footnoteReference w:id="2"/>
      </w:r>
      <w:r w:rsidRPr="00087D95">
        <w:t xml:space="preserve"> They constitute the foundation stone for every free and democratic society. The two freedoms are closely related, with freedom of expression providing the vehicle for the exchange and development of opinions. </w:t>
      </w:r>
    </w:p>
    <w:p w:rsidR="00430E06" w:rsidRPr="00087D95" w:rsidRDefault="00916087" w:rsidP="00F750BE">
      <w:pPr>
        <w:pStyle w:val="SingleTxtG"/>
      </w:pPr>
      <w:r w:rsidRPr="00087D95">
        <w:t>3.</w:t>
      </w:r>
      <w:r w:rsidR="003A0E39" w:rsidRPr="00087D95">
        <w:tab/>
      </w:r>
      <w:r w:rsidR="00430E06" w:rsidRPr="00087D95">
        <w:t>Freedom of expression is a necessary condition for</w:t>
      </w:r>
      <w:r w:rsidR="00795BA3" w:rsidRPr="00087D95">
        <w:t xml:space="preserve"> the</w:t>
      </w:r>
      <w:r w:rsidR="00430E06" w:rsidRPr="00087D95">
        <w:t xml:space="preserve"> reali</w:t>
      </w:r>
      <w:r w:rsidR="005625AD" w:rsidRPr="00087D95">
        <w:t>z</w:t>
      </w:r>
      <w:r w:rsidR="00795BA3" w:rsidRPr="00087D95">
        <w:t>ation of</w:t>
      </w:r>
      <w:r w:rsidR="00430E06" w:rsidRPr="00087D95">
        <w:t xml:space="preserve"> the principles of transparency and accountability that are, in turn, essential for the promotion and protection of human rights.</w:t>
      </w:r>
    </w:p>
    <w:p w:rsidR="00F750BE" w:rsidRPr="00087D95" w:rsidRDefault="00916087" w:rsidP="008A703E">
      <w:pPr>
        <w:pStyle w:val="SingleTxtG"/>
      </w:pPr>
      <w:r w:rsidRPr="00087D95">
        <w:t>4</w:t>
      </w:r>
      <w:r w:rsidR="00F750BE" w:rsidRPr="00087D95">
        <w:t>.</w:t>
      </w:r>
      <w:r w:rsidR="00F750BE" w:rsidRPr="00087D95">
        <w:tab/>
        <w:t xml:space="preserve"> Among the other articles that contain guarantees for freedom of opinion and</w:t>
      </w:r>
      <w:r w:rsidR="00E93564" w:rsidRPr="00087D95">
        <w:t>/</w:t>
      </w:r>
      <w:r w:rsidR="00F750BE" w:rsidRPr="00087D95">
        <w:t>or expression, are articles 18, 17,</w:t>
      </w:r>
      <w:r w:rsidR="000F551D" w:rsidRPr="00087D95">
        <w:t xml:space="preserve"> </w:t>
      </w:r>
      <w:r w:rsidR="00F750BE" w:rsidRPr="00087D95">
        <w:t>25 and 27. The freedoms of opinion and expression form a basis for the full enjoyment of a wide range of other human rights. For instance, freedom of expression is integral to the enjoyment of the rights to freedom of assembly and association</w:t>
      </w:r>
      <w:r w:rsidR="0075772F" w:rsidRPr="00087D95">
        <w:t>, and the exercise of the right to vote</w:t>
      </w:r>
      <w:r w:rsidR="00F750BE" w:rsidRPr="00087D95">
        <w:t xml:space="preserve">. </w:t>
      </w:r>
    </w:p>
    <w:p w:rsidR="00F750BE" w:rsidRPr="00087D95" w:rsidRDefault="00916087" w:rsidP="00F750BE">
      <w:pPr>
        <w:pStyle w:val="SingleTxtG"/>
        <w:rPr>
          <w:rStyle w:val="FootnoteReference"/>
        </w:rPr>
      </w:pPr>
      <w:r w:rsidRPr="00087D95">
        <w:t>5</w:t>
      </w:r>
      <w:r w:rsidR="00F750BE" w:rsidRPr="00087D95">
        <w:t>.</w:t>
      </w:r>
      <w:r w:rsidR="00F750BE" w:rsidRPr="00087D95">
        <w:tab/>
        <w:t>Taking account of the specific terms of article 19, paragraph 1, as well as the relationship of opinion and thought (article 18), a reservation to paragraph 1 would be incompatible with the object and purpose of the Covenant.</w:t>
      </w:r>
      <w:r w:rsidR="00F750BE" w:rsidRPr="00087D95">
        <w:rPr>
          <w:rStyle w:val="FootnoteReference"/>
        </w:rPr>
        <w:footnoteReference w:id="3"/>
      </w:r>
      <w:r w:rsidR="00F750BE" w:rsidRPr="00087D95">
        <w:rPr>
          <w:rStyle w:val="FootnoteReference"/>
        </w:rPr>
        <w:t xml:space="preserve"> </w:t>
      </w:r>
      <w:r w:rsidR="00F750BE" w:rsidRPr="00087D95">
        <w:t>Furthermore, although freedom of opinion is not listed among those rights that may not be derogated from pursuant to the provisions of article 4 of the Covenant, it is recalled that, “in those provisions of the Covenant that are not listed in article 4, paragraph 2, there are elements that in the Committee’s opinion cannot be made subject to lawful derogation under article 4”.</w:t>
      </w:r>
      <w:r w:rsidR="00F750BE" w:rsidRPr="00087D95">
        <w:rPr>
          <w:rStyle w:val="FootnoteReference"/>
        </w:rPr>
        <w:footnoteReference w:id="4"/>
      </w:r>
      <w:r w:rsidR="00F750BE" w:rsidRPr="00087D95">
        <w:rPr>
          <w:rStyle w:val="FootnoteReference"/>
        </w:rPr>
        <w:t xml:space="preserve"> </w:t>
      </w:r>
      <w:r w:rsidR="00F750BE" w:rsidRPr="00087D95">
        <w:t>Freedom of opinion is one such element, since it can never become necessary to derogate from it during a state of emergency.</w:t>
      </w:r>
      <w:r w:rsidR="00F750BE" w:rsidRPr="00087D95">
        <w:rPr>
          <w:rStyle w:val="FootnoteReference"/>
        </w:rPr>
        <w:footnoteReference w:id="5"/>
      </w:r>
      <w:r w:rsidR="00F750BE" w:rsidRPr="00087D95">
        <w:rPr>
          <w:rStyle w:val="FootnoteReference"/>
        </w:rPr>
        <w:t xml:space="preserve"> </w:t>
      </w:r>
    </w:p>
    <w:p w:rsidR="00F750BE" w:rsidRPr="00087D95" w:rsidRDefault="00916087" w:rsidP="00F750BE">
      <w:pPr>
        <w:pStyle w:val="SingleTxtG"/>
      </w:pPr>
      <w:r w:rsidRPr="00087D95">
        <w:t>6</w:t>
      </w:r>
      <w:r w:rsidR="00F750BE" w:rsidRPr="00087D95">
        <w:t>.</w:t>
      </w:r>
      <w:r w:rsidR="00F750BE" w:rsidRPr="00087D95">
        <w:tab/>
        <w:t>Taking account of the relationship of freedom of expression to the other rights in the Covenant, while reservations to particular elements of article 19, paragraph 2</w:t>
      </w:r>
      <w:r w:rsidR="005625AD" w:rsidRPr="00087D95">
        <w:t>,</w:t>
      </w:r>
      <w:r w:rsidR="00F750BE" w:rsidRPr="00087D95">
        <w:t xml:space="preserve"> may be acceptable, a general reservation to the rights set out in paragraph 2 would be incompatible with the object and purpose of the Covenant.</w:t>
      </w:r>
      <w:r w:rsidR="00F750BE" w:rsidRPr="00087D95">
        <w:rPr>
          <w:rStyle w:val="FootnoteReference"/>
        </w:rPr>
        <w:footnoteReference w:id="6"/>
      </w:r>
    </w:p>
    <w:p w:rsidR="00F750BE" w:rsidRPr="00087D95" w:rsidRDefault="00916087" w:rsidP="00F750BE">
      <w:pPr>
        <w:pStyle w:val="SingleTxtG"/>
      </w:pPr>
      <w:r w:rsidRPr="00087D95">
        <w:t>7</w:t>
      </w:r>
      <w:r w:rsidR="00F750BE" w:rsidRPr="00087D95">
        <w:t>.</w:t>
      </w:r>
      <w:r w:rsidR="00F750BE" w:rsidRPr="00087D95">
        <w:tab/>
        <w:t>The obligation to respect freedoms of opinion and expression is binding on every State party as a whole. All branches of the State (executive, legislative and judicial) and other public or governmental authorities, at whatever level – national, regional or local – are in a position to engage the responsibility of the State party.</w:t>
      </w:r>
      <w:r w:rsidR="00F750BE" w:rsidRPr="00087D95">
        <w:rPr>
          <w:rStyle w:val="FootnoteReference"/>
        </w:rPr>
        <w:footnoteReference w:id="7"/>
      </w:r>
      <w:r w:rsidR="00F750BE" w:rsidRPr="00087D95">
        <w:t xml:space="preserve"> Such responsibility may also be incurred by a State party under some circumstances in respect of acts of semi-State entities.</w:t>
      </w:r>
      <w:r w:rsidR="00F750BE" w:rsidRPr="00087D95">
        <w:rPr>
          <w:rStyle w:val="FootnoteReference"/>
        </w:rPr>
        <w:footnoteReference w:id="8"/>
      </w:r>
      <w:r w:rsidR="00F750BE" w:rsidRPr="00087D95">
        <w:t xml:space="preserve"> The </w:t>
      </w:r>
      <w:r w:rsidR="0046511D" w:rsidRPr="00087D95">
        <w:t xml:space="preserve">obligation also requires </w:t>
      </w:r>
      <w:r w:rsidR="00F750BE" w:rsidRPr="00087D95">
        <w:t>State</w:t>
      </w:r>
      <w:r w:rsidR="00AC79CE" w:rsidRPr="00087D95">
        <w:t>s</w:t>
      </w:r>
      <w:r w:rsidR="00F750BE" w:rsidRPr="00087D95">
        <w:t xml:space="preserve"> part</w:t>
      </w:r>
      <w:r w:rsidR="0046511D" w:rsidRPr="00087D95">
        <w:t>ies to</w:t>
      </w:r>
      <w:r w:rsidR="00F750BE" w:rsidRPr="00087D95">
        <w:t xml:space="preserve"> ensure that persons are protected from any acts </w:t>
      </w:r>
      <w:r w:rsidR="00C95742" w:rsidRPr="00087D95">
        <w:t xml:space="preserve">by </w:t>
      </w:r>
      <w:r w:rsidR="00F750BE" w:rsidRPr="00087D95">
        <w:t xml:space="preserve">private persons or entities that would impair the enjoyment of </w:t>
      </w:r>
      <w:r w:rsidR="004C3E2A" w:rsidRPr="00087D95">
        <w:t xml:space="preserve">the </w:t>
      </w:r>
      <w:r w:rsidR="00F750BE" w:rsidRPr="00087D95">
        <w:t xml:space="preserve">freedoms of opinion and expression </w:t>
      </w:r>
      <w:r w:rsidR="0046511D" w:rsidRPr="00087D95">
        <w:t>to the extent that</w:t>
      </w:r>
      <w:r w:rsidR="00F750BE" w:rsidRPr="00087D95">
        <w:t xml:space="preserve"> these Covenant rights are amenable to application between private persons or entities</w:t>
      </w:r>
      <w:r w:rsidR="00787C2D" w:rsidRPr="00087D95">
        <w:t>.</w:t>
      </w:r>
      <w:r w:rsidR="00F750BE" w:rsidRPr="00087D95">
        <w:rPr>
          <w:rStyle w:val="FootnoteReference"/>
        </w:rPr>
        <w:footnoteReference w:id="9"/>
      </w:r>
      <w:r w:rsidR="00F750BE" w:rsidRPr="00087D95">
        <w:rPr>
          <w:rStyle w:val="FootnoteReference"/>
        </w:rPr>
        <w:t xml:space="preserve"> </w:t>
      </w:r>
    </w:p>
    <w:p w:rsidR="00F750BE" w:rsidRPr="009051A8" w:rsidRDefault="00916087" w:rsidP="00E93564">
      <w:pPr>
        <w:pStyle w:val="SingleTxtG"/>
      </w:pPr>
      <w:r w:rsidRPr="00087D95">
        <w:t>8</w:t>
      </w:r>
      <w:r w:rsidR="00F750BE" w:rsidRPr="00087D95">
        <w:t>.</w:t>
      </w:r>
      <w:r w:rsidR="00F750BE" w:rsidRPr="00087D95">
        <w:tab/>
        <w:t xml:space="preserve">States parties are required to ensure that the rights contained in article 19 of the Covenant are </w:t>
      </w:r>
      <w:r w:rsidR="0046511D" w:rsidRPr="00087D95">
        <w:t xml:space="preserve">given effect </w:t>
      </w:r>
      <w:r w:rsidR="0046511D" w:rsidRPr="009051A8">
        <w:t>to</w:t>
      </w:r>
      <w:r w:rsidR="0046511D" w:rsidRPr="00087D95">
        <w:t xml:space="preserve"> </w:t>
      </w:r>
      <w:r w:rsidR="00F750BE" w:rsidRPr="00087D95">
        <w:t>in the domestic law of the State, in a manner consistent with the guidance provided by the Committee in its general comment No. 3</w:t>
      </w:r>
      <w:r w:rsidR="00F750BE" w:rsidRPr="009051A8">
        <w:t>1 o</w:t>
      </w:r>
      <w:r w:rsidR="00F750BE" w:rsidRPr="00087D95">
        <w:t>n the nature of the general legal obligation imposed on States parties to the Covenant</w:t>
      </w:r>
      <w:r w:rsidR="007A16F6" w:rsidRPr="009051A8">
        <w:t>.</w:t>
      </w:r>
      <w:r w:rsidR="00E93564" w:rsidRPr="009051A8">
        <w:t xml:space="preserve"> </w:t>
      </w:r>
      <w:r w:rsidR="00EB19E6" w:rsidRPr="009051A8">
        <w:t xml:space="preserve"> </w:t>
      </w:r>
      <w:r w:rsidR="00F750BE" w:rsidRPr="009051A8">
        <w:t>It is recalled that States parties should provide the Committee</w:t>
      </w:r>
      <w:r w:rsidR="008C2A97" w:rsidRPr="009051A8">
        <w:t>,</w:t>
      </w:r>
      <w:r w:rsidR="00F750BE" w:rsidRPr="009051A8">
        <w:t xml:space="preserve"> in </w:t>
      </w:r>
      <w:r w:rsidR="0046511D" w:rsidRPr="009051A8">
        <w:t>accordance with reports</w:t>
      </w:r>
      <w:r w:rsidR="00E93564" w:rsidRPr="009051A8">
        <w:t xml:space="preserve"> submitted</w:t>
      </w:r>
      <w:r w:rsidR="0046511D" w:rsidRPr="009051A8">
        <w:t xml:space="preserve"> pursuant to article 40</w:t>
      </w:r>
      <w:r w:rsidR="008C2A97" w:rsidRPr="009051A8">
        <w:t>,</w:t>
      </w:r>
      <w:r w:rsidR="00F750BE" w:rsidRPr="009051A8">
        <w:t xml:space="preserve"> with the relevant domestic legal rules, administrative practices and judicial decisions, as well as relevant policy level and other sectorial practices relating to the rights protected by article 19, taking into account the issues discussed in the present general comment. They </w:t>
      </w:r>
      <w:r w:rsidR="0046511D" w:rsidRPr="009051A8">
        <w:t xml:space="preserve">should </w:t>
      </w:r>
      <w:r w:rsidR="00F750BE" w:rsidRPr="009051A8">
        <w:t>also include information on remedies available if those rights are violated.</w:t>
      </w:r>
    </w:p>
    <w:p w:rsidR="00F750BE" w:rsidRPr="009051A8" w:rsidRDefault="00F750BE" w:rsidP="00F750BE">
      <w:pPr>
        <w:pStyle w:val="H1G"/>
      </w:pPr>
      <w:r w:rsidRPr="009051A8">
        <w:tab/>
      </w:r>
      <w:r w:rsidRPr="009051A8">
        <w:tab/>
        <w:t>Freedom of opinion</w:t>
      </w:r>
    </w:p>
    <w:p w:rsidR="00F750BE" w:rsidRPr="009051A8" w:rsidRDefault="00916087" w:rsidP="006E7AF1">
      <w:pPr>
        <w:pStyle w:val="SingleTxtG"/>
      </w:pPr>
      <w:r w:rsidRPr="009051A8">
        <w:t>9</w:t>
      </w:r>
      <w:r w:rsidR="00F750BE" w:rsidRPr="009051A8">
        <w:t>.</w:t>
      </w:r>
      <w:r w:rsidR="00F750BE" w:rsidRPr="009051A8">
        <w:tab/>
        <w:t xml:space="preserve">Paragraph 1 of </w:t>
      </w:r>
      <w:r w:rsidR="003B46AC" w:rsidRPr="009051A8">
        <w:t>a</w:t>
      </w:r>
      <w:r w:rsidR="00F750BE" w:rsidRPr="009051A8">
        <w:t>rticle 19 requires protection of the right to hold opinions without interference. This is a right to which the Covenant permits no exception or restriction. Freedom of opinion extends to the right to change an opinion whenever and for whatever reason a person so freely chooses. No person may be subject to the impairment of any rights under the Covenant on the basis of his or her actual, perceived or supposed opinions. All forms of opinion are protected, including opinions of a political, scientific, historic, moral or religious nature. It is incompatible with paragraph 1 to criminali</w:t>
      </w:r>
      <w:r w:rsidR="005625AD" w:rsidRPr="009051A8">
        <w:t>z</w:t>
      </w:r>
      <w:r w:rsidR="00F750BE" w:rsidRPr="009051A8">
        <w:t>e the holding of an opinion.</w:t>
      </w:r>
      <w:r w:rsidR="00F750BE" w:rsidRPr="009051A8">
        <w:rPr>
          <w:rStyle w:val="FootnoteReference"/>
        </w:rPr>
        <w:footnoteReference w:id="10"/>
      </w:r>
      <w:r w:rsidR="00F750BE" w:rsidRPr="009051A8">
        <w:rPr>
          <w:rStyle w:val="FootnoteReference"/>
        </w:rPr>
        <w:t xml:space="preserve"> </w:t>
      </w:r>
      <w:r w:rsidR="00F750BE" w:rsidRPr="009051A8">
        <w:t>The harassment, intimidation or stigmati</w:t>
      </w:r>
      <w:r w:rsidR="005625AD" w:rsidRPr="009051A8">
        <w:t>z</w:t>
      </w:r>
      <w:r w:rsidR="00F750BE" w:rsidRPr="009051A8">
        <w:t>ation of a person, including arrest, detention, trial or imprisonment for reasons of the opinions they may hold, constitutes a violation of article 19, paragraph 1.</w:t>
      </w:r>
      <w:r w:rsidR="00F750BE" w:rsidRPr="009051A8">
        <w:rPr>
          <w:rStyle w:val="FootnoteReference"/>
        </w:rPr>
        <w:footnoteReference w:id="11"/>
      </w:r>
      <w:r w:rsidR="00F750BE" w:rsidRPr="009051A8">
        <w:rPr>
          <w:rStyle w:val="FootnoteReference"/>
        </w:rPr>
        <w:t xml:space="preserve"> </w:t>
      </w:r>
      <w:r w:rsidR="00F750BE" w:rsidRPr="009051A8">
        <w:t xml:space="preserve"> </w:t>
      </w:r>
    </w:p>
    <w:p w:rsidR="00F750BE" w:rsidRPr="009051A8" w:rsidRDefault="00916087" w:rsidP="006E7AF1">
      <w:pPr>
        <w:pStyle w:val="SingleTxtG"/>
      </w:pPr>
      <w:r w:rsidRPr="009051A8">
        <w:t>10</w:t>
      </w:r>
      <w:r w:rsidR="006E7AF1" w:rsidRPr="009051A8">
        <w:t>.</w:t>
      </w:r>
      <w:r w:rsidR="00F750BE" w:rsidRPr="009051A8">
        <w:tab/>
        <w:t xml:space="preserve">Any form of </w:t>
      </w:r>
      <w:r w:rsidR="008E49F0" w:rsidRPr="009051A8">
        <w:t xml:space="preserve">effort to </w:t>
      </w:r>
      <w:r w:rsidR="00F750BE" w:rsidRPr="009051A8">
        <w:t>coerce</w:t>
      </w:r>
      <w:r w:rsidR="008E49F0" w:rsidRPr="009051A8">
        <w:t xml:space="preserve"> the holding or not holding</w:t>
      </w:r>
      <w:r w:rsidR="008E49F0" w:rsidRPr="00087D95">
        <w:t xml:space="preserve"> of any </w:t>
      </w:r>
      <w:r w:rsidR="00F750BE" w:rsidRPr="00087D95">
        <w:t>opinion is prohibited.</w:t>
      </w:r>
      <w:r w:rsidR="00F750BE" w:rsidRPr="009051A8">
        <w:rPr>
          <w:rStyle w:val="FootnoteReference"/>
        </w:rPr>
        <w:footnoteReference w:id="12"/>
      </w:r>
      <w:r w:rsidR="00F750BE" w:rsidRPr="009051A8">
        <w:t xml:space="preserve"> </w:t>
      </w:r>
      <w:r w:rsidR="008E49F0" w:rsidRPr="009051A8">
        <w:t>F</w:t>
      </w:r>
      <w:r w:rsidR="00F750BE" w:rsidRPr="009051A8">
        <w:t>reedom to express one’s opinion necessarily includes freedom not to express one’s opinion</w:t>
      </w:r>
      <w:r w:rsidR="00E93564" w:rsidRPr="009051A8">
        <w:t>.</w:t>
      </w:r>
    </w:p>
    <w:p w:rsidR="00F750BE" w:rsidRPr="009051A8" w:rsidRDefault="00F750BE" w:rsidP="005B7D65">
      <w:pPr>
        <w:pStyle w:val="H1G"/>
      </w:pPr>
      <w:r w:rsidRPr="009051A8">
        <w:tab/>
      </w:r>
      <w:r w:rsidRPr="009051A8">
        <w:tab/>
      </w:r>
      <w:r w:rsidR="005B7D65" w:rsidRPr="009051A8">
        <w:t>F</w:t>
      </w:r>
      <w:r w:rsidRPr="009051A8">
        <w:t>reedom of expression</w:t>
      </w:r>
    </w:p>
    <w:p w:rsidR="00F750BE" w:rsidRPr="009051A8" w:rsidRDefault="00F750BE" w:rsidP="006E7AF1">
      <w:pPr>
        <w:pStyle w:val="SingleTxtG"/>
      </w:pPr>
      <w:r w:rsidRPr="009051A8">
        <w:t>1</w:t>
      </w:r>
      <w:r w:rsidR="00916087" w:rsidRPr="009051A8">
        <w:t>1</w:t>
      </w:r>
      <w:r w:rsidRPr="009051A8">
        <w:t>.</w:t>
      </w:r>
      <w:r w:rsidRPr="009051A8">
        <w:tab/>
        <w:t xml:space="preserve"> Paragraph 2 requires </w:t>
      </w:r>
      <w:r w:rsidR="00352258" w:rsidRPr="009051A8">
        <w:t>State</w:t>
      </w:r>
      <w:r w:rsidR="00E93564" w:rsidRPr="009051A8">
        <w:t>s</w:t>
      </w:r>
      <w:r w:rsidR="00352258" w:rsidRPr="009051A8">
        <w:t xml:space="preserve"> parties to </w:t>
      </w:r>
      <w:r w:rsidR="005A49BB" w:rsidRPr="009051A8">
        <w:t xml:space="preserve">guarantee </w:t>
      </w:r>
      <w:r w:rsidRPr="009051A8">
        <w:t>the right</w:t>
      </w:r>
      <w:r w:rsidR="00352258" w:rsidRPr="009051A8">
        <w:t xml:space="preserve"> to freedom of expression, including the right</w:t>
      </w:r>
      <w:r w:rsidRPr="009051A8">
        <w:t xml:space="preserve"> to seek, receive and impart information and ideas of all kinds regardless of frontiers. This right </w:t>
      </w:r>
      <w:r w:rsidR="004C6414" w:rsidRPr="009051A8">
        <w:t>includes</w:t>
      </w:r>
      <w:r w:rsidRPr="009051A8">
        <w:t xml:space="preserve"> the</w:t>
      </w:r>
      <w:r w:rsidR="00352258" w:rsidRPr="009051A8">
        <w:t xml:space="preserve"> expression and receipt </w:t>
      </w:r>
      <w:r w:rsidR="004C6414" w:rsidRPr="009051A8">
        <w:t>of communication</w:t>
      </w:r>
      <w:r w:rsidR="00795BA3" w:rsidRPr="009051A8">
        <w:t>s</w:t>
      </w:r>
      <w:r w:rsidR="004C6414" w:rsidRPr="009051A8">
        <w:t xml:space="preserve"> </w:t>
      </w:r>
      <w:r w:rsidRPr="009051A8">
        <w:t xml:space="preserve">of every form of idea and opinion capable of transmission to others, subject to </w:t>
      </w:r>
      <w:r w:rsidR="005A49BB" w:rsidRPr="009051A8">
        <w:t>the provisions</w:t>
      </w:r>
      <w:r w:rsidRPr="009051A8">
        <w:t xml:space="preserve"> in article 19, paragraph 3, and article 20.</w:t>
      </w:r>
      <w:r w:rsidRPr="009051A8">
        <w:rPr>
          <w:rStyle w:val="FootnoteReference"/>
        </w:rPr>
        <w:footnoteReference w:id="13"/>
      </w:r>
      <w:r w:rsidRPr="009051A8">
        <w:t xml:space="preserve"> It includes political discourse,</w:t>
      </w:r>
      <w:r w:rsidRPr="009051A8">
        <w:rPr>
          <w:rStyle w:val="FootnoteReference"/>
        </w:rPr>
        <w:footnoteReference w:id="14"/>
      </w:r>
      <w:r w:rsidRPr="009051A8">
        <w:rPr>
          <w:rStyle w:val="FootnoteReference"/>
        </w:rPr>
        <w:t xml:space="preserve"> </w:t>
      </w:r>
      <w:r w:rsidRPr="009051A8">
        <w:t>commentary on one’s own</w:t>
      </w:r>
      <w:r w:rsidRPr="009051A8">
        <w:rPr>
          <w:rStyle w:val="FootnoteReference"/>
        </w:rPr>
        <w:footnoteReference w:id="15"/>
      </w:r>
      <w:r w:rsidRPr="009051A8">
        <w:rPr>
          <w:rStyle w:val="FootnoteReference"/>
        </w:rPr>
        <w:t xml:space="preserve"> </w:t>
      </w:r>
      <w:r w:rsidRPr="009051A8">
        <w:t>and on public affairs,</w:t>
      </w:r>
      <w:r w:rsidRPr="009051A8">
        <w:rPr>
          <w:rStyle w:val="FootnoteReference"/>
        </w:rPr>
        <w:footnoteReference w:id="16"/>
      </w:r>
      <w:r w:rsidRPr="009051A8">
        <w:rPr>
          <w:rStyle w:val="FootnoteReference"/>
        </w:rPr>
        <w:t xml:space="preserve"> </w:t>
      </w:r>
      <w:r w:rsidRPr="009051A8">
        <w:t>canvassing,</w:t>
      </w:r>
      <w:r w:rsidRPr="009051A8">
        <w:rPr>
          <w:rStyle w:val="FootnoteReference"/>
        </w:rPr>
        <w:footnoteReference w:id="17"/>
      </w:r>
      <w:r w:rsidRPr="009051A8">
        <w:rPr>
          <w:rStyle w:val="FootnoteReference"/>
        </w:rPr>
        <w:t xml:space="preserve"> </w:t>
      </w:r>
      <w:r w:rsidRPr="009051A8">
        <w:t>discussion of human rights,</w:t>
      </w:r>
      <w:r w:rsidRPr="009051A8">
        <w:rPr>
          <w:rStyle w:val="FootnoteReference"/>
        </w:rPr>
        <w:footnoteReference w:id="18"/>
      </w:r>
      <w:r w:rsidRPr="009051A8">
        <w:rPr>
          <w:rStyle w:val="FootnoteReference"/>
        </w:rPr>
        <w:t xml:space="preserve"> </w:t>
      </w:r>
      <w:r w:rsidRPr="009051A8">
        <w:t>journalism,</w:t>
      </w:r>
      <w:r w:rsidRPr="009051A8">
        <w:rPr>
          <w:rStyle w:val="FootnoteReference"/>
        </w:rPr>
        <w:footnoteReference w:id="19"/>
      </w:r>
      <w:r w:rsidRPr="009051A8">
        <w:rPr>
          <w:rStyle w:val="FootnoteReference"/>
        </w:rPr>
        <w:t xml:space="preserve"> </w:t>
      </w:r>
      <w:r w:rsidRPr="009051A8">
        <w:t>cultural and artistic expression,</w:t>
      </w:r>
      <w:r w:rsidRPr="009051A8">
        <w:rPr>
          <w:rStyle w:val="FootnoteReference"/>
        </w:rPr>
        <w:footnoteReference w:id="20"/>
      </w:r>
      <w:r w:rsidRPr="009051A8">
        <w:t xml:space="preserve"> teaching,</w:t>
      </w:r>
      <w:r w:rsidRPr="009051A8">
        <w:rPr>
          <w:rStyle w:val="FootnoteReference"/>
        </w:rPr>
        <w:footnoteReference w:id="21"/>
      </w:r>
      <w:r w:rsidRPr="009051A8">
        <w:t xml:space="preserve"> </w:t>
      </w:r>
      <w:r w:rsidR="00E93564" w:rsidRPr="009051A8">
        <w:t xml:space="preserve">and </w:t>
      </w:r>
      <w:r w:rsidRPr="009051A8">
        <w:t>religious discourse</w:t>
      </w:r>
      <w:r w:rsidR="008E49F0" w:rsidRPr="009051A8">
        <w:t>.</w:t>
      </w:r>
      <w:r w:rsidRPr="009051A8">
        <w:rPr>
          <w:rStyle w:val="FootnoteReference"/>
        </w:rPr>
        <w:footnoteReference w:id="22"/>
      </w:r>
      <w:r w:rsidRPr="009051A8">
        <w:rPr>
          <w:rStyle w:val="FootnoteReference"/>
        </w:rPr>
        <w:t xml:space="preserve"> </w:t>
      </w:r>
      <w:r w:rsidR="008E49F0" w:rsidRPr="009051A8">
        <w:t>It may also include</w:t>
      </w:r>
      <w:r w:rsidRPr="009051A8">
        <w:t xml:space="preserve"> commercial advertising</w:t>
      </w:r>
      <w:r w:rsidR="008E49F0" w:rsidRPr="009051A8">
        <w:t>.</w:t>
      </w:r>
      <w:r w:rsidRPr="009051A8">
        <w:t xml:space="preserve"> The scope of paragraph 2 embraces even </w:t>
      </w:r>
      <w:r w:rsidR="008E49F0" w:rsidRPr="009051A8">
        <w:t xml:space="preserve">expression </w:t>
      </w:r>
      <w:r w:rsidRPr="009051A8">
        <w:t>that may be regarded as deeply offensive,</w:t>
      </w:r>
      <w:r w:rsidRPr="009051A8">
        <w:rPr>
          <w:rStyle w:val="FootnoteReference"/>
        </w:rPr>
        <w:footnoteReference w:id="23"/>
      </w:r>
      <w:r w:rsidRPr="009051A8">
        <w:t xml:space="preserve"> although such expression may be </w:t>
      </w:r>
      <w:r w:rsidR="00155B1C" w:rsidRPr="009051A8">
        <w:t xml:space="preserve">restricted </w:t>
      </w:r>
      <w:r w:rsidRPr="009051A8">
        <w:t>in accordance with the provisions of article 19, paragraph 3 and article 20.</w:t>
      </w:r>
    </w:p>
    <w:p w:rsidR="00F750BE" w:rsidRPr="009051A8" w:rsidRDefault="00F750BE" w:rsidP="00E93564">
      <w:pPr>
        <w:pStyle w:val="SingleTxtG"/>
      </w:pPr>
      <w:r w:rsidRPr="009051A8">
        <w:t>1</w:t>
      </w:r>
      <w:r w:rsidR="00916087" w:rsidRPr="009051A8">
        <w:t>2</w:t>
      </w:r>
      <w:r w:rsidRPr="009051A8">
        <w:t>.</w:t>
      </w:r>
      <w:r w:rsidRPr="009051A8">
        <w:tab/>
        <w:t xml:space="preserve"> Paragraph 2 protects all forms of expression and the means of their </w:t>
      </w:r>
      <w:r w:rsidR="00352258" w:rsidRPr="009051A8">
        <w:t>dissemination</w:t>
      </w:r>
      <w:r w:rsidRPr="009051A8">
        <w:t>. Such forms include</w:t>
      </w:r>
      <w:r w:rsidR="00E93564" w:rsidRPr="009051A8">
        <w:t xml:space="preserve"> </w:t>
      </w:r>
      <w:r w:rsidRPr="009051A8">
        <w:t>spoken</w:t>
      </w:r>
      <w:r w:rsidR="004A7D47" w:rsidRPr="009051A8">
        <w:t>,</w:t>
      </w:r>
      <w:r w:rsidRPr="009051A8">
        <w:t xml:space="preserve"> written </w:t>
      </w:r>
      <w:r w:rsidR="004A7D47" w:rsidRPr="009051A8">
        <w:t xml:space="preserve">and sign language </w:t>
      </w:r>
      <w:r w:rsidRPr="009051A8">
        <w:t>and such non-verbal e</w:t>
      </w:r>
      <w:r w:rsidRPr="00087D95">
        <w:t>xpression as images and objects of art.</w:t>
      </w:r>
      <w:r w:rsidRPr="00087D95">
        <w:rPr>
          <w:rStyle w:val="FootnoteReference"/>
        </w:rPr>
        <w:footnoteReference w:id="24"/>
      </w:r>
      <w:r w:rsidRPr="009051A8">
        <w:rPr>
          <w:rStyle w:val="FootnoteReference"/>
        </w:rPr>
        <w:t xml:space="preserve"> </w:t>
      </w:r>
      <w:r w:rsidRPr="009051A8">
        <w:t>Means of expression include books, newspapers,</w:t>
      </w:r>
      <w:r w:rsidRPr="009051A8">
        <w:rPr>
          <w:rStyle w:val="FootnoteReference"/>
        </w:rPr>
        <w:footnoteReference w:id="25"/>
      </w:r>
      <w:r w:rsidRPr="009051A8">
        <w:t xml:space="preserve"> pamphlets,</w:t>
      </w:r>
      <w:r w:rsidRPr="009051A8">
        <w:rPr>
          <w:rStyle w:val="FootnoteReference"/>
        </w:rPr>
        <w:footnoteReference w:id="26"/>
      </w:r>
      <w:r w:rsidRPr="009051A8">
        <w:rPr>
          <w:rStyle w:val="FootnoteReference"/>
        </w:rPr>
        <w:t xml:space="preserve"> </w:t>
      </w:r>
      <w:r w:rsidRPr="009051A8">
        <w:t>posters, banners</w:t>
      </w:r>
      <w:r w:rsidR="00E93564" w:rsidRPr="009051A8">
        <w:t>,</w:t>
      </w:r>
      <w:r w:rsidRPr="009051A8">
        <w:rPr>
          <w:rStyle w:val="FootnoteReference"/>
        </w:rPr>
        <w:footnoteReference w:id="27"/>
      </w:r>
      <w:r w:rsidR="00352258" w:rsidRPr="009051A8">
        <w:t xml:space="preserve"> dress</w:t>
      </w:r>
      <w:r w:rsidRPr="009051A8">
        <w:rPr>
          <w:rStyle w:val="FootnoteReference"/>
        </w:rPr>
        <w:t xml:space="preserve"> </w:t>
      </w:r>
      <w:r w:rsidRPr="009051A8">
        <w:t>and legal submissions.</w:t>
      </w:r>
      <w:r w:rsidRPr="009051A8">
        <w:rPr>
          <w:vertAlign w:val="superscript"/>
        </w:rPr>
        <w:t xml:space="preserve"> </w:t>
      </w:r>
      <w:r w:rsidRPr="009051A8">
        <w:rPr>
          <w:rStyle w:val="FootnoteReference"/>
        </w:rPr>
        <w:footnoteReference w:id="28"/>
      </w:r>
      <w:r w:rsidRPr="009051A8">
        <w:rPr>
          <w:rStyle w:val="FootnoteReference"/>
        </w:rPr>
        <w:t xml:space="preserve"> </w:t>
      </w:r>
      <w:r w:rsidRPr="009051A8">
        <w:t xml:space="preserve"> They include all forms of audio-visual as well as electronic and internet-based m</w:t>
      </w:r>
      <w:r w:rsidR="00352258" w:rsidRPr="009051A8">
        <w:t>odes of expression</w:t>
      </w:r>
      <w:r w:rsidRPr="009051A8">
        <w:t xml:space="preserve">. </w:t>
      </w:r>
    </w:p>
    <w:p w:rsidR="00F750BE" w:rsidRPr="009051A8" w:rsidRDefault="00426C1C" w:rsidP="00426C1C">
      <w:pPr>
        <w:pStyle w:val="H1G"/>
      </w:pPr>
      <w:r w:rsidRPr="009051A8">
        <w:tab/>
      </w:r>
      <w:r w:rsidRPr="009051A8">
        <w:tab/>
      </w:r>
      <w:r w:rsidR="00F750BE" w:rsidRPr="009051A8">
        <w:t>Freedom of expression and the media</w:t>
      </w:r>
    </w:p>
    <w:p w:rsidR="00F750BE" w:rsidRPr="009051A8" w:rsidRDefault="00F750BE" w:rsidP="00CD12BE">
      <w:pPr>
        <w:pStyle w:val="SingleTxtG"/>
      </w:pPr>
      <w:r w:rsidRPr="009051A8">
        <w:t>1</w:t>
      </w:r>
      <w:r w:rsidR="00916087" w:rsidRPr="009051A8">
        <w:t>3</w:t>
      </w:r>
      <w:r w:rsidRPr="009051A8">
        <w:t>.</w:t>
      </w:r>
      <w:r w:rsidRPr="009051A8">
        <w:tab/>
        <w:t xml:space="preserve">A free, uncensored and unhindered press or other media is essential in any </w:t>
      </w:r>
      <w:r w:rsidR="00866BD4" w:rsidRPr="009051A8">
        <w:t xml:space="preserve">society </w:t>
      </w:r>
      <w:r w:rsidR="00CD12BE" w:rsidRPr="009051A8">
        <w:t xml:space="preserve">to ensure </w:t>
      </w:r>
      <w:r w:rsidRPr="009051A8">
        <w:t>freedom of opinion and expression and the enjoyment of other Covenant rights. It constitutes one of the cornerstones of a democratic society.</w:t>
      </w:r>
      <w:r w:rsidRPr="009051A8">
        <w:rPr>
          <w:rStyle w:val="FootnoteReference"/>
        </w:rPr>
        <w:footnoteReference w:id="29"/>
      </w:r>
      <w:r w:rsidRPr="009051A8">
        <w:t xml:space="preserve"> The Covenant embraces a right</w:t>
      </w:r>
      <w:r w:rsidR="00352258" w:rsidRPr="009051A8">
        <w:t xml:space="preserve"> </w:t>
      </w:r>
      <w:r w:rsidR="00795BA3" w:rsidRPr="009051A8">
        <w:t xml:space="preserve">whereby </w:t>
      </w:r>
      <w:r w:rsidR="00352258" w:rsidRPr="009051A8">
        <w:t>the media</w:t>
      </w:r>
      <w:r w:rsidR="00795BA3" w:rsidRPr="009051A8">
        <w:t xml:space="preserve"> may </w:t>
      </w:r>
      <w:r w:rsidRPr="009051A8">
        <w:t xml:space="preserve">receive information </w:t>
      </w:r>
      <w:r w:rsidR="00CD12BE" w:rsidRPr="009051A8">
        <w:t xml:space="preserve">on the </w:t>
      </w:r>
      <w:r w:rsidRPr="009051A8">
        <w:t>basis</w:t>
      </w:r>
      <w:r w:rsidR="00CD12BE" w:rsidRPr="009051A8">
        <w:t xml:space="preserve"> of which </w:t>
      </w:r>
      <w:r w:rsidR="00795BA3" w:rsidRPr="009051A8">
        <w:t xml:space="preserve">it </w:t>
      </w:r>
      <w:r w:rsidRPr="009051A8">
        <w:t xml:space="preserve">can carry out </w:t>
      </w:r>
      <w:r w:rsidR="00352258" w:rsidRPr="009051A8">
        <w:t>its</w:t>
      </w:r>
      <w:r w:rsidRPr="009051A8">
        <w:t xml:space="preserve"> function.</w:t>
      </w:r>
      <w:r w:rsidRPr="009051A8">
        <w:rPr>
          <w:rStyle w:val="FootnoteReference"/>
        </w:rPr>
        <w:footnoteReference w:id="30"/>
      </w:r>
      <w:r w:rsidRPr="009051A8">
        <w:rPr>
          <w:rStyle w:val="FootnoteReference"/>
        </w:rPr>
        <w:t xml:space="preserve"> </w:t>
      </w:r>
      <w:r w:rsidRPr="009051A8">
        <w:t>The free communication of information and ideas about public and political issues between citizens, candidates and elected representatives is essential. This implies a free press and other media able to comment on public issues without censorship or restraint and to inform public opinion.</w:t>
      </w:r>
      <w:r w:rsidRPr="009051A8">
        <w:rPr>
          <w:rStyle w:val="FootnoteReference"/>
        </w:rPr>
        <w:t xml:space="preserve"> </w:t>
      </w:r>
      <w:r w:rsidRPr="009051A8">
        <w:rPr>
          <w:rStyle w:val="FootnoteReference"/>
        </w:rPr>
        <w:footnoteReference w:id="31"/>
      </w:r>
      <w:r w:rsidRPr="009051A8">
        <w:rPr>
          <w:rStyle w:val="FootnoteReference"/>
        </w:rPr>
        <w:t xml:space="preserve"> </w:t>
      </w:r>
      <w:r w:rsidR="00352258" w:rsidRPr="009051A8">
        <w:t>T</w:t>
      </w:r>
      <w:r w:rsidRPr="009051A8">
        <w:t xml:space="preserve">he public also has </w:t>
      </w:r>
      <w:r w:rsidR="004A7D47" w:rsidRPr="009051A8">
        <w:t xml:space="preserve">a corresponding </w:t>
      </w:r>
      <w:r w:rsidRPr="009051A8">
        <w:t xml:space="preserve">right to receive </w:t>
      </w:r>
      <w:r w:rsidR="00443A0A" w:rsidRPr="009051A8">
        <w:t>media output</w:t>
      </w:r>
      <w:r w:rsidR="00E93564" w:rsidRPr="009051A8">
        <w:t>.</w:t>
      </w:r>
      <w:r w:rsidRPr="009051A8">
        <w:rPr>
          <w:rStyle w:val="FootnoteReference"/>
        </w:rPr>
        <w:footnoteReference w:id="32"/>
      </w:r>
      <w:r w:rsidRPr="009051A8">
        <w:rPr>
          <w:rStyle w:val="FootnoteReference"/>
        </w:rPr>
        <w:t xml:space="preserve"> </w:t>
      </w:r>
    </w:p>
    <w:p w:rsidR="004E25C2" w:rsidRPr="009051A8" w:rsidRDefault="00F750BE" w:rsidP="003A0E39">
      <w:pPr>
        <w:pStyle w:val="SingleTxtG"/>
      </w:pPr>
      <w:r w:rsidRPr="009051A8">
        <w:t>1</w:t>
      </w:r>
      <w:r w:rsidR="00916087" w:rsidRPr="009051A8">
        <w:t>4</w:t>
      </w:r>
      <w:r w:rsidRPr="009051A8">
        <w:t>.</w:t>
      </w:r>
      <w:r w:rsidR="00803855" w:rsidRPr="009051A8">
        <w:tab/>
      </w:r>
      <w:r w:rsidR="00352258" w:rsidRPr="009051A8">
        <w:t xml:space="preserve">As a means to protect the rights of media users, including </w:t>
      </w:r>
      <w:r w:rsidR="00795BA3" w:rsidRPr="009051A8">
        <w:t xml:space="preserve">members of </w:t>
      </w:r>
      <w:r w:rsidR="00352258" w:rsidRPr="009051A8">
        <w:t>ethnic and linguistic minorities, to receive a wide range of information and ideas</w:t>
      </w:r>
      <w:r w:rsidR="00475E0D" w:rsidRPr="009051A8">
        <w:t xml:space="preserve">, </w:t>
      </w:r>
      <w:r w:rsidRPr="009051A8">
        <w:t xml:space="preserve">States parties </w:t>
      </w:r>
      <w:r w:rsidR="00352258" w:rsidRPr="009051A8">
        <w:t>should</w:t>
      </w:r>
      <w:r w:rsidRPr="009051A8">
        <w:t xml:space="preserve"> take particular care to encourage an independent and diverse media.   </w:t>
      </w:r>
    </w:p>
    <w:p w:rsidR="004E25C2" w:rsidRPr="009051A8" w:rsidRDefault="004E25C2" w:rsidP="003A0E39">
      <w:pPr>
        <w:pStyle w:val="SingleTxtG"/>
        <w:rPr>
          <w:lang w:val="en-US" w:eastAsia="fr-FR"/>
        </w:rPr>
      </w:pPr>
      <w:r w:rsidRPr="009051A8">
        <w:t>1</w:t>
      </w:r>
      <w:r w:rsidR="00916087" w:rsidRPr="009051A8">
        <w:t>5</w:t>
      </w:r>
      <w:r w:rsidR="009051A8">
        <w:t>.</w:t>
      </w:r>
      <w:r w:rsidR="00803855" w:rsidRPr="009051A8">
        <w:tab/>
      </w:r>
      <w:r w:rsidRPr="009051A8">
        <w:rPr>
          <w:lang w:val="en-US" w:eastAsia="fr-FR"/>
        </w:rPr>
        <w:t>State</w:t>
      </w:r>
      <w:r w:rsidR="00E93564" w:rsidRPr="009051A8">
        <w:rPr>
          <w:lang w:val="en-US" w:eastAsia="fr-FR"/>
        </w:rPr>
        <w:t>s</w:t>
      </w:r>
      <w:r w:rsidRPr="009051A8">
        <w:rPr>
          <w:lang w:val="en-US" w:eastAsia="fr-FR"/>
        </w:rPr>
        <w:t xml:space="preserve"> parties should take account of the extent to which developments in information and communication technologies, such as internet and mobile based electronic information dissemination systems</w:t>
      </w:r>
      <w:r w:rsidRPr="00087D95">
        <w:rPr>
          <w:lang w:val="en-US" w:eastAsia="fr-FR"/>
        </w:rPr>
        <w:t xml:space="preserve">, have substantially changed communication practices around the world.  There is now a global network </w:t>
      </w:r>
      <w:r w:rsidR="00622B6E" w:rsidRPr="00087D95">
        <w:rPr>
          <w:lang w:val="en-US" w:eastAsia="fr-FR"/>
        </w:rPr>
        <w:t>for</w:t>
      </w:r>
      <w:r w:rsidR="00622B6E" w:rsidRPr="009051A8">
        <w:rPr>
          <w:lang w:val="en-US" w:eastAsia="fr-FR"/>
        </w:rPr>
        <w:t xml:space="preserve"> </w:t>
      </w:r>
      <w:r w:rsidRPr="009051A8">
        <w:rPr>
          <w:lang w:val="en-US" w:eastAsia="fr-FR"/>
        </w:rPr>
        <w:t>exchang</w:t>
      </w:r>
      <w:r w:rsidR="00622B6E" w:rsidRPr="009051A8">
        <w:rPr>
          <w:lang w:val="en-US" w:eastAsia="fr-FR"/>
        </w:rPr>
        <w:t>ing</w:t>
      </w:r>
      <w:r w:rsidRPr="009051A8">
        <w:rPr>
          <w:lang w:val="en-US" w:eastAsia="fr-FR"/>
        </w:rPr>
        <w:t xml:space="preserve"> ideas and opinions that does not necessarily rely on the traditional mass media intermediaries.  State</w:t>
      </w:r>
      <w:r w:rsidR="00AC79CE" w:rsidRPr="009051A8">
        <w:rPr>
          <w:lang w:val="en-US" w:eastAsia="fr-FR"/>
        </w:rPr>
        <w:t>s</w:t>
      </w:r>
      <w:r w:rsidRPr="009051A8">
        <w:rPr>
          <w:lang w:val="en-US" w:eastAsia="fr-FR"/>
        </w:rPr>
        <w:t xml:space="preserve"> parties should take all necessary steps to foster the independence of these new media and to ensure access of individuals thereto. </w:t>
      </w:r>
    </w:p>
    <w:p w:rsidR="00F750BE" w:rsidRPr="009051A8" w:rsidRDefault="00F750BE" w:rsidP="000D7CFC">
      <w:pPr>
        <w:pStyle w:val="SingleTxtG"/>
      </w:pPr>
      <w:r w:rsidRPr="009051A8">
        <w:t>1</w:t>
      </w:r>
      <w:r w:rsidR="00916087" w:rsidRPr="009051A8">
        <w:t>6</w:t>
      </w:r>
      <w:r w:rsidRPr="009051A8">
        <w:t>.</w:t>
      </w:r>
      <w:r w:rsidR="00803855" w:rsidRPr="009051A8">
        <w:tab/>
      </w:r>
      <w:r w:rsidRPr="009051A8">
        <w:t xml:space="preserve">States parties </w:t>
      </w:r>
      <w:r w:rsidR="00795BA3" w:rsidRPr="009051A8">
        <w:t>should</w:t>
      </w:r>
      <w:r w:rsidR="00E93564" w:rsidRPr="009051A8">
        <w:t xml:space="preserve"> </w:t>
      </w:r>
      <w:r w:rsidRPr="009051A8">
        <w:t>ensure that public broadcasting services operate in an independent manner.</w:t>
      </w:r>
      <w:r w:rsidRPr="009051A8">
        <w:rPr>
          <w:rStyle w:val="FootnoteReference"/>
        </w:rPr>
        <w:footnoteReference w:id="33"/>
      </w:r>
      <w:r w:rsidR="00475E0D" w:rsidRPr="009051A8">
        <w:t xml:space="preserve"> In this regard</w:t>
      </w:r>
      <w:r w:rsidR="00D451E1" w:rsidRPr="009051A8">
        <w:t>,</w:t>
      </w:r>
      <w:r w:rsidR="00475E0D" w:rsidRPr="009051A8">
        <w:t xml:space="preserve"> </w:t>
      </w:r>
      <w:r w:rsidR="000D7CFC" w:rsidRPr="009051A8">
        <w:t xml:space="preserve">States parties </w:t>
      </w:r>
      <w:r w:rsidR="00795BA3" w:rsidRPr="009051A8">
        <w:t>should</w:t>
      </w:r>
      <w:r w:rsidR="00475E0D" w:rsidRPr="009051A8">
        <w:t xml:space="preserve"> guarantee the</w:t>
      </w:r>
      <w:r w:rsidR="00795BA3" w:rsidRPr="009051A8">
        <w:t>ir</w:t>
      </w:r>
      <w:r w:rsidR="00475E0D" w:rsidRPr="009051A8">
        <w:t xml:space="preserve"> </w:t>
      </w:r>
      <w:r w:rsidRPr="009051A8">
        <w:t>independence and editorial freedom</w:t>
      </w:r>
      <w:r w:rsidR="000D7CFC" w:rsidRPr="009051A8">
        <w:t>.</w:t>
      </w:r>
      <w:r w:rsidRPr="009051A8">
        <w:t xml:space="preserve"> </w:t>
      </w:r>
      <w:r w:rsidR="000D7CFC" w:rsidRPr="009051A8">
        <w:t xml:space="preserve">They should provide funding in a manner that does not undermine their </w:t>
      </w:r>
      <w:r w:rsidRPr="009051A8">
        <w:t>independence.</w:t>
      </w:r>
    </w:p>
    <w:p w:rsidR="00F750BE" w:rsidRPr="009051A8" w:rsidRDefault="00F750BE" w:rsidP="00F750BE">
      <w:pPr>
        <w:pStyle w:val="SingleTxtG"/>
      </w:pPr>
      <w:r w:rsidRPr="009051A8">
        <w:t>1</w:t>
      </w:r>
      <w:r w:rsidR="00916087" w:rsidRPr="009051A8">
        <w:t>7</w:t>
      </w:r>
      <w:r w:rsidRPr="009051A8">
        <w:t>.</w:t>
      </w:r>
      <w:r w:rsidRPr="009051A8">
        <w:tab/>
        <w:t>Issues concerning the media are discussed further in the section of this general comment that addresses restrictions on freedom of expression.</w:t>
      </w:r>
    </w:p>
    <w:p w:rsidR="00F750BE" w:rsidRPr="009051A8" w:rsidRDefault="00DD68D0" w:rsidP="00DD68D0">
      <w:pPr>
        <w:pStyle w:val="H1G"/>
      </w:pPr>
      <w:r w:rsidRPr="009051A8">
        <w:tab/>
      </w:r>
      <w:r w:rsidRPr="009051A8">
        <w:tab/>
      </w:r>
      <w:r w:rsidR="00475E0D" w:rsidRPr="009051A8">
        <w:t xml:space="preserve">Right of </w:t>
      </w:r>
      <w:r w:rsidR="00622B6E" w:rsidRPr="009051A8">
        <w:t>a</w:t>
      </w:r>
      <w:r w:rsidR="00F750BE" w:rsidRPr="009051A8">
        <w:t>ccess to information</w:t>
      </w:r>
    </w:p>
    <w:p w:rsidR="00F750BE" w:rsidRPr="009051A8" w:rsidRDefault="00F750BE" w:rsidP="000D7CFC">
      <w:pPr>
        <w:pStyle w:val="SingleTxtG"/>
      </w:pPr>
      <w:r w:rsidRPr="009051A8">
        <w:t>1</w:t>
      </w:r>
      <w:r w:rsidR="00916087" w:rsidRPr="009051A8">
        <w:t>8</w:t>
      </w:r>
      <w:r w:rsidRPr="009051A8">
        <w:t xml:space="preserve">. </w:t>
      </w:r>
      <w:r w:rsidRPr="009051A8">
        <w:tab/>
        <w:t>Article 19, paragraph 2 embraces a right of access to information held by public bodies. Such information includes records held by a public body, regardless of the form in which the information is stored, its source and the date of production. Public bodies</w:t>
      </w:r>
      <w:r w:rsidR="004E25C2" w:rsidRPr="009051A8">
        <w:t xml:space="preserve"> are as indicated in paragraph </w:t>
      </w:r>
      <w:r w:rsidR="00812DC8" w:rsidRPr="009051A8">
        <w:t>7</w:t>
      </w:r>
      <w:r w:rsidR="004E25C2" w:rsidRPr="009051A8">
        <w:t xml:space="preserve"> of this </w:t>
      </w:r>
      <w:r w:rsidR="00317847" w:rsidRPr="009051A8">
        <w:t>g</w:t>
      </w:r>
      <w:r w:rsidR="004E25C2" w:rsidRPr="009051A8">
        <w:t xml:space="preserve">eneral </w:t>
      </w:r>
      <w:r w:rsidR="00317847" w:rsidRPr="009051A8">
        <w:t>c</w:t>
      </w:r>
      <w:r w:rsidR="004E25C2" w:rsidRPr="009051A8">
        <w:t>omment</w:t>
      </w:r>
      <w:r w:rsidR="000D7CFC" w:rsidRPr="009051A8">
        <w:t xml:space="preserve">. The designation of such bodies may also include other entities when such entities are carrying out public functions. </w:t>
      </w:r>
      <w:r w:rsidRPr="009051A8">
        <w:t xml:space="preserve">As has already been noted, taken together with article 25 of the Covenant, the right of access to information includes a right </w:t>
      </w:r>
      <w:r w:rsidR="00CD12BE" w:rsidRPr="009051A8">
        <w:t>whereby the media has</w:t>
      </w:r>
      <w:r w:rsidR="000D7CFC" w:rsidRPr="009051A8">
        <w:t xml:space="preserve"> access </w:t>
      </w:r>
      <w:r w:rsidRPr="009051A8">
        <w:t>to information on public affairs</w:t>
      </w:r>
      <w:r w:rsidRPr="009051A8">
        <w:rPr>
          <w:rStyle w:val="FootnoteReference"/>
        </w:rPr>
        <w:footnoteReference w:id="34"/>
      </w:r>
      <w:r w:rsidRPr="009051A8">
        <w:rPr>
          <w:rStyle w:val="FootnoteReference"/>
        </w:rPr>
        <w:t xml:space="preserve"> </w:t>
      </w:r>
      <w:r w:rsidRPr="009051A8">
        <w:t>and the right of the general public to receive media output.</w:t>
      </w:r>
      <w:r w:rsidRPr="009051A8">
        <w:rPr>
          <w:rStyle w:val="FootnoteReference"/>
        </w:rPr>
        <w:footnoteReference w:id="35"/>
      </w:r>
      <w:r w:rsidRPr="009051A8">
        <w:rPr>
          <w:rStyle w:val="FootnoteReference"/>
        </w:rPr>
        <w:t xml:space="preserve"> </w:t>
      </w:r>
      <w:r w:rsidR="00D451E1" w:rsidRPr="009051A8">
        <w:t xml:space="preserve">Elements of the </w:t>
      </w:r>
      <w:r w:rsidRPr="009051A8">
        <w:t xml:space="preserve">right of access to information </w:t>
      </w:r>
      <w:r w:rsidR="00D451E1" w:rsidRPr="009051A8">
        <w:t xml:space="preserve">are </w:t>
      </w:r>
      <w:r w:rsidRPr="009051A8">
        <w:t xml:space="preserve">also addressed elsewhere in the Covenant. As the Committee observed in its general comment No. 16, regarding article 17 of the Covenant, every individual should have the right to ascertain in an intelligible form, whether, and if so, what personal data is stored in automatic data files, and for what purposes. Every individual should also be able to ascertain which public authorities or private individuals or bodies control or may control </w:t>
      </w:r>
      <w:r w:rsidR="00EB19E6" w:rsidRPr="009051A8">
        <w:t xml:space="preserve">his or her </w:t>
      </w:r>
      <w:r w:rsidRPr="009051A8">
        <w:t xml:space="preserve">files. If such files contain incorrect personal data or have been collected or processed contrary to the provisions of the law, every individual should have the right to </w:t>
      </w:r>
      <w:r w:rsidR="004E25C2" w:rsidRPr="009051A8">
        <w:t xml:space="preserve">have his or her </w:t>
      </w:r>
      <w:r w:rsidR="00CA5362" w:rsidRPr="009051A8">
        <w:t>records rectified</w:t>
      </w:r>
      <w:r w:rsidR="005A3F53" w:rsidRPr="009051A8">
        <w:t>.</w:t>
      </w:r>
      <w:r w:rsidRPr="009051A8">
        <w:t xml:space="preserve"> Pursuant to article 10 of the Covenant, a prisoner does not lose the entitlement to access to his medical records.</w:t>
      </w:r>
      <w:r w:rsidRPr="009051A8">
        <w:rPr>
          <w:rStyle w:val="FootnoteReference"/>
        </w:rPr>
        <w:footnoteReference w:id="36"/>
      </w:r>
      <w:r w:rsidRPr="009051A8">
        <w:t xml:space="preserve"> The Committee, in general comment No. 32 on article 14, set out the various entitlements to information that are held by those accused </w:t>
      </w:r>
      <w:r w:rsidR="00CD12BE" w:rsidRPr="009051A8">
        <w:t xml:space="preserve">of </w:t>
      </w:r>
      <w:r w:rsidRPr="009051A8">
        <w:t>a criminal offence.</w:t>
      </w:r>
      <w:r w:rsidRPr="009051A8">
        <w:rPr>
          <w:rStyle w:val="FootnoteReference"/>
        </w:rPr>
        <w:footnoteReference w:id="37"/>
      </w:r>
      <w:r w:rsidRPr="009051A8">
        <w:rPr>
          <w:rStyle w:val="FootnoteReference"/>
        </w:rPr>
        <w:t xml:space="preserve"> </w:t>
      </w:r>
      <w:r w:rsidRPr="009051A8">
        <w:t>Pursuant to the provisions of article 2, persons should be in receipt of information regarding their Covenant rights in general</w:t>
      </w:r>
      <w:r w:rsidR="00787C2D" w:rsidRPr="009051A8">
        <w:t>.</w:t>
      </w:r>
      <w:r w:rsidRPr="009051A8">
        <w:rPr>
          <w:rStyle w:val="FootnoteReference"/>
        </w:rPr>
        <w:footnoteReference w:id="38"/>
      </w:r>
      <w:r w:rsidRPr="009051A8">
        <w:rPr>
          <w:rStyle w:val="FootnoteReference"/>
        </w:rPr>
        <w:t xml:space="preserve"> </w:t>
      </w:r>
      <w:r w:rsidRPr="009051A8">
        <w:t xml:space="preserve">Under article 27, a State party’s decision-making that may substantively compromise the way of life and culture of a minority group </w:t>
      </w:r>
      <w:r w:rsidR="00D451E1" w:rsidRPr="009051A8">
        <w:t xml:space="preserve">should </w:t>
      </w:r>
      <w:r w:rsidRPr="009051A8">
        <w:t>be undertaken in a process of information-sharing and consultation with affected communities.</w:t>
      </w:r>
      <w:r w:rsidRPr="009051A8">
        <w:rPr>
          <w:rStyle w:val="FootnoteReference"/>
        </w:rPr>
        <w:footnoteReference w:id="39"/>
      </w:r>
      <w:r w:rsidRPr="009051A8">
        <w:rPr>
          <w:rStyle w:val="FootnoteReference"/>
        </w:rPr>
        <w:t xml:space="preserve"> </w:t>
      </w:r>
    </w:p>
    <w:p w:rsidR="00F750BE" w:rsidRPr="009051A8" w:rsidRDefault="006E7AF1" w:rsidP="00AC79CE">
      <w:pPr>
        <w:pStyle w:val="SingleTxtG"/>
      </w:pPr>
      <w:r w:rsidRPr="009051A8">
        <w:t>1</w:t>
      </w:r>
      <w:r w:rsidR="00916087" w:rsidRPr="009051A8">
        <w:t>9</w:t>
      </w:r>
      <w:r w:rsidR="003A0E39" w:rsidRPr="009051A8">
        <w:t>.</w:t>
      </w:r>
      <w:r w:rsidR="00F750BE" w:rsidRPr="009051A8">
        <w:tab/>
        <w:t xml:space="preserve">To give effect to the right of access to information, </w:t>
      </w:r>
      <w:r w:rsidR="005A3F53" w:rsidRPr="009051A8">
        <w:t xml:space="preserve">States parties should proactively put </w:t>
      </w:r>
      <w:r w:rsidR="00CA5362" w:rsidRPr="009051A8">
        <w:t>in</w:t>
      </w:r>
      <w:r w:rsidR="00CA5362" w:rsidRPr="00087D95">
        <w:t xml:space="preserve"> the public domain Government information of public interest</w:t>
      </w:r>
      <w:r w:rsidR="005A3F53" w:rsidRPr="009051A8">
        <w:t xml:space="preserve">. </w:t>
      </w:r>
      <w:r w:rsidR="00D1687F" w:rsidRPr="009051A8">
        <w:t xml:space="preserve">States parties should make every effort to ensure easy, prompt, effective and practical access to such information. </w:t>
      </w:r>
      <w:r w:rsidR="00F750BE" w:rsidRPr="009051A8">
        <w:t xml:space="preserve">States parties should </w:t>
      </w:r>
      <w:r w:rsidR="005A3F53" w:rsidRPr="009051A8">
        <w:t xml:space="preserve">also </w:t>
      </w:r>
      <w:r w:rsidR="00F750BE" w:rsidRPr="009051A8">
        <w:t>enact the necessary procedures,</w:t>
      </w:r>
      <w:r w:rsidR="005A3F53" w:rsidRPr="009051A8">
        <w:t xml:space="preserve"> whereby one may gain access to information, </w:t>
      </w:r>
      <w:r w:rsidR="00F750BE" w:rsidRPr="009051A8">
        <w:t>such as by means of freedom of information legislation.</w:t>
      </w:r>
      <w:r w:rsidR="00F750BE" w:rsidRPr="009051A8">
        <w:rPr>
          <w:rStyle w:val="FootnoteReference"/>
        </w:rPr>
        <w:footnoteReference w:id="40"/>
      </w:r>
      <w:r w:rsidR="00F750BE" w:rsidRPr="009051A8">
        <w:rPr>
          <w:rStyle w:val="FootnoteReference"/>
        </w:rPr>
        <w:t xml:space="preserve"> </w:t>
      </w:r>
      <w:r w:rsidR="00F750BE" w:rsidRPr="009051A8">
        <w:t xml:space="preserve">The procedures should provide for the </w:t>
      </w:r>
      <w:r w:rsidR="00CA5362" w:rsidRPr="009051A8">
        <w:t>timely</w:t>
      </w:r>
      <w:r w:rsidR="00F750BE" w:rsidRPr="009051A8">
        <w:t xml:space="preserve"> processing of requests for information according to clear rules that are compatible with the Covenant. Fees for requests for information should not be such as to constitute an unreasonable impediment to access to information.</w:t>
      </w:r>
      <w:r w:rsidR="00CA5362" w:rsidRPr="009051A8">
        <w:t xml:space="preserve"> </w:t>
      </w:r>
      <w:r w:rsidR="00D1687F" w:rsidRPr="009051A8">
        <w:t xml:space="preserve">Authorities should provide reasons for any refusal to provide access to information. </w:t>
      </w:r>
      <w:r w:rsidR="00CA5362" w:rsidRPr="009051A8">
        <w:t xml:space="preserve">Arrangements should be put in place for appeals from refusals to provide access to information as well as </w:t>
      </w:r>
      <w:r w:rsidR="005A3F53" w:rsidRPr="009051A8">
        <w:t xml:space="preserve">in cases of </w:t>
      </w:r>
      <w:r w:rsidR="00CA5362" w:rsidRPr="009051A8">
        <w:t xml:space="preserve">failure to respond to requests. </w:t>
      </w:r>
      <w:r w:rsidR="00F750BE" w:rsidRPr="009051A8">
        <w:t xml:space="preserve"> </w:t>
      </w:r>
    </w:p>
    <w:p w:rsidR="00F750BE" w:rsidRPr="009051A8" w:rsidRDefault="00426C1C" w:rsidP="00426C1C">
      <w:pPr>
        <w:pStyle w:val="H1G"/>
      </w:pPr>
      <w:r w:rsidRPr="009051A8">
        <w:tab/>
      </w:r>
      <w:r w:rsidRPr="009051A8">
        <w:tab/>
      </w:r>
      <w:r w:rsidR="00F750BE" w:rsidRPr="009051A8">
        <w:t>Freedom of expression and political rights</w:t>
      </w:r>
    </w:p>
    <w:p w:rsidR="00F750BE" w:rsidRPr="009051A8" w:rsidRDefault="00916087" w:rsidP="00F750BE">
      <w:pPr>
        <w:pStyle w:val="SingleTxtG"/>
        <w:rPr>
          <w:bCs/>
        </w:rPr>
      </w:pPr>
      <w:r w:rsidRPr="009051A8">
        <w:rPr>
          <w:bCs/>
        </w:rPr>
        <w:t>20</w:t>
      </w:r>
      <w:r w:rsidR="003A0E39" w:rsidRPr="009051A8">
        <w:rPr>
          <w:bCs/>
        </w:rPr>
        <w:t>.</w:t>
      </w:r>
      <w:r w:rsidR="00F750BE" w:rsidRPr="009051A8">
        <w:rPr>
          <w:bCs/>
        </w:rPr>
        <w:tab/>
        <w:t>The Committee, in general comment No. 25 on participation in public affairs and the right to vote, elaborated</w:t>
      </w:r>
      <w:r w:rsidR="00F750BE" w:rsidRPr="00087D95">
        <w:rPr>
          <w:bCs/>
        </w:rPr>
        <w:t xml:space="preserve"> on the importance of freedom of expression for the conduct of public affairs and the effective exercise of the right to vote. The free communication of information and ideas about public and political issues between citizens, candidates and elected representatives is essential. This implies a free press and other media </w:t>
      </w:r>
      <w:r w:rsidR="00F750BE" w:rsidRPr="009051A8">
        <w:rPr>
          <w:bCs/>
        </w:rPr>
        <w:t>able to comment on public issues and to inform public opinion</w:t>
      </w:r>
      <w:r w:rsidR="00CA5362" w:rsidRPr="009051A8">
        <w:rPr>
          <w:bCs/>
        </w:rPr>
        <w:t xml:space="preserve"> without censorship or restraint</w:t>
      </w:r>
      <w:r w:rsidR="00F750BE" w:rsidRPr="009051A8">
        <w:rPr>
          <w:bCs/>
        </w:rPr>
        <w:t>.</w:t>
      </w:r>
      <w:r w:rsidR="00F750BE" w:rsidRPr="009051A8">
        <w:rPr>
          <w:rStyle w:val="FootnoteReference"/>
        </w:rPr>
        <w:footnoteReference w:id="41"/>
      </w:r>
      <w:r w:rsidR="00F750BE" w:rsidRPr="009051A8">
        <w:rPr>
          <w:rStyle w:val="FootnoteReference"/>
        </w:rPr>
        <w:t xml:space="preserve"> </w:t>
      </w:r>
      <w:r w:rsidR="00F750BE" w:rsidRPr="009051A8">
        <w:rPr>
          <w:bCs/>
        </w:rPr>
        <w:t>The attention of States parties is drawn to the guidance that general comment No. 25 provides with regard to the promotion and the protection of freedom of expression in that context.</w:t>
      </w:r>
      <w:r w:rsidR="00854236" w:rsidRPr="009051A8">
        <w:rPr>
          <w:bCs/>
        </w:rPr>
        <w:t xml:space="preserve"> </w:t>
      </w:r>
    </w:p>
    <w:p w:rsidR="00F750BE" w:rsidRPr="009051A8" w:rsidRDefault="00426C1C" w:rsidP="00B3228F">
      <w:pPr>
        <w:pStyle w:val="H1G"/>
      </w:pPr>
      <w:r w:rsidRPr="009051A8">
        <w:tab/>
      </w:r>
      <w:r w:rsidRPr="009051A8">
        <w:tab/>
      </w:r>
      <w:r w:rsidR="00A056EE" w:rsidRPr="009051A8">
        <w:t>The application of article 19 (3)</w:t>
      </w:r>
    </w:p>
    <w:p w:rsidR="00F750BE" w:rsidRPr="009051A8" w:rsidRDefault="00FD34AB" w:rsidP="00CF10CB">
      <w:pPr>
        <w:pStyle w:val="SingleTxtG"/>
        <w:rPr>
          <w:rStyle w:val="FootnoteReference"/>
        </w:rPr>
      </w:pPr>
      <w:r w:rsidRPr="009051A8">
        <w:t>2</w:t>
      </w:r>
      <w:r w:rsidR="00916087" w:rsidRPr="009051A8">
        <w:t>1</w:t>
      </w:r>
      <w:r w:rsidR="003A0E39" w:rsidRPr="009051A8">
        <w:t>.</w:t>
      </w:r>
      <w:r w:rsidR="00F750BE" w:rsidRPr="009051A8">
        <w:tab/>
        <w:t>Paragraph 3 expressly states that the exercise of the right to freedom of expression carries with it special duties and responsibilities</w:t>
      </w:r>
      <w:r w:rsidR="00CF10CB" w:rsidRPr="009051A8">
        <w:t>. F</w:t>
      </w:r>
      <w:r w:rsidR="00F750BE" w:rsidRPr="009051A8">
        <w:t>or this reason two limitative areas of restrictions on the right are permitted</w:t>
      </w:r>
      <w:r w:rsidR="00AC0FCB" w:rsidRPr="009051A8">
        <w:t>,</w:t>
      </w:r>
      <w:r w:rsidR="00F750BE" w:rsidRPr="009051A8">
        <w:t xml:space="preserve"> which may relate either to respect of the rights or reputations of others or to the protection of national security or of public order (</w:t>
      </w:r>
      <w:r w:rsidR="00F750BE" w:rsidRPr="009051A8">
        <w:rPr>
          <w:i/>
        </w:rPr>
        <w:t>ordre public</w:t>
      </w:r>
      <w:r w:rsidR="00F750BE" w:rsidRPr="009051A8">
        <w:t xml:space="preserve">) or of public health or morals. However, when a State party imposes restrictions on the exercise of freedom of expression, these may not put in jeopardy the right itself. </w:t>
      </w:r>
      <w:r w:rsidR="00CF10CB" w:rsidRPr="009051A8">
        <w:t>The Committee recalls that the relation between right and restriction and between norm and exception must not be reversed.</w:t>
      </w:r>
      <w:r w:rsidR="00CF10CB" w:rsidRPr="009051A8">
        <w:rPr>
          <w:rStyle w:val="FootnoteReference"/>
        </w:rPr>
        <w:footnoteReference w:id="42"/>
      </w:r>
      <w:r w:rsidR="00CF10CB" w:rsidRPr="009051A8">
        <w:rPr>
          <w:rStyle w:val="FootnoteReference"/>
        </w:rPr>
        <w:t xml:space="preserve"> </w:t>
      </w:r>
      <w:r w:rsidR="00F750BE" w:rsidRPr="009051A8">
        <w:t>The Committee also recalls the provisions of article 5, paragraph 1</w:t>
      </w:r>
      <w:r w:rsidR="00A842C5" w:rsidRPr="009051A8">
        <w:t>,</w:t>
      </w:r>
      <w:r w:rsidR="00F750BE" w:rsidRPr="009051A8">
        <w:t xml:space="preserve"> of the Covenant according to which “nothing in the present Covenant may be interpreted as implying for any State, group or person any right to engage in any activity or perform any act aimed at the destruction of any of the rights and freedoms recognized herein or at their limitation to a greater extent than is provided for in the present Covenant”. </w:t>
      </w:r>
    </w:p>
    <w:p w:rsidR="00F750BE" w:rsidRPr="009051A8" w:rsidRDefault="00F750BE" w:rsidP="00AC79CE">
      <w:pPr>
        <w:pStyle w:val="SingleTxtG"/>
      </w:pPr>
      <w:r w:rsidRPr="009051A8">
        <w:t>2</w:t>
      </w:r>
      <w:r w:rsidR="00916087" w:rsidRPr="009051A8">
        <w:t>2</w:t>
      </w:r>
      <w:r w:rsidR="003A0E39" w:rsidRPr="009051A8">
        <w:t>.</w:t>
      </w:r>
      <w:r w:rsidRPr="009051A8">
        <w:tab/>
        <w:t xml:space="preserve">Paragraph 3 lays down specific conditions and it is only subject to these conditions that restrictions may be imposed: the restrictions must be “provided by law”; they may only be imposed for one of the </w:t>
      </w:r>
      <w:r w:rsidR="00AB0596" w:rsidRPr="009051A8">
        <w:t xml:space="preserve">grounds </w:t>
      </w:r>
      <w:r w:rsidRPr="009051A8">
        <w:t xml:space="preserve">set out in subparagraphs (a) and (b) of paragraph 3; </w:t>
      </w:r>
      <w:r w:rsidR="003A0ACD" w:rsidRPr="009051A8">
        <w:t>and they must conform to</w:t>
      </w:r>
      <w:r w:rsidR="00854236" w:rsidRPr="009051A8">
        <w:t xml:space="preserve"> </w:t>
      </w:r>
      <w:r w:rsidR="00CF10CB" w:rsidRPr="009051A8">
        <w:t>the</w:t>
      </w:r>
      <w:r w:rsidR="003A0ACD" w:rsidRPr="009051A8">
        <w:t xml:space="preserve"> strict </w:t>
      </w:r>
      <w:r w:rsidR="00CF10CB" w:rsidRPr="009051A8">
        <w:t>tests</w:t>
      </w:r>
      <w:r w:rsidR="00CF10CB" w:rsidRPr="00087D95">
        <w:t xml:space="preserve"> of necessity and proportionality</w:t>
      </w:r>
      <w:r w:rsidR="00140CED" w:rsidRPr="00087D95">
        <w:t>.</w:t>
      </w:r>
      <w:r w:rsidR="00CC612F" w:rsidRPr="009051A8">
        <w:rPr>
          <w:rStyle w:val="FootnoteReference"/>
        </w:rPr>
        <w:footnoteReference w:id="43"/>
      </w:r>
      <w:r w:rsidR="00CC612F" w:rsidRPr="009051A8">
        <w:rPr>
          <w:rStyle w:val="FootnoteReference"/>
        </w:rPr>
        <w:t xml:space="preserve"> </w:t>
      </w:r>
      <w:r w:rsidR="00423415" w:rsidRPr="009051A8">
        <w:t>R</w:t>
      </w:r>
      <w:r w:rsidRPr="009051A8">
        <w:t xml:space="preserve">estrictions are not allowed on grounds not specified </w:t>
      </w:r>
      <w:r w:rsidR="00423415" w:rsidRPr="009051A8">
        <w:t>in paragraph 3</w:t>
      </w:r>
      <w:r w:rsidRPr="009051A8">
        <w:t>, even if</w:t>
      </w:r>
      <w:r w:rsidR="00CF10CB" w:rsidRPr="009051A8">
        <w:t xml:space="preserve"> such grounds would justify </w:t>
      </w:r>
      <w:r w:rsidRPr="009051A8">
        <w:t>restrictions to other rights protected in the Covenant</w:t>
      </w:r>
      <w:r w:rsidR="00CF10CB" w:rsidRPr="009051A8">
        <w:t>.</w:t>
      </w:r>
      <w:r w:rsidRPr="009051A8">
        <w:t xml:space="preserve"> </w:t>
      </w:r>
      <w:r w:rsidR="006B518E" w:rsidRPr="009051A8">
        <w:t>Restriction</w:t>
      </w:r>
      <w:r w:rsidRPr="009051A8">
        <w:t xml:space="preserve">s </w:t>
      </w:r>
      <w:r w:rsidR="00FC222C" w:rsidRPr="009051A8">
        <w:t xml:space="preserve">must </w:t>
      </w:r>
      <w:r w:rsidRPr="009051A8">
        <w:t>be applied only for those purposes for which they were prescribed and must be directly related to the specific need on which they are predicated.</w:t>
      </w:r>
      <w:r w:rsidRPr="009051A8">
        <w:rPr>
          <w:vertAlign w:val="superscript"/>
        </w:rPr>
        <w:footnoteReference w:id="44"/>
      </w:r>
      <w:r w:rsidRPr="009051A8">
        <w:t xml:space="preserve"> </w:t>
      </w:r>
    </w:p>
    <w:p w:rsidR="00AF0745" w:rsidRPr="009051A8" w:rsidRDefault="00F750BE" w:rsidP="00AF0745">
      <w:pPr>
        <w:pStyle w:val="SingleTxtG"/>
      </w:pPr>
      <w:r w:rsidRPr="009051A8">
        <w:t>2</w:t>
      </w:r>
      <w:r w:rsidR="00916087" w:rsidRPr="009051A8">
        <w:t>3</w:t>
      </w:r>
      <w:r w:rsidR="00FD34AB" w:rsidRPr="009051A8">
        <w:t>.</w:t>
      </w:r>
      <w:r w:rsidR="00803855" w:rsidRPr="009051A8">
        <w:tab/>
      </w:r>
      <w:r w:rsidR="00CF10CB" w:rsidRPr="009051A8">
        <w:t xml:space="preserve">States </w:t>
      </w:r>
      <w:r w:rsidR="00EB19E6" w:rsidRPr="009051A8">
        <w:t>p</w:t>
      </w:r>
      <w:r w:rsidR="00CF10CB" w:rsidRPr="009051A8">
        <w:t xml:space="preserve">arties should put in place effective measures to protect against attacks aimed at silencing those exercising their right to freedom of expression. </w:t>
      </w:r>
      <w:r w:rsidRPr="009051A8">
        <w:t xml:space="preserve">Paragraph 3 may never be invoked as a justification for the muzzling of </w:t>
      </w:r>
      <w:r w:rsidR="00FC222C" w:rsidRPr="009051A8">
        <w:t xml:space="preserve">any </w:t>
      </w:r>
      <w:r w:rsidRPr="009051A8">
        <w:t>advocacy of multi-party democracy, democratic tenets and human rights.</w:t>
      </w:r>
      <w:r w:rsidRPr="009051A8">
        <w:rPr>
          <w:rStyle w:val="FootnoteReference"/>
        </w:rPr>
        <w:footnoteReference w:id="45"/>
      </w:r>
      <w:r w:rsidRPr="009051A8">
        <w:rPr>
          <w:rStyle w:val="FootnoteReference"/>
        </w:rPr>
        <w:t xml:space="preserve"> </w:t>
      </w:r>
      <w:r w:rsidRPr="009051A8">
        <w:t>Nor, under any circumstance, can an attack on a person, because of the exercise of his or her freedom of opinion or expression, including such forms of attack as arbitrary arrest, torture, threats to life and killing, be compatible with article 19.</w:t>
      </w:r>
      <w:r w:rsidRPr="009051A8">
        <w:rPr>
          <w:rStyle w:val="FootnoteReference"/>
        </w:rPr>
        <w:footnoteReference w:id="46"/>
      </w:r>
      <w:r w:rsidRPr="009051A8">
        <w:rPr>
          <w:rStyle w:val="FootnoteReference"/>
        </w:rPr>
        <w:t xml:space="preserve"> </w:t>
      </w:r>
      <w:r w:rsidRPr="009051A8">
        <w:t>Journalists are frequently subject</w:t>
      </w:r>
      <w:r w:rsidR="00197540" w:rsidRPr="009051A8">
        <w:t>ed</w:t>
      </w:r>
      <w:r w:rsidRPr="009051A8">
        <w:t xml:space="preserve"> to such threats, intimidation and attacks because of their activities.</w:t>
      </w:r>
      <w:r w:rsidRPr="009051A8">
        <w:rPr>
          <w:rStyle w:val="FootnoteReference"/>
        </w:rPr>
        <w:footnoteReference w:id="47"/>
      </w:r>
      <w:r w:rsidRPr="009051A8">
        <w:t xml:space="preserve"> So too are persons who engage in the gathering </w:t>
      </w:r>
      <w:r w:rsidR="00FC222C" w:rsidRPr="009051A8">
        <w:t>and an</w:t>
      </w:r>
      <w:r w:rsidR="003C17F7" w:rsidRPr="009051A8">
        <w:t>alysis</w:t>
      </w:r>
      <w:r w:rsidR="00FC222C" w:rsidRPr="009051A8">
        <w:t xml:space="preserve"> </w:t>
      </w:r>
      <w:r w:rsidRPr="009051A8">
        <w:t>of information on the human rights situation and who publish human rights-related reports</w:t>
      </w:r>
      <w:r w:rsidR="00CF10CB" w:rsidRPr="009051A8">
        <w:t>, including judges and lawyers</w:t>
      </w:r>
      <w:r w:rsidRPr="009051A8">
        <w:t>.</w:t>
      </w:r>
      <w:r w:rsidRPr="009051A8">
        <w:rPr>
          <w:rStyle w:val="FootnoteReference"/>
        </w:rPr>
        <w:footnoteReference w:id="48"/>
      </w:r>
      <w:r w:rsidRPr="009051A8">
        <w:rPr>
          <w:rStyle w:val="FootnoteReference"/>
        </w:rPr>
        <w:t xml:space="preserve"> </w:t>
      </w:r>
      <w:r w:rsidRPr="009051A8">
        <w:t xml:space="preserve">All </w:t>
      </w:r>
      <w:r w:rsidR="00CF10CB" w:rsidRPr="009051A8">
        <w:t xml:space="preserve">such </w:t>
      </w:r>
      <w:r w:rsidRPr="009051A8">
        <w:t>attacks should be vigorously investigated</w:t>
      </w:r>
      <w:r w:rsidR="00CF10CB" w:rsidRPr="009051A8">
        <w:t xml:space="preserve"> in a timely fashion</w:t>
      </w:r>
      <w:r w:rsidR="004D0595" w:rsidRPr="009051A8">
        <w:t>,</w:t>
      </w:r>
      <w:r w:rsidR="00CF10CB" w:rsidRPr="009051A8">
        <w:t xml:space="preserve"> and</w:t>
      </w:r>
      <w:r w:rsidRPr="009051A8">
        <w:t xml:space="preserve"> the perpetrators prosecuted,</w:t>
      </w:r>
      <w:r w:rsidRPr="009051A8">
        <w:rPr>
          <w:rStyle w:val="FootnoteReference"/>
        </w:rPr>
        <w:footnoteReference w:id="49"/>
      </w:r>
      <w:r w:rsidRPr="009051A8">
        <w:rPr>
          <w:rStyle w:val="FootnoteReference"/>
        </w:rPr>
        <w:t xml:space="preserve"> </w:t>
      </w:r>
      <w:r w:rsidRPr="009051A8">
        <w:t>and the victims, or, in the case of killings, their representatives, be in receipt of appropriate forms of redress.</w:t>
      </w:r>
      <w:r w:rsidRPr="009051A8">
        <w:rPr>
          <w:rStyle w:val="FootnoteReference"/>
        </w:rPr>
        <w:footnoteReference w:id="50"/>
      </w:r>
      <w:r w:rsidRPr="009051A8">
        <w:rPr>
          <w:rStyle w:val="FootnoteReference"/>
        </w:rPr>
        <w:t xml:space="preserve"> </w:t>
      </w:r>
    </w:p>
    <w:p w:rsidR="00F750BE" w:rsidRPr="009051A8" w:rsidRDefault="00F750BE" w:rsidP="005A5517">
      <w:pPr>
        <w:pStyle w:val="SingleTxtG"/>
      </w:pPr>
      <w:r w:rsidRPr="009051A8">
        <w:t>2</w:t>
      </w:r>
      <w:r w:rsidR="00B40FA8" w:rsidRPr="009051A8">
        <w:t>4</w:t>
      </w:r>
      <w:r w:rsidR="003A0E39" w:rsidRPr="009051A8">
        <w:t>.</w:t>
      </w:r>
      <w:r w:rsidRPr="009051A8">
        <w:tab/>
        <w:t xml:space="preserve">Restrictions must be provided by law. </w:t>
      </w:r>
      <w:r w:rsidR="00BA6FD0" w:rsidRPr="009051A8">
        <w:t>L</w:t>
      </w:r>
      <w:r w:rsidR="00A30E57" w:rsidRPr="009051A8">
        <w:t>aw</w:t>
      </w:r>
      <w:r w:rsidRPr="009051A8">
        <w:t xml:space="preserve"> may include law</w:t>
      </w:r>
      <w:r w:rsidR="00A30E57" w:rsidRPr="009051A8">
        <w:t>s</w:t>
      </w:r>
      <w:r w:rsidRPr="009051A8">
        <w:t xml:space="preserve"> of parliamentary privilege</w:t>
      </w:r>
      <w:r w:rsidRPr="009051A8">
        <w:rPr>
          <w:rStyle w:val="FootnoteReference"/>
        </w:rPr>
        <w:footnoteReference w:id="51"/>
      </w:r>
      <w:r w:rsidRPr="009051A8">
        <w:rPr>
          <w:rStyle w:val="FootnoteReference"/>
        </w:rPr>
        <w:t xml:space="preserve"> </w:t>
      </w:r>
      <w:r w:rsidRPr="009051A8">
        <w:t>and law</w:t>
      </w:r>
      <w:r w:rsidR="00A30E57" w:rsidRPr="009051A8">
        <w:t>s</w:t>
      </w:r>
      <w:r w:rsidRPr="009051A8">
        <w:t xml:space="preserve"> of contempt of court.</w:t>
      </w:r>
      <w:r w:rsidRPr="009051A8">
        <w:rPr>
          <w:rStyle w:val="FootnoteReference"/>
        </w:rPr>
        <w:footnoteReference w:id="52"/>
      </w:r>
      <w:r w:rsidRPr="009051A8">
        <w:t xml:space="preserve"> Since any restriction on freedom of expression constitutes a serious curtailment of human rights, it is not compatible with the Covenant for a restriction to be enshrined in </w:t>
      </w:r>
      <w:r w:rsidR="00A30E57" w:rsidRPr="009051A8">
        <w:t xml:space="preserve">traditional, religious or other such </w:t>
      </w:r>
      <w:r w:rsidRPr="009051A8">
        <w:t>customary law.</w:t>
      </w:r>
      <w:r w:rsidRPr="009051A8">
        <w:rPr>
          <w:rStyle w:val="FootnoteReference"/>
        </w:rPr>
        <w:footnoteReference w:id="53"/>
      </w:r>
      <w:r w:rsidRPr="009051A8">
        <w:rPr>
          <w:rStyle w:val="FootnoteReference"/>
        </w:rPr>
        <w:t xml:space="preserve"> </w:t>
      </w:r>
    </w:p>
    <w:p w:rsidR="00FC222C" w:rsidRPr="009051A8" w:rsidRDefault="00F052C2" w:rsidP="003A7E46">
      <w:pPr>
        <w:pStyle w:val="SingleTxtG"/>
      </w:pPr>
      <w:r w:rsidRPr="009051A8">
        <w:t>2</w:t>
      </w:r>
      <w:r w:rsidR="00B40FA8" w:rsidRPr="009051A8">
        <w:t>5</w:t>
      </w:r>
      <w:r w:rsidR="00FD34AB" w:rsidRPr="009051A8">
        <w:t>.</w:t>
      </w:r>
      <w:r w:rsidR="00FC222C" w:rsidRPr="009051A8">
        <w:tab/>
        <w:t xml:space="preserve">For </w:t>
      </w:r>
      <w:r w:rsidR="00A842C5" w:rsidRPr="009051A8">
        <w:t xml:space="preserve">the </w:t>
      </w:r>
      <w:r w:rsidR="00FC222C" w:rsidRPr="009051A8">
        <w:t>purposes of paragraph 3, a norm, to be characteri</w:t>
      </w:r>
      <w:r w:rsidR="00A842C5" w:rsidRPr="009051A8">
        <w:t>z</w:t>
      </w:r>
      <w:r w:rsidR="00FC222C" w:rsidRPr="009051A8">
        <w:t>ed as a “law”, must be formulated with sufficient precision to enable an individual to regulate his or her conduct accordingly</w:t>
      </w:r>
      <w:r w:rsidR="00FC222C" w:rsidRPr="009051A8">
        <w:rPr>
          <w:rStyle w:val="FootnoteReference"/>
        </w:rPr>
        <w:footnoteReference w:id="54"/>
      </w:r>
      <w:r w:rsidR="00FC222C" w:rsidRPr="009051A8">
        <w:t xml:space="preserve"> and it must be made </w:t>
      </w:r>
      <w:r w:rsidR="00A30E57" w:rsidRPr="009051A8">
        <w:t xml:space="preserve">accessible to the </w:t>
      </w:r>
      <w:r w:rsidR="00FC222C" w:rsidRPr="009051A8">
        <w:t xml:space="preserve">public. A law may not confer unfettered discretion for the </w:t>
      </w:r>
      <w:r w:rsidR="003A7E46" w:rsidRPr="009051A8">
        <w:t xml:space="preserve">restriction </w:t>
      </w:r>
      <w:r w:rsidR="00FC222C" w:rsidRPr="009051A8">
        <w:t>of freedom of expression on those charged with its execution.</w:t>
      </w:r>
      <w:r w:rsidR="00FC222C" w:rsidRPr="009051A8">
        <w:rPr>
          <w:rStyle w:val="FootnoteReference"/>
        </w:rPr>
        <w:footnoteReference w:id="55"/>
      </w:r>
      <w:r w:rsidR="004469F8" w:rsidRPr="009051A8">
        <w:t xml:space="preserve"> Laws must provide sufficient guidance to those charged with their execution to enable</w:t>
      </w:r>
      <w:r w:rsidR="0004184E" w:rsidRPr="009051A8">
        <w:t xml:space="preserve"> them</w:t>
      </w:r>
      <w:r w:rsidR="004469F8" w:rsidRPr="009051A8">
        <w:t xml:space="preserve"> to ascertain what sorts of expression are properly restricted and what sorts are not.</w:t>
      </w:r>
      <w:r w:rsidR="00FC222C" w:rsidRPr="009051A8">
        <w:rPr>
          <w:rStyle w:val="FootnoteReference"/>
        </w:rPr>
        <w:t xml:space="preserve"> </w:t>
      </w:r>
    </w:p>
    <w:p w:rsidR="00F750BE" w:rsidRPr="009051A8" w:rsidRDefault="00F052C2" w:rsidP="00787C2D">
      <w:pPr>
        <w:pStyle w:val="SingleTxtG"/>
      </w:pPr>
      <w:r w:rsidRPr="009051A8">
        <w:t>2</w:t>
      </w:r>
      <w:r w:rsidR="00B40FA8" w:rsidRPr="009051A8">
        <w:t>6</w:t>
      </w:r>
      <w:r w:rsidR="00F750BE" w:rsidRPr="009051A8">
        <w:t xml:space="preserve">. </w:t>
      </w:r>
      <w:r w:rsidR="00F750BE" w:rsidRPr="009051A8">
        <w:tab/>
        <w:t xml:space="preserve">Laws restricting </w:t>
      </w:r>
      <w:r w:rsidR="004469F8" w:rsidRPr="009051A8">
        <w:t xml:space="preserve">the rights enumerated in </w:t>
      </w:r>
      <w:r w:rsidR="00C308F5" w:rsidRPr="009051A8">
        <w:rPr>
          <w:rFonts w:hint="eastAsia"/>
          <w:lang w:eastAsia="zh-TW"/>
        </w:rPr>
        <w:t>article</w:t>
      </w:r>
      <w:r w:rsidR="004469F8" w:rsidRPr="009051A8">
        <w:t xml:space="preserve"> 19</w:t>
      </w:r>
      <w:r w:rsidR="00812DC8" w:rsidRPr="009051A8">
        <w:t>, paragraph</w:t>
      </w:r>
      <w:r w:rsidR="00812DC8" w:rsidRPr="009051A8">
        <w:rPr>
          <w:lang w:eastAsia="zh-TW"/>
        </w:rPr>
        <w:t xml:space="preserve"> </w:t>
      </w:r>
      <w:r w:rsidR="00C308F5" w:rsidRPr="009051A8">
        <w:rPr>
          <w:rFonts w:hint="eastAsia"/>
          <w:lang w:eastAsia="zh-TW"/>
        </w:rPr>
        <w:t>2</w:t>
      </w:r>
      <w:r w:rsidR="007237EB" w:rsidRPr="009051A8">
        <w:rPr>
          <w:lang w:eastAsia="zh-TW"/>
        </w:rPr>
        <w:t>,</w:t>
      </w:r>
      <w:r w:rsidR="00E67B16" w:rsidRPr="009051A8">
        <w:rPr>
          <w:lang w:eastAsia="zh-TW"/>
        </w:rPr>
        <w:t xml:space="preserve"> </w:t>
      </w:r>
      <w:r w:rsidR="007237EB" w:rsidRPr="009051A8">
        <w:t>including the laws referred to in paragraph 2</w:t>
      </w:r>
      <w:r w:rsidR="00720DD4" w:rsidRPr="009051A8">
        <w:t>4</w:t>
      </w:r>
      <w:r w:rsidR="007237EB" w:rsidRPr="009051A8">
        <w:t xml:space="preserve">, </w:t>
      </w:r>
      <w:r w:rsidR="004469F8" w:rsidRPr="009051A8">
        <w:t>must not only comply with the st</w:t>
      </w:r>
      <w:r w:rsidR="00812DC8" w:rsidRPr="009051A8">
        <w:t>rict requirements of article 19, paragraph 3</w:t>
      </w:r>
      <w:r w:rsidR="004469F8" w:rsidRPr="009051A8">
        <w:t xml:space="preserve"> of the </w:t>
      </w:r>
      <w:r w:rsidR="00F750BE" w:rsidRPr="009051A8">
        <w:t xml:space="preserve">Covenant </w:t>
      </w:r>
      <w:r w:rsidR="004469F8" w:rsidRPr="009051A8">
        <w:t>but</w:t>
      </w:r>
      <w:r w:rsidR="00F750BE" w:rsidRPr="009051A8">
        <w:t xml:space="preserve"> must </w:t>
      </w:r>
      <w:r w:rsidR="004469F8" w:rsidRPr="009051A8">
        <w:t xml:space="preserve">also </w:t>
      </w:r>
      <w:r w:rsidR="00F750BE" w:rsidRPr="009051A8">
        <w:t>themselves be compatible with the provisions, aims and objectives of the Covenant.</w:t>
      </w:r>
      <w:r w:rsidR="00F750BE" w:rsidRPr="009051A8">
        <w:rPr>
          <w:rStyle w:val="FootnoteReference"/>
        </w:rPr>
        <w:footnoteReference w:id="56"/>
      </w:r>
      <w:r w:rsidR="00F750BE" w:rsidRPr="009051A8">
        <w:rPr>
          <w:rStyle w:val="FootnoteReference"/>
        </w:rPr>
        <w:t xml:space="preserve"> </w:t>
      </w:r>
      <w:r w:rsidR="00F750BE" w:rsidRPr="009051A8">
        <w:t xml:space="preserve">Laws </w:t>
      </w:r>
      <w:r w:rsidR="00C308F5" w:rsidRPr="009051A8">
        <w:rPr>
          <w:rFonts w:hint="eastAsia"/>
          <w:lang w:eastAsia="zh-TW"/>
        </w:rPr>
        <w:t>must</w:t>
      </w:r>
      <w:r w:rsidR="00C308F5" w:rsidRPr="009051A8">
        <w:t xml:space="preserve"> </w:t>
      </w:r>
      <w:r w:rsidR="00F750BE" w:rsidRPr="009051A8">
        <w:t xml:space="preserve">not violate the non-discrimination provisions of the Covenant. Laws </w:t>
      </w:r>
      <w:r w:rsidR="00C308F5" w:rsidRPr="009051A8">
        <w:rPr>
          <w:rFonts w:hint="eastAsia"/>
          <w:lang w:eastAsia="zh-TW"/>
        </w:rPr>
        <w:t>must</w:t>
      </w:r>
      <w:r w:rsidR="00C308F5" w:rsidRPr="009051A8">
        <w:t xml:space="preserve"> </w:t>
      </w:r>
      <w:r w:rsidR="00F750BE" w:rsidRPr="009051A8">
        <w:t>not provide for penalties that are incompatible with the Covenant, such as corporal punishment</w:t>
      </w:r>
      <w:r w:rsidR="00787C2D" w:rsidRPr="009051A8">
        <w:t>.</w:t>
      </w:r>
      <w:r w:rsidR="00F750BE" w:rsidRPr="009051A8">
        <w:rPr>
          <w:rStyle w:val="FootnoteReference"/>
        </w:rPr>
        <w:footnoteReference w:id="57"/>
      </w:r>
      <w:r w:rsidR="00F750BE" w:rsidRPr="009051A8">
        <w:rPr>
          <w:rStyle w:val="FootnoteReference"/>
        </w:rPr>
        <w:t xml:space="preserve"> </w:t>
      </w:r>
    </w:p>
    <w:p w:rsidR="00F750BE" w:rsidRPr="009051A8" w:rsidRDefault="00F052C2" w:rsidP="00F750BE">
      <w:pPr>
        <w:pStyle w:val="SingleTxtG"/>
      </w:pPr>
      <w:r w:rsidRPr="009051A8">
        <w:t>2</w:t>
      </w:r>
      <w:r w:rsidR="00B40FA8" w:rsidRPr="009051A8">
        <w:t>7</w:t>
      </w:r>
      <w:r w:rsidR="003A0E39" w:rsidRPr="009051A8">
        <w:t>.</w:t>
      </w:r>
      <w:r w:rsidR="00F750BE" w:rsidRPr="009051A8">
        <w:tab/>
        <w:t>It is for the State party to demonstrate the legal basis for any restrictions imposed on freedom of expression.</w:t>
      </w:r>
      <w:r w:rsidR="00F750BE" w:rsidRPr="009051A8">
        <w:rPr>
          <w:vertAlign w:val="superscript"/>
        </w:rPr>
        <w:footnoteReference w:id="58"/>
      </w:r>
      <w:r w:rsidR="00F750BE" w:rsidRPr="009051A8">
        <w:t xml:space="preserve"> If, with regard to a particular State party, the Committee has to consider whether a particular restriction is imposed by law, the State party should provide details of the law and of actions that fall within the scope of the law.</w:t>
      </w:r>
      <w:r w:rsidR="00F750BE" w:rsidRPr="009051A8">
        <w:rPr>
          <w:rStyle w:val="FootnoteReference"/>
        </w:rPr>
        <w:footnoteReference w:id="59"/>
      </w:r>
    </w:p>
    <w:p w:rsidR="00CC612F" w:rsidRPr="009051A8" w:rsidRDefault="001D1482" w:rsidP="001D1482">
      <w:pPr>
        <w:pStyle w:val="SingleTxtG"/>
        <w:rPr>
          <w:rStyle w:val="FootnoteReference"/>
        </w:rPr>
      </w:pPr>
      <w:r w:rsidRPr="009051A8">
        <w:t>2</w:t>
      </w:r>
      <w:r w:rsidR="00B40FA8" w:rsidRPr="009051A8">
        <w:t>8</w:t>
      </w:r>
      <w:r w:rsidR="003A0E39" w:rsidRPr="009051A8">
        <w:t>.</w:t>
      </w:r>
      <w:r w:rsidR="00CC612F" w:rsidRPr="009051A8">
        <w:tab/>
        <w:t>The first of the legitimate grounds for restriction listed in paragraph 3 is that of respect for the rights or reputations of others. The term “rights” includes human rights as recogni</w:t>
      </w:r>
      <w:r w:rsidR="00E67B16" w:rsidRPr="009051A8">
        <w:t>z</w:t>
      </w:r>
      <w:r w:rsidR="00CC612F" w:rsidRPr="009051A8">
        <w:t xml:space="preserve">ed in the Covenant and more generally in international human rights law. For example, it may be legitimate to restrict freedom of expression in order to protect the </w:t>
      </w:r>
      <w:r w:rsidR="004C3E2A" w:rsidRPr="009051A8">
        <w:t xml:space="preserve">right to vote under </w:t>
      </w:r>
      <w:r w:rsidR="00CC612F" w:rsidRPr="009051A8">
        <w:t xml:space="preserve">article 25, as well as </w:t>
      </w:r>
      <w:r w:rsidR="004C3E2A" w:rsidRPr="009051A8">
        <w:t>rights</w:t>
      </w:r>
      <w:r w:rsidR="004C3E2A" w:rsidRPr="00087D95">
        <w:t xml:space="preserve"> </w:t>
      </w:r>
      <w:r w:rsidR="00CC612F" w:rsidRPr="00087D95">
        <w:t>article</w:t>
      </w:r>
      <w:r w:rsidR="004C3E2A" w:rsidRPr="009051A8">
        <w:t xml:space="preserve"> under</w:t>
      </w:r>
      <w:r w:rsidR="00CC612F" w:rsidRPr="009051A8">
        <w:t xml:space="preserve"> 17 (</w:t>
      </w:r>
      <w:r w:rsidR="00EB19E6" w:rsidRPr="009051A8">
        <w:rPr>
          <w:lang w:eastAsia="zh-TW"/>
        </w:rPr>
        <w:t>s</w:t>
      </w:r>
      <w:r w:rsidR="002A49B7" w:rsidRPr="009051A8">
        <w:t xml:space="preserve">ee </w:t>
      </w:r>
      <w:r w:rsidR="00CC612F" w:rsidRPr="009051A8">
        <w:t xml:space="preserve">para. </w:t>
      </w:r>
      <w:r w:rsidR="00901808" w:rsidRPr="009051A8">
        <w:t>3</w:t>
      </w:r>
      <w:r w:rsidR="00720DD4" w:rsidRPr="009051A8">
        <w:t>7</w:t>
      </w:r>
      <w:r w:rsidR="00CC612F" w:rsidRPr="009051A8">
        <w:t>).</w:t>
      </w:r>
      <w:r w:rsidR="00CC612F" w:rsidRPr="009051A8">
        <w:rPr>
          <w:rStyle w:val="FootnoteReference"/>
        </w:rPr>
        <w:footnoteReference w:id="60"/>
      </w:r>
      <w:r w:rsidR="00CC612F" w:rsidRPr="009051A8">
        <w:t xml:space="preserve"> Such restrictions must be constructed with care: while it may be permissible to protect voters from forms of expression that constitute intimidation or coercion, such restrictions must not impede political debate, including, for example, calls for the boycotting of a non-compulsory vote.</w:t>
      </w:r>
      <w:r w:rsidR="00CC612F" w:rsidRPr="009051A8">
        <w:rPr>
          <w:rStyle w:val="FootnoteReference"/>
        </w:rPr>
        <w:footnoteReference w:id="61"/>
      </w:r>
      <w:r w:rsidR="00CC612F" w:rsidRPr="009051A8">
        <w:t xml:space="preserve"> The term </w:t>
      </w:r>
      <w:r w:rsidR="00E67B16" w:rsidRPr="009051A8">
        <w:t>“</w:t>
      </w:r>
      <w:r w:rsidR="00CC612F" w:rsidRPr="009051A8">
        <w:t>others</w:t>
      </w:r>
      <w:r w:rsidR="00E67B16" w:rsidRPr="009051A8">
        <w:t>”</w:t>
      </w:r>
      <w:r w:rsidR="00CC612F" w:rsidRPr="009051A8">
        <w:t xml:space="preserve"> relate</w:t>
      </w:r>
      <w:r w:rsidR="004469F8" w:rsidRPr="009051A8">
        <w:t>s</w:t>
      </w:r>
      <w:r w:rsidR="00CC612F" w:rsidRPr="009051A8">
        <w:t xml:space="preserve"> to other persons individually or as members of a community.</w:t>
      </w:r>
      <w:r w:rsidR="00CC612F" w:rsidRPr="009051A8">
        <w:rPr>
          <w:rStyle w:val="FootnoteReference"/>
        </w:rPr>
        <w:footnoteReference w:id="62"/>
      </w:r>
      <w:r w:rsidR="00CC612F" w:rsidRPr="009051A8">
        <w:t xml:space="preserve"> Thus, it may, for instance, refer to </w:t>
      </w:r>
      <w:r w:rsidR="004469F8" w:rsidRPr="009051A8">
        <w:t xml:space="preserve">individual </w:t>
      </w:r>
      <w:r w:rsidR="00CC612F" w:rsidRPr="009051A8">
        <w:t>members of a community defined by its religious faith</w:t>
      </w:r>
      <w:r w:rsidR="00CC612F" w:rsidRPr="009051A8">
        <w:rPr>
          <w:rStyle w:val="FootnoteReference"/>
        </w:rPr>
        <w:footnoteReference w:id="63"/>
      </w:r>
      <w:r w:rsidR="00CC612F" w:rsidRPr="009051A8">
        <w:t xml:space="preserve"> or ethnicity.</w:t>
      </w:r>
      <w:r w:rsidR="00CC612F" w:rsidRPr="009051A8">
        <w:rPr>
          <w:rStyle w:val="FootnoteReference"/>
        </w:rPr>
        <w:footnoteReference w:id="64"/>
      </w:r>
    </w:p>
    <w:p w:rsidR="00CC612F" w:rsidRPr="009051A8" w:rsidRDefault="00B40FA8" w:rsidP="00CC612F">
      <w:pPr>
        <w:pStyle w:val="SingleTxtG"/>
      </w:pPr>
      <w:r w:rsidRPr="009051A8">
        <w:t>29</w:t>
      </w:r>
      <w:r w:rsidR="003A0E39" w:rsidRPr="009051A8">
        <w:t>.</w:t>
      </w:r>
      <w:r w:rsidR="00CC612F" w:rsidRPr="009051A8">
        <w:tab/>
        <w:t>The second legitimate ground is that of protection of national security or of public order (</w:t>
      </w:r>
      <w:r w:rsidR="00CC612F" w:rsidRPr="009051A8">
        <w:rPr>
          <w:i/>
        </w:rPr>
        <w:t>ordre public</w:t>
      </w:r>
      <w:r w:rsidR="00CC612F" w:rsidRPr="009051A8">
        <w:t xml:space="preserve">), or of public health or morals. </w:t>
      </w:r>
    </w:p>
    <w:p w:rsidR="00CC612F" w:rsidRPr="009051A8" w:rsidRDefault="00CC612F" w:rsidP="00CC612F">
      <w:pPr>
        <w:pStyle w:val="SingleTxtG"/>
        <w:rPr>
          <w:rStyle w:val="FootnoteReference"/>
        </w:rPr>
      </w:pPr>
      <w:r w:rsidRPr="009051A8">
        <w:t>3</w:t>
      </w:r>
      <w:r w:rsidR="00B40FA8" w:rsidRPr="009051A8">
        <w:t>0</w:t>
      </w:r>
      <w:r w:rsidR="003A0E39" w:rsidRPr="009051A8">
        <w:t>.</w:t>
      </w:r>
      <w:r w:rsidRPr="009051A8">
        <w:tab/>
        <w:t>Extreme care must be taken by States parties to ensure that treason laws</w:t>
      </w:r>
      <w:r w:rsidRPr="009051A8">
        <w:rPr>
          <w:rStyle w:val="FootnoteReference"/>
        </w:rPr>
        <w:footnoteReference w:id="65"/>
      </w:r>
      <w:r w:rsidRPr="009051A8">
        <w:t xml:space="preserve"> and similar provisions relating to national security, </w:t>
      </w:r>
      <w:r w:rsidR="004469F8" w:rsidRPr="009051A8">
        <w:t xml:space="preserve">whether described </w:t>
      </w:r>
      <w:r w:rsidRPr="009051A8">
        <w:t xml:space="preserve">as official secrets </w:t>
      </w:r>
      <w:r w:rsidR="002A49B7" w:rsidRPr="009051A8">
        <w:rPr>
          <w:rFonts w:hint="eastAsia"/>
          <w:lang w:eastAsia="zh-TW"/>
        </w:rPr>
        <w:t>or</w:t>
      </w:r>
      <w:r w:rsidR="002A49B7" w:rsidRPr="009051A8">
        <w:t xml:space="preserve"> </w:t>
      </w:r>
      <w:r w:rsidRPr="009051A8">
        <w:t>sedition laws</w:t>
      </w:r>
      <w:r w:rsidR="004469F8" w:rsidRPr="009051A8">
        <w:t xml:space="preserve"> or otherwise</w:t>
      </w:r>
      <w:r w:rsidRPr="009051A8">
        <w:t xml:space="preserve">, are crafted and applied in a manner that conforms to </w:t>
      </w:r>
      <w:r w:rsidR="004469F8" w:rsidRPr="009051A8">
        <w:t xml:space="preserve">the strict requirements of </w:t>
      </w:r>
      <w:r w:rsidRPr="009051A8">
        <w:t xml:space="preserve">paragraph 3. It is not compatible with paragraph 3, for instance, to invoke </w:t>
      </w:r>
      <w:r w:rsidR="002A49B7" w:rsidRPr="009051A8">
        <w:rPr>
          <w:rFonts w:hint="eastAsia"/>
          <w:lang w:eastAsia="zh-TW"/>
        </w:rPr>
        <w:t>such</w:t>
      </w:r>
      <w:r w:rsidR="002A49B7" w:rsidRPr="009051A8">
        <w:t xml:space="preserve"> </w:t>
      </w:r>
      <w:r w:rsidRPr="009051A8">
        <w:t>laws to</w:t>
      </w:r>
      <w:r w:rsidR="002A49B7" w:rsidRPr="009051A8">
        <w:t xml:space="preserve"> </w:t>
      </w:r>
      <w:r w:rsidR="002A49B7" w:rsidRPr="009051A8">
        <w:rPr>
          <w:lang w:eastAsia="zh-TW"/>
        </w:rPr>
        <w:t>suppress</w:t>
      </w:r>
      <w:r w:rsidR="002A49B7" w:rsidRPr="009051A8">
        <w:rPr>
          <w:rFonts w:hint="eastAsia"/>
          <w:lang w:eastAsia="zh-TW"/>
        </w:rPr>
        <w:t xml:space="preserve"> or </w:t>
      </w:r>
      <w:r w:rsidR="002A49B7" w:rsidRPr="009051A8">
        <w:rPr>
          <w:lang w:eastAsia="zh-TW"/>
        </w:rPr>
        <w:t>withhold</w:t>
      </w:r>
      <w:r w:rsidR="002A49B7" w:rsidRPr="009051A8">
        <w:rPr>
          <w:rFonts w:hint="eastAsia"/>
          <w:lang w:eastAsia="zh-TW"/>
        </w:rPr>
        <w:t xml:space="preserve"> from the public information of legitimate public interest that does not harm national security</w:t>
      </w:r>
      <w:r w:rsidR="00A9620F" w:rsidRPr="009051A8">
        <w:rPr>
          <w:rFonts w:hint="eastAsia"/>
          <w:lang w:eastAsia="zh-TW"/>
        </w:rPr>
        <w:t xml:space="preserve"> or to</w:t>
      </w:r>
      <w:r w:rsidRPr="009051A8">
        <w:t xml:space="preserve"> prosecute journalists, researchers, environmental activists, human rights defenders, or others, for having disseminated </w:t>
      </w:r>
      <w:r w:rsidR="00A9620F" w:rsidRPr="009051A8">
        <w:rPr>
          <w:rFonts w:hint="eastAsia"/>
          <w:lang w:eastAsia="zh-TW"/>
        </w:rPr>
        <w:t xml:space="preserve">such </w:t>
      </w:r>
      <w:r w:rsidRPr="009051A8">
        <w:t>information.</w:t>
      </w:r>
      <w:r w:rsidRPr="009051A8">
        <w:rPr>
          <w:rStyle w:val="FootnoteReference"/>
        </w:rPr>
        <w:footnoteReference w:id="66"/>
      </w:r>
      <w:r w:rsidRPr="009051A8">
        <w:rPr>
          <w:rStyle w:val="FootnoteReference"/>
        </w:rPr>
        <w:t xml:space="preserve"> </w:t>
      </w:r>
      <w:r w:rsidRPr="009051A8">
        <w:t xml:space="preserve">Nor is it generally appropriate to include in the remit of </w:t>
      </w:r>
      <w:r w:rsidR="004469F8" w:rsidRPr="009051A8">
        <w:t>such</w:t>
      </w:r>
      <w:r w:rsidRPr="009051A8">
        <w:t xml:space="preserve"> law</w:t>
      </w:r>
      <w:r w:rsidR="004469F8" w:rsidRPr="009051A8">
        <w:t>s</w:t>
      </w:r>
      <w:r w:rsidRPr="009051A8">
        <w:t xml:space="preserve"> such categories of information as those relating to the commercial sector, banking and scientific progress.</w:t>
      </w:r>
      <w:r w:rsidRPr="009051A8">
        <w:rPr>
          <w:rStyle w:val="FootnoteReference"/>
        </w:rPr>
        <w:footnoteReference w:id="67"/>
      </w:r>
      <w:r w:rsidRPr="009051A8">
        <w:rPr>
          <w:rStyle w:val="FootnoteReference"/>
        </w:rPr>
        <w:t xml:space="preserve"> </w:t>
      </w:r>
      <w:r w:rsidRPr="009051A8">
        <w:t>The Committee has found in one case that a restriction on the issuing of a statement in support of a labour dispute, including for the convening of a national strike</w:t>
      </w:r>
      <w:r w:rsidR="00132353" w:rsidRPr="009051A8">
        <w:rPr>
          <w:rFonts w:hint="eastAsia"/>
          <w:lang w:eastAsia="zh-TW"/>
        </w:rPr>
        <w:t>,</w:t>
      </w:r>
      <w:r w:rsidRPr="009051A8">
        <w:t xml:space="preserve"> was not permissible on the grounds of national security.</w:t>
      </w:r>
      <w:r w:rsidRPr="009051A8">
        <w:rPr>
          <w:rStyle w:val="FootnoteReference"/>
        </w:rPr>
        <w:footnoteReference w:id="68"/>
      </w:r>
      <w:r w:rsidRPr="009051A8">
        <w:rPr>
          <w:rStyle w:val="FootnoteReference"/>
        </w:rPr>
        <w:t xml:space="preserve"> </w:t>
      </w:r>
    </w:p>
    <w:p w:rsidR="00CC612F" w:rsidRPr="009051A8" w:rsidRDefault="00CC612F" w:rsidP="00155B1C">
      <w:pPr>
        <w:pStyle w:val="SingleTxtG"/>
        <w:rPr>
          <w:rStyle w:val="FootnoteReference"/>
        </w:rPr>
      </w:pPr>
      <w:r w:rsidRPr="009051A8">
        <w:t>3</w:t>
      </w:r>
      <w:r w:rsidR="00B40FA8" w:rsidRPr="009051A8">
        <w:t>1</w:t>
      </w:r>
      <w:r w:rsidR="003A0E39" w:rsidRPr="009051A8">
        <w:t>.</w:t>
      </w:r>
      <w:r w:rsidRPr="009051A8">
        <w:tab/>
        <w:t>On the basis of maintenance of public order</w:t>
      </w:r>
      <w:r w:rsidR="00BA6FD0" w:rsidRPr="009051A8">
        <w:t xml:space="preserve"> (</w:t>
      </w:r>
      <w:r w:rsidR="00BA6FD0" w:rsidRPr="009051A8">
        <w:rPr>
          <w:i/>
        </w:rPr>
        <w:t>ordre public</w:t>
      </w:r>
      <w:r w:rsidR="00BA6FD0" w:rsidRPr="009051A8">
        <w:t>)</w:t>
      </w:r>
      <w:r w:rsidRPr="009051A8">
        <w:t xml:space="preserve"> it may, for instance, be permissible in certain circumstances to regulate speech-making in a particular public place.</w:t>
      </w:r>
      <w:r w:rsidRPr="009051A8">
        <w:rPr>
          <w:rStyle w:val="FootnoteReference"/>
        </w:rPr>
        <w:footnoteReference w:id="69"/>
      </w:r>
      <w:r w:rsidRPr="009051A8">
        <w:rPr>
          <w:rStyle w:val="FootnoteReference"/>
        </w:rPr>
        <w:t xml:space="preserve"> </w:t>
      </w:r>
      <w:r w:rsidRPr="009051A8">
        <w:t xml:space="preserve">Contempt of court proceedings relating to forms of expression may be tested against the public order </w:t>
      </w:r>
      <w:r w:rsidR="00BA6FD0" w:rsidRPr="009051A8">
        <w:t>(</w:t>
      </w:r>
      <w:r w:rsidR="00BA6FD0" w:rsidRPr="009051A8">
        <w:rPr>
          <w:i/>
        </w:rPr>
        <w:t>ordre public</w:t>
      </w:r>
      <w:r w:rsidR="00BA6FD0" w:rsidRPr="009051A8">
        <w:t xml:space="preserve">) </w:t>
      </w:r>
      <w:r w:rsidRPr="009051A8">
        <w:t>ground. In order to comply with paragraph 3, such proceedings and the penalty imposed must be shown to be warranted in the exercise of a court’s power to maintain orderly proceedings</w:t>
      </w:r>
      <w:r w:rsidR="00E31923" w:rsidRPr="009051A8">
        <w:t>.</w:t>
      </w:r>
      <w:r w:rsidRPr="009051A8">
        <w:rPr>
          <w:rStyle w:val="FootnoteReference"/>
        </w:rPr>
        <w:footnoteReference w:id="70"/>
      </w:r>
      <w:r w:rsidR="004469F8" w:rsidRPr="009051A8">
        <w:t xml:space="preserve"> Such proceedings should not in any way </w:t>
      </w:r>
      <w:r w:rsidR="003146B1" w:rsidRPr="009051A8">
        <w:t xml:space="preserve">be </w:t>
      </w:r>
      <w:r w:rsidR="004469F8" w:rsidRPr="009051A8">
        <w:t>used to restrict the legitimate exercise of defence rights.</w:t>
      </w:r>
    </w:p>
    <w:p w:rsidR="00FB6309" w:rsidRPr="009051A8" w:rsidRDefault="00CC612F" w:rsidP="001D1482">
      <w:pPr>
        <w:pStyle w:val="SingleTxtG"/>
        <w:rPr>
          <w:rStyle w:val="FootnoteReference"/>
          <w:rFonts w:hint="eastAsia"/>
          <w:lang w:val="en-US" w:eastAsia="zh-TW"/>
        </w:rPr>
      </w:pPr>
      <w:r w:rsidRPr="009051A8">
        <w:t>3</w:t>
      </w:r>
      <w:r w:rsidR="00B40FA8" w:rsidRPr="009051A8">
        <w:t>2</w:t>
      </w:r>
      <w:r w:rsidRPr="009051A8">
        <w:t>.</w:t>
      </w:r>
      <w:r w:rsidRPr="009051A8">
        <w:tab/>
      </w:r>
      <w:r w:rsidR="00466D35" w:rsidRPr="009051A8">
        <w:t>T</w:t>
      </w:r>
      <w:r w:rsidRPr="009051A8">
        <w:t>he Committee observed in general comment No. 22,</w:t>
      </w:r>
      <w:r w:rsidR="00FB6309" w:rsidRPr="009051A8">
        <w:t xml:space="preserve"> that</w:t>
      </w:r>
      <w:r w:rsidRPr="009051A8">
        <w:t xml:space="preserve"> “the concept of morals derives from many social, philosophical and religious traditions; consequently, limitations...</w:t>
      </w:r>
      <w:r w:rsidR="00E31923" w:rsidRPr="009051A8">
        <w:t xml:space="preserve"> </w:t>
      </w:r>
      <w:r w:rsidRPr="009051A8">
        <w:t>for the purpose of protecting morals must be based on principles not deriving exclusively from a single tradition”.</w:t>
      </w:r>
      <w:r w:rsidR="0098363A" w:rsidRPr="009051A8">
        <w:rPr>
          <w:rFonts w:hint="eastAsia"/>
          <w:lang w:val="en-US" w:eastAsia="zh-TW"/>
        </w:rPr>
        <w:t xml:space="preserve"> </w:t>
      </w:r>
      <w:r w:rsidR="00466D35" w:rsidRPr="009051A8">
        <w:rPr>
          <w:lang w:val="en-US" w:eastAsia="zh-TW"/>
        </w:rPr>
        <w:t>Any such limitations</w:t>
      </w:r>
      <w:r w:rsidR="00466D35" w:rsidRPr="009051A8">
        <w:rPr>
          <w:lang w:val="en-US"/>
        </w:rPr>
        <w:t xml:space="preserve"> must be understood in the light of universality of human rights and the principle of non-discrimination</w:t>
      </w:r>
    </w:p>
    <w:p w:rsidR="00F052C2" w:rsidRPr="009051A8" w:rsidRDefault="001D1482" w:rsidP="000A4817">
      <w:pPr>
        <w:pStyle w:val="SingleTxtG"/>
        <w:rPr>
          <w:rStyle w:val="FootnoteReference"/>
        </w:rPr>
      </w:pPr>
      <w:r w:rsidRPr="00087D95">
        <w:t>3</w:t>
      </w:r>
      <w:r w:rsidR="00B40FA8" w:rsidRPr="00087D95">
        <w:t>3</w:t>
      </w:r>
      <w:r w:rsidR="003A0E39" w:rsidRPr="009051A8">
        <w:t>.</w:t>
      </w:r>
      <w:r w:rsidR="00F052C2" w:rsidRPr="009051A8">
        <w:tab/>
      </w:r>
      <w:r w:rsidRPr="009051A8">
        <w:t>Restrictions</w:t>
      </w:r>
      <w:r w:rsidR="00F052C2" w:rsidRPr="009051A8">
        <w:t xml:space="preserve"> must be </w:t>
      </w:r>
      <w:r w:rsidR="00A759CB" w:rsidRPr="009051A8">
        <w:t>“</w:t>
      </w:r>
      <w:r w:rsidR="00F052C2" w:rsidRPr="009051A8">
        <w:t>necessary</w:t>
      </w:r>
      <w:r w:rsidR="00A759CB" w:rsidRPr="009051A8">
        <w:t>”</w:t>
      </w:r>
      <w:r w:rsidR="00F052C2" w:rsidRPr="009051A8">
        <w:t xml:space="preserve"> for a legitimate purpose. Thus, for instance, a prohibition on commercial advertising in one language, with a view to protecting the language of a particular community, violates the </w:t>
      </w:r>
      <w:r w:rsidR="000A4817" w:rsidRPr="009051A8">
        <w:t xml:space="preserve">test </w:t>
      </w:r>
      <w:r w:rsidR="00F052C2" w:rsidRPr="009051A8">
        <w:t>of necessity if the protection could be achieved in other ways that do not restrict freedom of expression</w:t>
      </w:r>
      <w:r w:rsidR="00E31923" w:rsidRPr="009051A8">
        <w:t>.</w:t>
      </w:r>
      <w:r w:rsidR="00F052C2" w:rsidRPr="009051A8">
        <w:rPr>
          <w:rStyle w:val="FootnoteReference"/>
        </w:rPr>
        <w:footnoteReference w:id="71"/>
      </w:r>
      <w:r w:rsidR="00F052C2" w:rsidRPr="009051A8">
        <w:t xml:space="preserve"> On the other hand, the Committee has considered that a State party complied with the </w:t>
      </w:r>
      <w:r w:rsidR="000A4817" w:rsidRPr="009051A8">
        <w:t xml:space="preserve">test </w:t>
      </w:r>
      <w:r w:rsidR="00F052C2" w:rsidRPr="009051A8">
        <w:t>of necessity when it transferred a teacher who had published materials that expressed hostility to</w:t>
      </w:r>
      <w:r w:rsidR="00AC79CE" w:rsidRPr="009051A8">
        <w:t>ward</w:t>
      </w:r>
      <w:r w:rsidR="00F052C2" w:rsidRPr="009051A8">
        <w:t xml:space="preserve"> a religious community to a non-teaching position in order to protect the right and freedom of children of that faith in a school district.</w:t>
      </w:r>
      <w:r w:rsidR="00F052C2" w:rsidRPr="009051A8">
        <w:rPr>
          <w:rStyle w:val="FootnoteReference"/>
        </w:rPr>
        <w:footnoteReference w:id="72"/>
      </w:r>
    </w:p>
    <w:p w:rsidR="00F052C2" w:rsidRPr="009051A8" w:rsidRDefault="00F052C2" w:rsidP="001D1482">
      <w:pPr>
        <w:pStyle w:val="SingleTxtG"/>
        <w:rPr>
          <w:rStyle w:val="FootnoteReference"/>
        </w:rPr>
      </w:pPr>
      <w:r w:rsidRPr="009051A8">
        <w:t>3</w:t>
      </w:r>
      <w:r w:rsidR="00B40FA8" w:rsidRPr="009051A8">
        <w:t>4</w:t>
      </w:r>
      <w:r w:rsidR="003A0E39" w:rsidRPr="009051A8">
        <w:t>.</w:t>
      </w:r>
      <w:r w:rsidR="00803855" w:rsidRPr="009051A8">
        <w:tab/>
      </w:r>
      <w:r w:rsidR="009C3D43" w:rsidRPr="009051A8">
        <w:t xml:space="preserve">Restrictions must not be overbroad. </w:t>
      </w:r>
      <w:r w:rsidRPr="009051A8">
        <w:t>The Committee observed in general comment No. 27 that “restrictive measures must conform to the principle of proportionality; they must be appropriate to achieve their protective function; they must be the least intrusive instrument amongst those which might achieve their protective function; they must be proportionate to the interest to be protected…The principle of proportionality has to be respected not only in the law that frames the restrictions but also by the administrative and judicial authorities in applying the law”</w:t>
      </w:r>
      <w:r w:rsidR="00E31923" w:rsidRPr="009051A8">
        <w:t>.</w:t>
      </w:r>
      <w:r w:rsidRPr="009051A8">
        <w:rPr>
          <w:rStyle w:val="FootnoteReference"/>
        </w:rPr>
        <w:footnoteReference w:id="73"/>
      </w:r>
      <w:r w:rsidRPr="009051A8">
        <w:rPr>
          <w:rStyle w:val="FootnoteReference"/>
        </w:rPr>
        <w:t xml:space="preserve"> </w:t>
      </w:r>
      <w:r w:rsidRPr="009051A8">
        <w:t>The principle of proportionality must also take account of the form of expression at issue</w:t>
      </w:r>
      <w:r w:rsidR="009C3D43" w:rsidRPr="009051A8">
        <w:t xml:space="preserve"> as well as the means of its dissemination</w:t>
      </w:r>
      <w:r w:rsidRPr="009051A8">
        <w:t>. For instance, the value placed by the Covenant upon uninhibited expression is particularly high in the circumstances of public debate in a democratic society concerning figures in the public and political domain.</w:t>
      </w:r>
      <w:r w:rsidRPr="009051A8">
        <w:rPr>
          <w:rStyle w:val="FootnoteReference"/>
        </w:rPr>
        <w:footnoteReference w:id="74"/>
      </w:r>
      <w:r w:rsidRPr="009051A8">
        <w:rPr>
          <w:rStyle w:val="FootnoteReference"/>
        </w:rPr>
        <w:t xml:space="preserve"> </w:t>
      </w:r>
    </w:p>
    <w:p w:rsidR="00F052C2" w:rsidRPr="009051A8" w:rsidRDefault="00F052C2" w:rsidP="001D1482">
      <w:pPr>
        <w:pStyle w:val="SingleTxtG"/>
        <w:rPr>
          <w:rStyle w:val="FootnoteReference"/>
        </w:rPr>
      </w:pPr>
      <w:r w:rsidRPr="009051A8">
        <w:t>3</w:t>
      </w:r>
      <w:r w:rsidR="00B40FA8" w:rsidRPr="009051A8">
        <w:t>5</w:t>
      </w:r>
      <w:r w:rsidRPr="009051A8">
        <w:t>.</w:t>
      </w:r>
      <w:r w:rsidRPr="009051A8">
        <w:tab/>
        <w:t>When a State party invokes a legitimate ground for restriction of freedom of expression, it must demonstrate in specific and individuali</w:t>
      </w:r>
      <w:r w:rsidR="00E67B16" w:rsidRPr="009051A8">
        <w:t>z</w:t>
      </w:r>
      <w:r w:rsidRPr="009051A8">
        <w:t>ed fashion the precise nature of the threat</w:t>
      </w:r>
      <w:r w:rsidR="009C3D43" w:rsidRPr="009051A8">
        <w:t>,</w:t>
      </w:r>
      <w:r w:rsidRPr="009051A8">
        <w:t xml:space="preserve"> and the necessity </w:t>
      </w:r>
      <w:r w:rsidR="009C3D43" w:rsidRPr="009051A8">
        <w:t xml:space="preserve">and proportionality </w:t>
      </w:r>
      <w:r w:rsidRPr="009051A8">
        <w:t>of the specific action taken, in particular by establishing a direct and immediate connection between the expression and the threat.</w:t>
      </w:r>
      <w:r w:rsidRPr="009051A8">
        <w:rPr>
          <w:rStyle w:val="FootnoteReference"/>
        </w:rPr>
        <w:footnoteReference w:id="75"/>
      </w:r>
    </w:p>
    <w:p w:rsidR="00F750BE" w:rsidRPr="009051A8" w:rsidRDefault="00F052C2" w:rsidP="00FC3924">
      <w:pPr>
        <w:pStyle w:val="SingleTxtG"/>
      </w:pPr>
      <w:r w:rsidRPr="009051A8">
        <w:t>3</w:t>
      </w:r>
      <w:r w:rsidR="00B40FA8" w:rsidRPr="009051A8">
        <w:t>6</w:t>
      </w:r>
      <w:r w:rsidR="003A0E39" w:rsidRPr="009051A8">
        <w:t>.</w:t>
      </w:r>
      <w:r w:rsidRPr="009051A8">
        <w:tab/>
        <w:t>The Committee reserves to itself an assessment of whether, in a given situation, there may have been circumstances which made a restriction of freedom of expression necessary.</w:t>
      </w:r>
      <w:r w:rsidRPr="009051A8">
        <w:rPr>
          <w:rStyle w:val="FootnoteReference"/>
        </w:rPr>
        <w:footnoteReference w:id="76"/>
      </w:r>
      <w:r w:rsidRPr="009051A8">
        <w:t xml:space="preserve"> In this regard, the Committee recalls that the scope of this freedom is not to be assessed by reference to a “margin of appreciation”</w:t>
      </w:r>
      <w:r w:rsidRPr="009051A8">
        <w:rPr>
          <w:rStyle w:val="FootnoteReference"/>
        </w:rPr>
        <w:footnoteReference w:id="77"/>
      </w:r>
      <w:r w:rsidRPr="009051A8">
        <w:t xml:space="preserve"> and in order for the Committee to carry out this function, a State party, in any given case, must demonstrate in specific fashion the precise nature of the threat to any of the enumerated </w:t>
      </w:r>
      <w:r w:rsidR="00A759CB" w:rsidRPr="009051A8">
        <w:t xml:space="preserve">grounds </w:t>
      </w:r>
      <w:r w:rsidRPr="009051A8">
        <w:t>listed in paragraph 3 that has caused it to restrict freedom of expression.</w:t>
      </w:r>
      <w:r w:rsidRPr="009051A8">
        <w:rPr>
          <w:rStyle w:val="FootnoteReference"/>
        </w:rPr>
        <w:footnoteReference w:id="78"/>
      </w:r>
      <w:r w:rsidR="00F750BE" w:rsidRPr="009051A8">
        <w:rPr>
          <w:b/>
        </w:rPr>
        <w:t xml:space="preserve"> </w:t>
      </w:r>
    </w:p>
    <w:p w:rsidR="00F750BE" w:rsidRPr="009051A8" w:rsidRDefault="00426C1C" w:rsidP="00B3228F">
      <w:pPr>
        <w:pStyle w:val="H1G"/>
        <w:jc w:val="both"/>
      </w:pPr>
      <w:r w:rsidRPr="009051A8">
        <w:tab/>
      </w:r>
      <w:r w:rsidRPr="009051A8">
        <w:tab/>
      </w:r>
      <w:r w:rsidR="0002126C" w:rsidRPr="009051A8">
        <w:t>Limitative scope of restrictions on freedom of expression</w:t>
      </w:r>
      <w:r w:rsidR="00A056EE" w:rsidRPr="009051A8">
        <w:t xml:space="preserve"> in </w:t>
      </w:r>
      <w:r w:rsidR="001D1482" w:rsidRPr="009051A8">
        <w:t xml:space="preserve">certain </w:t>
      </w:r>
      <w:r w:rsidR="00A056EE" w:rsidRPr="009051A8">
        <w:t>specific areas</w:t>
      </w:r>
    </w:p>
    <w:p w:rsidR="00F750BE" w:rsidRPr="009051A8" w:rsidRDefault="001D1482" w:rsidP="003A0E39">
      <w:pPr>
        <w:pStyle w:val="SingleTxtG"/>
        <w:rPr>
          <w:rStyle w:val="FootnoteReference"/>
          <w:sz w:val="20"/>
          <w:vertAlign w:val="baseline"/>
        </w:rPr>
      </w:pPr>
      <w:r w:rsidRPr="009051A8">
        <w:t>3</w:t>
      </w:r>
      <w:r w:rsidR="00720DD4" w:rsidRPr="009051A8">
        <w:t>7</w:t>
      </w:r>
      <w:r w:rsidR="00CF41A1" w:rsidRPr="009051A8">
        <w:t>.</w:t>
      </w:r>
      <w:r w:rsidR="00CF41A1" w:rsidRPr="009051A8">
        <w:tab/>
      </w:r>
      <w:r w:rsidR="00F750BE" w:rsidRPr="009051A8">
        <w:t>Among restrictions</w:t>
      </w:r>
      <w:r w:rsidR="00A056EE" w:rsidRPr="009051A8">
        <w:t xml:space="preserve"> on political discourse</w:t>
      </w:r>
      <w:r w:rsidR="00F750BE" w:rsidRPr="009051A8">
        <w:t xml:space="preserve"> that have given the Committee cause for concern are the prohibition of door-to-door canvassing,</w:t>
      </w:r>
      <w:r w:rsidR="00F750BE" w:rsidRPr="009051A8">
        <w:rPr>
          <w:rStyle w:val="FootnoteReference"/>
        </w:rPr>
        <w:footnoteReference w:id="79"/>
      </w:r>
      <w:r w:rsidR="00F750BE" w:rsidRPr="009051A8">
        <w:rPr>
          <w:rStyle w:val="FootnoteReference"/>
        </w:rPr>
        <w:t xml:space="preserve"> </w:t>
      </w:r>
      <w:r w:rsidR="00F750BE" w:rsidRPr="009051A8">
        <w:t>restrictions on the number and type of written materials that may be distributed during election campaigns,</w:t>
      </w:r>
      <w:r w:rsidR="00F750BE" w:rsidRPr="009051A8">
        <w:rPr>
          <w:rStyle w:val="FootnoteReference"/>
        </w:rPr>
        <w:footnoteReference w:id="80"/>
      </w:r>
      <w:r w:rsidR="00F750BE" w:rsidRPr="009051A8">
        <w:t xml:space="preserve"> blocking access during election periods to sources, including local and international media, of political commentary,</w:t>
      </w:r>
      <w:r w:rsidR="00F750BE" w:rsidRPr="009051A8">
        <w:rPr>
          <w:rStyle w:val="FootnoteReference"/>
        </w:rPr>
        <w:footnoteReference w:id="81"/>
      </w:r>
      <w:r w:rsidR="00F750BE" w:rsidRPr="009051A8">
        <w:rPr>
          <w:rStyle w:val="FootnoteReference"/>
        </w:rPr>
        <w:t xml:space="preserve"> </w:t>
      </w:r>
      <w:r w:rsidR="00F750BE" w:rsidRPr="009051A8">
        <w:t>and limiting access of opposition parties and politicians to media outlets</w:t>
      </w:r>
      <w:r w:rsidR="000A5B50" w:rsidRPr="009051A8">
        <w:t>.</w:t>
      </w:r>
      <w:r w:rsidR="00F750BE" w:rsidRPr="009051A8">
        <w:rPr>
          <w:rStyle w:val="FootnoteReference"/>
        </w:rPr>
        <w:footnoteReference w:id="82"/>
      </w:r>
      <w:r w:rsidR="00F750BE" w:rsidRPr="009051A8">
        <w:rPr>
          <w:rStyle w:val="FootnoteReference"/>
        </w:rPr>
        <w:t xml:space="preserve"> </w:t>
      </w:r>
      <w:r w:rsidR="00854308" w:rsidRPr="009051A8">
        <w:t>E</w:t>
      </w:r>
      <w:r w:rsidR="00F750BE" w:rsidRPr="009051A8">
        <w:t xml:space="preserve">very restriction </w:t>
      </w:r>
      <w:r w:rsidR="00854308" w:rsidRPr="009051A8">
        <w:t xml:space="preserve">should be </w:t>
      </w:r>
      <w:r w:rsidR="00F750BE" w:rsidRPr="009051A8">
        <w:t xml:space="preserve">compatible with paragraph 3. </w:t>
      </w:r>
      <w:r w:rsidR="00EB19E6" w:rsidRPr="009051A8">
        <w:t>However</w:t>
      </w:r>
      <w:r w:rsidR="00F750BE" w:rsidRPr="009051A8">
        <w:t xml:space="preserve">, it may be legitimate for a State party to </w:t>
      </w:r>
      <w:r w:rsidR="000A4817" w:rsidRPr="009051A8">
        <w:t xml:space="preserve">restrict </w:t>
      </w:r>
      <w:r w:rsidR="00F750BE" w:rsidRPr="009051A8">
        <w:t xml:space="preserve">political polling </w:t>
      </w:r>
      <w:r w:rsidR="00854308" w:rsidRPr="009051A8">
        <w:t>imminently</w:t>
      </w:r>
      <w:r w:rsidR="00F750BE" w:rsidRPr="009051A8">
        <w:t xml:space="preserve"> preceding an election in order to maintain the integrity of the electoral process.</w:t>
      </w:r>
      <w:r w:rsidR="00F750BE" w:rsidRPr="009051A8">
        <w:rPr>
          <w:rStyle w:val="FootnoteReference"/>
        </w:rPr>
        <w:footnoteReference w:id="83"/>
      </w:r>
      <w:r w:rsidR="00F750BE" w:rsidRPr="009051A8">
        <w:rPr>
          <w:rStyle w:val="FootnoteReference"/>
        </w:rPr>
        <w:t xml:space="preserve"> </w:t>
      </w:r>
    </w:p>
    <w:p w:rsidR="00F750BE" w:rsidRPr="009051A8" w:rsidRDefault="00720DD4" w:rsidP="00B3228F">
      <w:pPr>
        <w:pStyle w:val="SingleTxtG"/>
      </w:pPr>
      <w:r w:rsidRPr="009051A8">
        <w:t>38</w:t>
      </w:r>
      <w:r w:rsidR="003A0E39" w:rsidRPr="009051A8">
        <w:t>.</w:t>
      </w:r>
      <w:r w:rsidR="003A0E39" w:rsidRPr="009051A8">
        <w:tab/>
      </w:r>
      <w:r w:rsidR="00F750BE" w:rsidRPr="009051A8">
        <w:t>As noted earlier</w:t>
      </w:r>
      <w:r w:rsidR="000A5B50" w:rsidRPr="009051A8">
        <w:t xml:space="preserve"> in paragraph</w:t>
      </w:r>
      <w:r w:rsidR="00AC79CE" w:rsidRPr="009051A8">
        <w:t>s</w:t>
      </w:r>
      <w:r w:rsidR="000A5B50" w:rsidRPr="009051A8">
        <w:t xml:space="preserve"> </w:t>
      </w:r>
      <w:r w:rsidR="000A4817" w:rsidRPr="009051A8">
        <w:t xml:space="preserve"> </w:t>
      </w:r>
      <w:r w:rsidR="00901808" w:rsidRPr="009051A8">
        <w:t>1</w:t>
      </w:r>
      <w:r w:rsidR="00805AB3" w:rsidRPr="009051A8">
        <w:t>3</w:t>
      </w:r>
      <w:r w:rsidR="0099360E" w:rsidRPr="009051A8">
        <w:t xml:space="preserve"> and</w:t>
      </w:r>
      <w:r w:rsidR="00901808" w:rsidRPr="009051A8">
        <w:t xml:space="preserve"> 2</w:t>
      </w:r>
      <w:r w:rsidR="00805AB3" w:rsidRPr="009051A8">
        <w:t>0</w:t>
      </w:r>
      <w:r w:rsidR="00F750BE" w:rsidRPr="009051A8">
        <w:t xml:space="preserve">, concerning the content of political discourse, the Committee has observed that in circumstances of public debate concerning </w:t>
      </w:r>
      <w:r w:rsidR="000A5B50" w:rsidRPr="009051A8">
        <w:t xml:space="preserve">public </w:t>
      </w:r>
      <w:r w:rsidR="00F750BE" w:rsidRPr="009051A8">
        <w:t>figures in the political domain</w:t>
      </w:r>
      <w:r w:rsidR="00854308" w:rsidRPr="009051A8">
        <w:t xml:space="preserve"> and public institutions</w:t>
      </w:r>
      <w:r w:rsidR="00F750BE" w:rsidRPr="009051A8">
        <w:t>, the value placed by the Covenant upon uninhibited expression is particularly high.</w:t>
      </w:r>
      <w:r w:rsidR="00F750BE" w:rsidRPr="009051A8">
        <w:rPr>
          <w:rStyle w:val="FootnoteReference"/>
        </w:rPr>
        <w:footnoteReference w:id="84"/>
      </w:r>
      <w:r w:rsidR="00F750BE" w:rsidRPr="009051A8">
        <w:t xml:space="preserve"> Thus, the mere fact that </w:t>
      </w:r>
      <w:r w:rsidR="000A5B50" w:rsidRPr="009051A8">
        <w:t xml:space="preserve">forms of expression </w:t>
      </w:r>
      <w:r w:rsidR="00F750BE" w:rsidRPr="009051A8">
        <w:t>are considered to be insulting to a public figure is not sufficient to justify the imposition of penalties</w:t>
      </w:r>
      <w:r w:rsidR="000A5B50" w:rsidRPr="009051A8">
        <w:t xml:space="preserve">, </w:t>
      </w:r>
      <w:r w:rsidR="00DC53C2" w:rsidRPr="009051A8">
        <w:t>albeit</w:t>
      </w:r>
      <w:r w:rsidR="000A5B50" w:rsidRPr="009051A8">
        <w:t xml:space="preserve"> public figures </w:t>
      </w:r>
      <w:r w:rsidR="00EB19E6" w:rsidRPr="009051A8">
        <w:t xml:space="preserve">may also </w:t>
      </w:r>
      <w:r w:rsidR="000A5B50" w:rsidRPr="009051A8">
        <w:t>benefit from the provisions of the Covenant</w:t>
      </w:r>
      <w:r w:rsidR="00F750BE" w:rsidRPr="009051A8">
        <w:t>.</w:t>
      </w:r>
      <w:r w:rsidR="00F750BE" w:rsidRPr="009051A8">
        <w:rPr>
          <w:rStyle w:val="FootnoteReference"/>
        </w:rPr>
        <w:footnoteReference w:id="85"/>
      </w:r>
      <w:r w:rsidR="00F750BE" w:rsidRPr="009051A8">
        <w:rPr>
          <w:rStyle w:val="FootnoteReference"/>
        </w:rPr>
        <w:t xml:space="preserve"> </w:t>
      </w:r>
      <w:r w:rsidR="00F750BE" w:rsidRPr="009051A8">
        <w:t xml:space="preserve">Moreover, </w:t>
      </w:r>
      <w:r w:rsidR="000A5B50" w:rsidRPr="009051A8">
        <w:t xml:space="preserve">all </w:t>
      </w:r>
      <w:r w:rsidR="00F750BE" w:rsidRPr="009051A8">
        <w:t xml:space="preserve">public figures, including </w:t>
      </w:r>
      <w:r w:rsidR="000A5B50" w:rsidRPr="009051A8">
        <w:t xml:space="preserve">those exercising the highest political authority such as </w:t>
      </w:r>
      <w:r w:rsidR="00F750BE" w:rsidRPr="009051A8">
        <w:t>heads of s</w:t>
      </w:r>
      <w:r w:rsidR="00F750BE" w:rsidRPr="00087D95">
        <w:t>tate</w:t>
      </w:r>
      <w:r w:rsidR="000A5B50" w:rsidRPr="00087D95">
        <w:t xml:space="preserve"> and </w:t>
      </w:r>
      <w:r w:rsidR="000A5B50" w:rsidRPr="009051A8">
        <w:t>g</w:t>
      </w:r>
      <w:r w:rsidR="000A5B50" w:rsidRPr="00087D95">
        <w:t>overnment</w:t>
      </w:r>
      <w:r w:rsidR="00F750BE" w:rsidRPr="00087D95">
        <w:t>, are legitimately subject to c</w:t>
      </w:r>
      <w:r w:rsidR="00F750BE" w:rsidRPr="009051A8">
        <w:t>riticism and political opposition.</w:t>
      </w:r>
      <w:r w:rsidR="00F750BE" w:rsidRPr="009051A8">
        <w:rPr>
          <w:rStyle w:val="FootnoteReference"/>
        </w:rPr>
        <w:footnoteReference w:id="86"/>
      </w:r>
      <w:r w:rsidR="00F750BE" w:rsidRPr="009051A8">
        <w:rPr>
          <w:rStyle w:val="FootnoteReference"/>
        </w:rPr>
        <w:t xml:space="preserve"> </w:t>
      </w:r>
      <w:r w:rsidR="00F750BE" w:rsidRPr="009051A8">
        <w:t>Accordingly, the Committee expresse</w:t>
      </w:r>
      <w:r w:rsidR="00854308" w:rsidRPr="009051A8">
        <w:t>s</w:t>
      </w:r>
      <w:r w:rsidR="00F750BE" w:rsidRPr="009051A8">
        <w:t xml:space="preserve"> concern regarding laws on such matters as, </w:t>
      </w:r>
      <w:r w:rsidR="00F750BE" w:rsidRPr="009051A8">
        <w:t>lese majest</w:t>
      </w:r>
      <w:r w:rsidR="00935D78" w:rsidRPr="009051A8">
        <w:t>y</w:t>
      </w:r>
      <w:r w:rsidR="00F750BE" w:rsidRPr="009051A8">
        <w:rPr>
          <w:i/>
        </w:rPr>
        <w:t>,</w:t>
      </w:r>
      <w:r w:rsidR="00F750BE" w:rsidRPr="009051A8">
        <w:rPr>
          <w:rStyle w:val="FootnoteReference"/>
        </w:rPr>
        <w:footnoteReference w:id="87"/>
      </w:r>
      <w:r w:rsidR="00F750BE" w:rsidRPr="009051A8">
        <w:rPr>
          <w:rStyle w:val="FootnoteReference"/>
        </w:rPr>
        <w:t xml:space="preserve"> </w:t>
      </w:r>
      <w:r w:rsidR="00F750BE" w:rsidRPr="009051A8">
        <w:rPr>
          <w:i/>
        </w:rPr>
        <w:t>desacato,</w:t>
      </w:r>
      <w:r w:rsidR="00F750BE" w:rsidRPr="009051A8">
        <w:rPr>
          <w:rStyle w:val="FootnoteReference"/>
        </w:rPr>
        <w:footnoteReference w:id="88"/>
      </w:r>
      <w:r w:rsidR="00F750BE" w:rsidRPr="009051A8">
        <w:rPr>
          <w:rStyle w:val="FootnoteReference"/>
        </w:rPr>
        <w:t xml:space="preserve"> </w:t>
      </w:r>
      <w:r w:rsidR="00F750BE" w:rsidRPr="009051A8">
        <w:t>disrespect for authority</w:t>
      </w:r>
      <w:r w:rsidR="000A4817" w:rsidRPr="009051A8">
        <w:t>,</w:t>
      </w:r>
      <w:r w:rsidR="00F750BE" w:rsidRPr="009051A8">
        <w:rPr>
          <w:rStyle w:val="FootnoteReference"/>
        </w:rPr>
        <w:footnoteReference w:id="89"/>
      </w:r>
      <w:r w:rsidR="00F750BE" w:rsidRPr="009051A8">
        <w:rPr>
          <w:rStyle w:val="FootnoteReference"/>
        </w:rPr>
        <w:t xml:space="preserve"> </w:t>
      </w:r>
      <w:r w:rsidR="00A04C7B" w:rsidRPr="009051A8">
        <w:t xml:space="preserve">disrespect for flags and symbols, </w:t>
      </w:r>
      <w:r w:rsidR="00F750BE" w:rsidRPr="009051A8">
        <w:t>defamation of the head of s</w:t>
      </w:r>
      <w:r w:rsidR="00F750BE" w:rsidRPr="00087D95">
        <w:t>tate</w:t>
      </w:r>
      <w:r w:rsidR="00F750BE" w:rsidRPr="00087D95">
        <w:rPr>
          <w:rStyle w:val="FootnoteReference"/>
        </w:rPr>
        <w:footnoteReference w:id="90"/>
      </w:r>
      <w:r w:rsidR="00F750BE" w:rsidRPr="009051A8">
        <w:rPr>
          <w:rStyle w:val="FootnoteReference"/>
        </w:rPr>
        <w:t xml:space="preserve"> </w:t>
      </w:r>
      <w:r w:rsidR="00F750BE" w:rsidRPr="009051A8">
        <w:t>and the protection of the honour of public officials</w:t>
      </w:r>
      <w:r w:rsidR="00947986" w:rsidRPr="009051A8">
        <w:t>,</w:t>
      </w:r>
      <w:r w:rsidR="00F750BE" w:rsidRPr="009051A8">
        <w:rPr>
          <w:rStyle w:val="FootnoteReference"/>
        </w:rPr>
        <w:footnoteReference w:id="91"/>
      </w:r>
      <w:r w:rsidR="00947986" w:rsidRPr="009051A8">
        <w:t xml:space="preserve"> and laws </w:t>
      </w:r>
      <w:r w:rsidR="00F750BE" w:rsidRPr="009051A8">
        <w:t>should not provide for more severe penalties solely on the basis of the identity of the person that may have been impugned</w:t>
      </w:r>
      <w:r w:rsidR="00947986" w:rsidRPr="009051A8">
        <w:t>.</w:t>
      </w:r>
      <w:r w:rsidR="00901808" w:rsidRPr="009051A8">
        <w:t xml:space="preserve"> </w:t>
      </w:r>
      <w:r w:rsidR="0002126C" w:rsidRPr="009051A8">
        <w:t>State</w:t>
      </w:r>
      <w:r w:rsidR="00AC79CE" w:rsidRPr="009051A8">
        <w:t>s</w:t>
      </w:r>
      <w:r w:rsidR="0002126C" w:rsidRPr="009051A8">
        <w:t xml:space="preserve"> parties should not prohibit criticism of institutions, such as the army or the administration.</w:t>
      </w:r>
      <w:r w:rsidR="00F750BE" w:rsidRPr="009051A8">
        <w:rPr>
          <w:rStyle w:val="FootnoteReference"/>
        </w:rPr>
        <w:footnoteReference w:id="92"/>
      </w:r>
    </w:p>
    <w:p w:rsidR="00F750BE" w:rsidRPr="009051A8" w:rsidRDefault="00720DD4" w:rsidP="000A4817">
      <w:pPr>
        <w:pStyle w:val="SingleTxtG"/>
        <w:rPr>
          <w:rStyle w:val="FootnoteReference"/>
        </w:rPr>
      </w:pPr>
      <w:r w:rsidRPr="009051A8">
        <w:t>39</w:t>
      </w:r>
      <w:r w:rsidR="003A0E39" w:rsidRPr="009051A8">
        <w:t>.</w:t>
      </w:r>
      <w:r w:rsidR="00F750BE" w:rsidRPr="009051A8">
        <w:tab/>
      </w:r>
      <w:r w:rsidR="00854308" w:rsidRPr="009051A8">
        <w:t>State</w:t>
      </w:r>
      <w:r w:rsidR="00E83EB6" w:rsidRPr="009051A8">
        <w:t>s</w:t>
      </w:r>
      <w:r w:rsidR="00854308" w:rsidRPr="009051A8">
        <w:t xml:space="preserve"> parties should ensure that l</w:t>
      </w:r>
      <w:r w:rsidR="00F750BE" w:rsidRPr="009051A8">
        <w:t>egislative and administrative frameworks for the regulation of the mass media are consistent with the provisions of paragraph 3.</w:t>
      </w:r>
      <w:r w:rsidR="00F750BE" w:rsidRPr="009051A8">
        <w:rPr>
          <w:rStyle w:val="FootnoteReference"/>
        </w:rPr>
        <w:footnoteReference w:id="93"/>
      </w:r>
      <w:r w:rsidR="00F750BE" w:rsidRPr="009051A8">
        <w:rPr>
          <w:rStyle w:val="FootnoteReference"/>
        </w:rPr>
        <w:t xml:space="preserve"> </w:t>
      </w:r>
      <w:r w:rsidR="00F750BE" w:rsidRPr="009051A8">
        <w:t xml:space="preserve">Regulatory systems should take into account the differences between the print and broadcast sectors </w:t>
      </w:r>
      <w:r w:rsidR="006E409A" w:rsidRPr="009051A8">
        <w:t>and</w:t>
      </w:r>
      <w:r w:rsidR="00F750BE" w:rsidRPr="009051A8">
        <w:t xml:space="preserve"> the internet</w:t>
      </w:r>
      <w:r w:rsidR="000A5B50" w:rsidRPr="009051A8">
        <w:t xml:space="preserve">, </w:t>
      </w:r>
      <w:r w:rsidR="006E409A" w:rsidRPr="009051A8">
        <w:t>while also noting the manner in which various media converge</w:t>
      </w:r>
      <w:r w:rsidR="000A4817" w:rsidRPr="009051A8">
        <w:t>.</w:t>
      </w:r>
      <w:r w:rsidR="00F750BE" w:rsidRPr="009051A8">
        <w:t xml:space="preserve"> It is incompatible with article 19 to refuse to permit the publication of newspapers and other print media other than in the specific circumstances of the application of paragraph 3. Such circumstances may never include a ban on a particular publication unless specific content, that is not severable, </w:t>
      </w:r>
      <w:r w:rsidR="00E83EB6" w:rsidRPr="009051A8">
        <w:t xml:space="preserve">can be legitimately prohibited </w:t>
      </w:r>
      <w:r w:rsidR="00617134" w:rsidRPr="009051A8">
        <w:rPr>
          <w:rFonts w:hint="eastAsia"/>
          <w:lang w:eastAsia="zh-TW"/>
        </w:rPr>
        <w:t xml:space="preserve">under </w:t>
      </w:r>
      <w:r w:rsidR="00F750BE" w:rsidRPr="009051A8">
        <w:t>paragraph 3. States parties must avoid imposing onerous licensing conditions and fees on the broadcast media, including on community and commercial stations.</w:t>
      </w:r>
      <w:r w:rsidR="00F750BE" w:rsidRPr="009051A8">
        <w:rPr>
          <w:rStyle w:val="FootnoteReference"/>
        </w:rPr>
        <w:footnoteReference w:id="94"/>
      </w:r>
      <w:r w:rsidR="00F750BE" w:rsidRPr="009051A8">
        <w:t xml:space="preserve"> The criteria for the application of such conditions and licence fees should be reasonable and objective,</w:t>
      </w:r>
      <w:r w:rsidR="00F750BE" w:rsidRPr="009051A8">
        <w:rPr>
          <w:rStyle w:val="FootnoteReference"/>
        </w:rPr>
        <w:footnoteReference w:id="95"/>
      </w:r>
      <w:r w:rsidR="00F750BE" w:rsidRPr="009051A8">
        <w:rPr>
          <w:rStyle w:val="FootnoteReference"/>
        </w:rPr>
        <w:t xml:space="preserve"> </w:t>
      </w:r>
      <w:r w:rsidR="00F750BE" w:rsidRPr="009051A8">
        <w:t>clear,</w:t>
      </w:r>
      <w:r w:rsidR="00F750BE" w:rsidRPr="009051A8">
        <w:rPr>
          <w:rStyle w:val="FootnoteReference"/>
        </w:rPr>
        <w:footnoteReference w:id="96"/>
      </w:r>
      <w:r w:rsidR="00F750BE" w:rsidRPr="009051A8">
        <w:t xml:space="preserve"> transparent,</w:t>
      </w:r>
      <w:r w:rsidR="00F750BE" w:rsidRPr="009051A8">
        <w:rPr>
          <w:rStyle w:val="FootnoteReference"/>
        </w:rPr>
        <w:footnoteReference w:id="97"/>
      </w:r>
      <w:r w:rsidR="00F750BE" w:rsidRPr="009051A8">
        <w:t xml:space="preserve"> non-discriminatory and otherwise in compliance with the Covenant.</w:t>
      </w:r>
      <w:r w:rsidR="00F750BE" w:rsidRPr="009051A8">
        <w:rPr>
          <w:rStyle w:val="FootnoteReference"/>
        </w:rPr>
        <w:footnoteReference w:id="98"/>
      </w:r>
      <w:r w:rsidR="00F750BE" w:rsidRPr="009051A8">
        <w:t xml:space="preserve"> Licensing regimes for broadcasting via media with limited capacity, such as audiovisual terrestrial and satellite services should provide for an equitable allocation of access and frequencies between public, commercial and community broadcasters. It is recommended that States parties that have not already done so should establish an independent </w:t>
      </w:r>
      <w:r w:rsidR="000A5B50" w:rsidRPr="009051A8">
        <w:t xml:space="preserve">and public </w:t>
      </w:r>
      <w:r w:rsidR="00F750BE" w:rsidRPr="009051A8">
        <w:t>broadcasting licensing authority, with the power to examine broadcasting applications and to grant licenses.</w:t>
      </w:r>
      <w:r w:rsidR="00F750BE" w:rsidRPr="009051A8">
        <w:rPr>
          <w:rStyle w:val="FootnoteReference"/>
        </w:rPr>
        <w:footnoteReference w:id="99"/>
      </w:r>
    </w:p>
    <w:p w:rsidR="00B1519A" w:rsidRPr="009051A8" w:rsidRDefault="00F750BE" w:rsidP="00C54ABB">
      <w:pPr>
        <w:pStyle w:val="SingleTxtG"/>
      </w:pPr>
      <w:r w:rsidRPr="009051A8">
        <w:t>4</w:t>
      </w:r>
      <w:r w:rsidR="00720DD4" w:rsidRPr="009051A8">
        <w:t>0</w:t>
      </w:r>
      <w:r w:rsidR="003A0E39" w:rsidRPr="009051A8">
        <w:t>.</w:t>
      </w:r>
      <w:r w:rsidRPr="009051A8">
        <w:tab/>
      </w:r>
      <w:r w:rsidR="00B1519A" w:rsidRPr="009051A8">
        <w:t xml:space="preserve">The Committee reiterates its observation in general comment No. 10 that “because of the development of modern mass media, effective measures are necessary to prevent such control of the media as would interfere with the right of everyone to freedom of expression”. The State should </w:t>
      </w:r>
      <w:r w:rsidR="00805AB3" w:rsidRPr="009051A8">
        <w:t>not</w:t>
      </w:r>
      <w:r w:rsidR="00B1519A" w:rsidRPr="009051A8">
        <w:t xml:space="preserve"> have monopol</w:t>
      </w:r>
      <w:r w:rsidR="00805AB3" w:rsidRPr="009051A8">
        <w:t>y</w:t>
      </w:r>
      <w:r w:rsidR="00B1519A" w:rsidRPr="009051A8">
        <w:t xml:space="preserve"> control over the media</w:t>
      </w:r>
      <w:r w:rsidR="00805AB3" w:rsidRPr="009051A8">
        <w:t xml:space="preserve"> and should</w:t>
      </w:r>
      <w:r w:rsidR="00B1519A" w:rsidRPr="009051A8">
        <w:t xml:space="preserve"> </w:t>
      </w:r>
      <w:r w:rsidR="00E83EB6" w:rsidRPr="009051A8">
        <w:t>promote plurality of the media.</w:t>
      </w:r>
      <w:r w:rsidR="00805AB3" w:rsidRPr="009051A8">
        <w:rPr>
          <w:rStyle w:val="FootnoteReference"/>
        </w:rPr>
        <w:footnoteReference w:id="100"/>
      </w:r>
      <w:r w:rsidR="00E83EB6" w:rsidRPr="009051A8">
        <w:t xml:space="preserve"> Consequently, </w:t>
      </w:r>
      <w:r w:rsidR="00805AB3" w:rsidRPr="009051A8">
        <w:t>State</w:t>
      </w:r>
      <w:r w:rsidR="003D7E32" w:rsidRPr="009051A8">
        <w:t>s</w:t>
      </w:r>
      <w:r w:rsidR="00805AB3" w:rsidRPr="009051A8">
        <w:t xml:space="preserve"> parties</w:t>
      </w:r>
      <w:r w:rsidR="00E83EB6" w:rsidRPr="009051A8">
        <w:t xml:space="preserve"> </w:t>
      </w:r>
      <w:r w:rsidR="00B1519A" w:rsidRPr="009051A8">
        <w:t xml:space="preserve">should take appropriate action, consistent with the Covenant, to prevent undue media dominance </w:t>
      </w:r>
      <w:r w:rsidR="00C54ABB" w:rsidRPr="009051A8">
        <w:t>or</w:t>
      </w:r>
      <w:r w:rsidR="00B1519A" w:rsidRPr="009051A8">
        <w:t xml:space="preserve"> concentration by privately controlled media groups in monopolistic situations</w:t>
      </w:r>
      <w:r w:rsidR="00C54ABB" w:rsidRPr="009051A8">
        <w:t xml:space="preserve"> that may be harmful to a diversity of sources and views</w:t>
      </w:r>
      <w:r w:rsidR="00B1519A" w:rsidRPr="009051A8">
        <w:t>.</w:t>
      </w:r>
    </w:p>
    <w:p w:rsidR="00F750BE" w:rsidRPr="009051A8" w:rsidRDefault="00B1519A" w:rsidP="001D1482">
      <w:pPr>
        <w:pStyle w:val="SingleTxtG"/>
      </w:pPr>
      <w:r w:rsidRPr="009051A8">
        <w:t>4</w:t>
      </w:r>
      <w:r w:rsidR="00720DD4" w:rsidRPr="009051A8">
        <w:t>1</w:t>
      </w:r>
      <w:r w:rsidR="003A0E39" w:rsidRPr="009051A8">
        <w:t>.</w:t>
      </w:r>
      <w:r w:rsidR="00A759CB" w:rsidRPr="009051A8">
        <w:tab/>
      </w:r>
      <w:r w:rsidR="00F750BE" w:rsidRPr="009051A8">
        <w:t>Care must be taken to ensure that systems of government subsidy to media outlets and the placing of government advertisements</w:t>
      </w:r>
      <w:r w:rsidR="00F750BE" w:rsidRPr="009051A8">
        <w:rPr>
          <w:rStyle w:val="FootnoteReference"/>
        </w:rPr>
        <w:footnoteReference w:id="101"/>
      </w:r>
      <w:r w:rsidR="00F750BE" w:rsidRPr="009051A8">
        <w:rPr>
          <w:rStyle w:val="FootnoteReference"/>
        </w:rPr>
        <w:t xml:space="preserve"> </w:t>
      </w:r>
      <w:r w:rsidR="00F750BE" w:rsidRPr="009051A8">
        <w:t>are not employed to the effect of impeding freedom of expression.</w:t>
      </w:r>
      <w:r w:rsidR="00F750BE" w:rsidRPr="009051A8">
        <w:rPr>
          <w:rStyle w:val="FootnoteReference"/>
        </w:rPr>
        <w:footnoteReference w:id="102"/>
      </w:r>
      <w:r w:rsidR="00F750BE" w:rsidRPr="009051A8">
        <w:rPr>
          <w:rStyle w:val="FootnoteReference"/>
        </w:rPr>
        <w:t xml:space="preserve"> </w:t>
      </w:r>
      <w:r w:rsidR="00F750BE" w:rsidRPr="009051A8">
        <w:t>Furthermore, private media must not be put at a disadvantage compared to public media in such matters as access to means of dissemination/distribution and access to news.</w:t>
      </w:r>
      <w:r w:rsidR="00F750BE" w:rsidRPr="009051A8">
        <w:rPr>
          <w:rStyle w:val="FootnoteReference"/>
        </w:rPr>
        <w:footnoteReference w:id="103"/>
      </w:r>
      <w:r w:rsidR="00F750BE" w:rsidRPr="009051A8">
        <w:rPr>
          <w:rStyle w:val="FootnoteReference"/>
        </w:rPr>
        <w:t xml:space="preserve"> </w:t>
      </w:r>
    </w:p>
    <w:p w:rsidR="00F750BE" w:rsidRPr="009051A8" w:rsidRDefault="00DA70DC" w:rsidP="00DA70DC">
      <w:pPr>
        <w:pStyle w:val="SingleTxtG"/>
        <w:rPr>
          <w:rStyle w:val="FootnoteReference"/>
        </w:rPr>
      </w:pPr>
      <w:r w:rsidRPr="009051A8">
        <w:t>4</w:t>
      </w:r>
      <w:r w:rsidR="00720DD4" w:rsidRPr="009051A8">
        <w:t>2</w:t>
      </w:r>
      <w:r w:rsidRPr="009051A8">
        <w:t>.</w:t>
      </w:r>
      <w:r w:rsidRPr="009051A8">
        <w:tab/>
      </w:r>
      <w:r w:rsidR="00E83EB6" w:rsidRPr="009051A8">
        <w:t>The</w:t>
      </w:r>
      <w:r w:rsidR="00F750BE" w:rsidRPr="009051A8">
        <w:t xml:space="preserve"> penali</w:t>
      </w:r>
      <w:r w:rsidR="003D7E32" w:rsidRPr="009051A8">
        <w:t>z</w:t>
      </w:r>
      <w:r w:rsidR="00E83EB6" w:rsidRPr="009051A8">
        <w:t>ation of</w:t>
      </w:r>
      <w:r w:rsidR="00F750BE" w:rsidRPr="009051A8">
        <w:t xml:space="preserve"> a media outlet</w:t>
      </w:r>
      <w:r w:rsidR="00C54ABB" w:rsidRPr="009051A8">
        <w:t>, publishers</w:t>
      </w:r>
      <w:r w:rsidR="00F750BE" w:rsidRPr="009051A8">
        <w:t xml:space="preserve"> or journalist solely for being critical of the g</w:t>
      </w:r>
      <w:r w:rsidR="00F750BE" w:rsidRPr="00087D95">
        <w:t>overnment</w:t>
      </w:r>
      <w:r w:rsidR="00C54ABB" w:rsidRPr="00087D95">
        <w:t xml:space="preserve"> or the </w:t>
      </w:r>
      <w:r w:rsidR="00C54ABB" w:rsidRPr="009051A8">
        <w:t>political social</w:t>
      </w:r>
      <w:r w:rsidR="00C54ABB" w:rsidRPr="00087D95">
        <w:t xml:space="preserve"> system espoused by the </w:t>
      </w:r>
      <w:r w:rsidR="00C54ABB" w:rsidRPr="009051A8">
        <w:t>g</w:t>
      </w:r>
      <w:r w:rsidR="00C54ABB" w:rsidRPr="00087D95">
        <w:t>overnment</w:t>
      </w:r>
      <w:r w:rsidR="00F750BE" w:rsidRPr="00087D95">
        <w:rPr>
          <w:rStyle w:val="FootnoteReference"/>
        </w:rPr>
        <w:footnoteReference w:id="104"/>
      </w:r>
      <w:r w:rsidR="00E83EB6" w:rsidRPr="009051A8">
        <w:t>can never be considered to be a necessary restriction of</w:t>
      </w:r>
      <w:r w:rsidR="006B692B" w:rsidRPr="009051A8">
        <w:t xml:space="preserve"> freedom of expression.</w:t>
      </w:r>
      <w:r w:rsidR="00F750BE" w:rsidRPr="009051A8">
        <w:rPr>
          <w:rStyle w:val="FootnoteReference"/>
        </w:rPr>
        <w:t xml:space="preserve"> </w:t>
      </w:r>
    </w:p>
    <w:p w:rsidR="00F750BE" w:rsidRPr="009051A8" w:rsidRDefault="00F750BE" w:rsidP="0099360E">
      <w:pPr>
        <w:pStyle w:val="SingleTxtG"/>
        <w:rPr>
          <w:rStyle w:val="FootnoteReference"/>
        </w:rPr>
      </w:pPr>
      <w:r w:rsidRPr="009051A8">
        <w:t>4</w:t>
      </w:r>
      <w:r w:rsidR="00720DD4" w:rsidRPr="009051A8">
        <w:t>3</w:t>
      </w:r>
      <w:r w:rsidR="003A0E39" w:rsidRPr="009051A8">
        <w:t>.</w:t>
      </w:r>
      <w:r w:rsidRPr="009051A8">
        <w:tab/>
        <w:t xml:space="preserve">Any </w:t>
      </w:r>
      <w:r w:rsidR="00901808" w:rsidRPr="009051A8">
        <w:t xml:space="preserve">restrictions </w:t>
      </w:r>
      <w:r w:rsidRPr="009051A8">
        <w:t xml:space="preserve">on the operation of websites, blogs or any other internet-based, electronic or other such information dissemination system, including systems to support such communication, such as internet service providers or search engines, </w:t>
      </w:r>
      <w:r w:rsidR="00292ED6" w:rsidRPr="009051A8">
        <w:t xml:space="preserve">are only permissible to </w:t>
      </w:r>
      <w:r w:rsidR="00EB19E6" w:rsidRPr="009051A8">
        <w:t xml:space="preserve">the </w:t>
      </w:r>
      <w:r w:rsidR="00292ED6" w:rsidRPr="009051A8">
        <w:t xml:space="preserve">extent that they are </w:t>
      </w:r>
      <w:r w:rsidRPr="009051A8">
        <w:t xml:space="preserve">compatible with paragraph 3. </w:t>
      </w:r>
      <w:r w:rsidR="00BA6FD0" w:rsidRPr="009051A8">
        <w:t>P</w:t>
      </w:r>
      <w:r w:rsidR="006B692B" w:rsidRPr="009051A8">
        <w:t xml:space="preserve">ermissible </w:t>
      </w:r>
      <w:r w:rsidR="0099360E" w:rsidRPr="009051A8">
        <w:t xml:space="preserve">restrictions </w:t>
      </w:r>
      <w:r w:rsidR="006B692B" w:rsidRPr="009051A8">
        <w:t xml:space="preserve">generally should </w:t>
      </w:r>
      <w:r w:rsidRPr="009051A8">
        <w:t>be content-specific</w:t>
      </w:r>
      <w:r w:rsidR="006B692B" w:rsidRPr="009051A8">
        <w:t>;</w:t>
      </w:r>
      <w:r w:rsidRPr="009051A8">
        <w:t xml:space="preserve"> </w:t>
      </w:r>
      <w:r w:rsidR="006B692B" w:rsidRPr="009051A8">
        <w:t>g</w:t>
      </w:r>
      <w:r w:rsidRPr="009051A8">
        <w:t>eneric bans on the operation of certain sites and systems are not compatible with paragraph 3. It is also inconsistent with paragraph 3 to prohibit a site or a</w:t>
      </w:r>
      <w:r w:rsidR="00E56310" w:rsidRPr="009051A8">
        <w:t>n information dissemination</w:t>
      </w:r>
      <w:r w:rsidRPr="009051A8">
        <w:t xml:space="preserve"> system from publishing material solely on the basis that it may be critical of the government</w:t>
      </w:r>
      <w:r w:rsidR="00C54ABB" w:rsidRPr="009051A8">
        <w:t xml:space="preserve"> or the political social system espoused by the government</w:t>
      </w:r>
      <w:r w:rsidRPr="009051A8">
        <w:t>.</w:t>
      </w:r>
      <w:r w:rsidRPr="009051A8">
        <w:rPr>
          <w:rStyle w:val="FootnoteReference"/>
        </w:rPr>
        <w:footnoteReference w:id="105"/>
      </w:r>
    </w:p>
    <w:p w:rsidR="00F750BE" w:rsidRPr="009051A8" w:rsidRDefault="00F750BE" w:rsidP="000A4817">
      <w:pPr>
        <w:pStyle w:val="SingleTxtG"/>
      </w:pPr>
      <w:r w:rsidRPr="009051A8">
        <w:t>4</w:t>
      </w:r>
      <w:r w:rsidR="00720DD4" w:rsidRPr="009051A8">
        <w:t>4</w:t>
      </w:r>
      <w:r w:rsidR="003A0E39" w:rsidRPr="009051A8">
        <w:t>.</w:t>
      </w:r>
      <w:r w:rsidRPr="009051A8">
        <w:tab/>
      </w:r>
      <w:r w:rsidR="006B692B" w:rsidRPr="009051A8">
        <w:t>J</w:t>
      </w:r>
      <w:r w:rsidRPr="009051A8">
        <w:t>ournalism is a function shared by a wide range of actors, including professional full</w:t>
      </w:r>
      <w:r w:rsidR="003D7E32" w:rsidRPr="009051A8">
        <w:t>-</w:t>
      </w:r>
      <w:r w:rsidRPr="009051A8">
        <w:t xml:space="preserve">time reporters and analysts, as well as bloggers and others who engage in forms of self-publication in print, on the internet or elsewhere, </w:t>
      </w:r>
      <w:r w:rsidR="006B692B" w:rsidRPr="009051A8">
        <w:t xml:space="preserve">and </w:t>
      </w:r>
      <w:r w:rsidRPr="009051A8">
        <w:t xml:space="preserve">general </w:t>
      </w:r>
      <w:r w:rsidR="006B692B" w:rsidRPr="009051A8">
        <w:t xml:space="preserve">State </w:t>
      </w:r>
      <w:r w:rsidRPr="009051A8">
        <w:t>systems of registration or licensing of journalists are incompatible with paragraph 3. Limited accreditation schemes are permissible only where necessary to provide journalists with privileged access to certain places and</w:t>
      </w:r>
      <w:r w:rsidR="00EB19E6" w:rsidRPr="009051A8">
        <w:t>/</w:t>
      </w:r>
      <w:r w:rsidRPr="009051A8">
        <w:t xml:space="preserve">or events. Such schemes should be applied in a manner that </w:t>
      </w:r>
      <w:r w:rsidR="000A4817" w:rsidRPr="009051A8">
        <w:t>is</w:t>
      </w:r>
      <w:r w:rsidR="00C54ABB" w:rsidRPr="009051A8">
        <w:t xml:space="preserve"> non-discriminatory and</w:t>
      </w:r>
      <w:r w:rsidRPr="009051A8">
        <w:t xml:space="preserve"> compatible with </w:t>
      </w:r>
      <w:r w:rsidR="00C54ABB" w:rsidRPr="009051A8">
        <w:t xml:space="preserve">article 19 and other provisions of </w:t>
      </w:r>
      <w:r w:rsidRPr="009051A8">
        <w:t>the Covenant</w:t>
      </w:r>
      <w:r w:rsidR="00617134" w:rsidRPr="009051A8">
        <w:rPr>
          <w:rFonts w:hint="eastAsia"/>
          <w:lang w:eastAsia="zh-TW"/>
        </w:rPr>
        <w:t>,</w:t>
      </w:r>
      <w:r w:rsidR="006B692B" w:rsidRPr="009051A8">
        <w:t xml:space="preserve"> based on objective criteria and taking into account that journalism is a function shared by a wide range of actors.</w:t>
      </w:r>
      <w:r w:rsidRPr="009051A8">
        <w:t xml:space="preserve"> </w:t>
      </w:r>
    </w:p>
    <w:p w:rsidR="00F750BE" w:rsidRPr="009051A8" w:rsidRDefault="00F750BE" w:rsidP="00B3228F">
      <w:pPr>
        <w:pStyle w:val="SingleTxtG"/>
      </w:pPr>
      <w:r w:rsidRPr="009051A8">
        <w:t>4</w:t>
      </w:r>
      <w:r w:rsidR="00720DD4" w:rsidRPr="009051A8">
        <w:t>5</w:t>
      </w:r>
      <w:r w:rsidR="003A0E39" w:rsidRPr="009051A8">
        <w:t>.</w:t>
      </w:r>
      <w:r w:rsidRPr="009051A8">
        <w:tab/>
      </w:r>
      <w:r w:rsidR="00C54ABB" w:rsidRPr="009051A8">
        <w:t>It is normally</w:t>
      </w:r>
      <w:r w:rsidRPr="009051A8">
        <w:t xml:space="preserve"> </w:t>
      </w:r>
      <w:r w:rsidR="00C54ABB" w:rsidRPr="009051A8">
        <w:t>in</w:t>
      </w:r>
      <w:r w:rsidRPr="009051A8">
        <w:t xml:space="preserve">compatible with paragraph 3 to </w:t>
      </w:r>
      <w:r w:rsidR="00155B1C" w:rsidRPr="009051A8">
        <w:t xml:space="preserve">restrict </w:t>
      </w:r>
      <w:r w:rsidRPr="009051A8">
        <w:t>the freedom of journalists and others who seek to exercise their freedom of expression (such as persons who wish to travel to human rights-related meetings</w:t>
      </w:r>
      <w:r w:rsidR="000A4817" w:rsidRPr="009051A8">
        <w:t>)</w:t>
      </w:r>
      <w:r w:rsidRPr="009051A8">
        <w:rPr>
          <w:vertAlign w:val="superscript"/>
        </w:rPr>
        <w:footnoteReference w:id="106"/>
      </w:r>
      <w:r w:rsidRPr="009051A8">
        <w:t xml:space="preserve"> to travel outside the State party, to </w:t>
      </w:r>
      <w:r w:rsidR="00155B1C" w:rsidRPr="009051A8">
        <w:t xml:space="preserve">restrict </w:t>
      </w:r>
      <w:r w:rsidRPr="009051A8">
        <w:t>the entry into the State party of foreign journalists to those from specified countries</w:t>
      </w:r>
      <w:r w:rsidRPr="009051A8">
        <w:rPr>
          <w:rStyle w:val="FootnoteReference"/>
        </w:rPr>
        <w:footnoteReference w:id="107"/>
      </w:r>
      <w:r w:rsidRPr="009051A8">
        <w:rPr>
          <w:rStyle w:val="FootnoteReference"/>
        </w:rPr>
        <w:t xml:space="preserve"> </w:t>
      </w:r>
      <w:r w:rsidRPr="009051A8">
        <w:t xml:space="preserve">or to </w:t>
      </w:r>
      <w:r w:rsidR="00155B1C" w:rsidRPr="009051A8">
        <w:t xml:space="preserve">restrict </w:t>
      </w:r>
      <w:r w:rsidRPr="009051A8">
        <w:t>freedom of movement of journalists and human rights investigators within the State party (including to conflict-affected locations, the sites of natural disasters and locations where there are allegations of human rights abuses). States parties should recogni</w:t>
      </w:r>
      <w:r w:rsidR="008F5E7A" w:rsidRPr="009051A8">
        <w:t>z</w:t>
      </w:r>
      <w:r w:rsidRPr="009051A8">
        <w:t xml:space="preserve">e and respect </w:t>
      </w:r>
      <w:r w:rsidR="006B692B" w:rsidRPr="009051A8">
        <w:t>that element of the right of</w:t>
      </w:r>
      <w:r w:rsidR="006B692B" w:rsidRPr="00087D95">
        <w:t xml:space="preserve"> freedom of expression that embraces </w:t>
      </w:r>
      <w:r w:rsidRPr="009051A8">
        <w:t>the limited journalistic privilege not to disclose information sources.</w:t>
      </w:r>
      <w:r w:rsidRPr="009051A8">
        <w:rPr>
          <w:rStyle w:val="FootnoteReference"/>
        </w:rPr>
        <w:footnoteReference w:id="108"/>
      </w:r>
    </w:p>
    <w:p w:rsidR="00F750BE" w:rsidRPr="009051A8" w:rsidRDefault="00F750BE" w:rsidP="00B3228F">
      <w:pPr>
        <w:pStyle w:val="SingleTxtG"/>
      </w:pPr>
      <w:r w:rsidRPr="009051A8">
        <w:t>4</w:t>
      </w:r>
      <w:r w:rsidR="00720DD4" w:rsidRPr="009051A8">
        <w:t>6</w:t>
      </w:r>
      <w:r w:rsidR="003A0E39" w:rsidRPr="009051A8">
        <w:t>.</w:t>
      </w:r>
      <w:r w:rsidRPr="009051A8">
        <w:tab/>
        <w:t>States parties should ensure that counter-terrorism measures are compatible with paragraph 3. Such offences as “encouragement of terrorism”</w:t>
      </w:r>
      <w:r w:rsidRPr="009051A8">
        <w:rPr>
          <w:rStyle w:val="FootnoteReference"/>
        </w:rPr>
        <w:footnoteReference w:id="109"/>
      </w:r>
      <w:r w:rsidRPr="009051A8">
        <w:rPr>
          <w:rStyle w:val="FootnoteReference"/>
        </w:rPr>
        <w:t xml:space="preserve"> </w:t>
      </w:r>
      <w:r w:rsidRPr="009051A8">
        <w:t>and “extremist activity”</w:t>
      </w:r>
      <w:r w:rsidRPr="009051A8">
        <w:rPr>
          <w:rStyle w:val="FootnoteReference"/>
        </w:rPr>
        <w:footnoteReference w:id="110"/>
      </w:r>
      <w:r w:rsidRPr="009051A8">
        <w:rPr>
          <w:rStyle w:val="FootnoteReference"/>
        </w:rPr>
        <w:t xml:space="preserve"> </w:t>
      </w:r>
      <w:r w:rsidRPr="009051A8">
        <w:t>as well as offences of “praising”, “glorifying”, or “justifying” terrorism, should be clearly defined to ensure that they do not lead to</w:t>
      </w:r>
      <w:r w:rsidR="00617134" w:rsidRPr="009051A8">
        <w:rPr>
          <w:rFonts w:hint="eastAsia"/>
          <w:lang w:eastAsia="zh-TW"/>
        </w:rPr>
        <w:t xml:space="preserve"> </w:t>
      </w:r>
      <w:r w:rsidR="006B692B" w:rsidRPr="009051A8">
        <w:t xml:space="preserve">unnecessary </w:t>
      </w:r>
      <w:r w:rsidR="00A04C7B" w:rsidRPr="009051A8">
        <w:t>or</w:t>
      </w:r>
      <w:r w:rsidR="006B692B" w:rsidRPr="009051A8">
        <w:t xml:space="preserve"> </w:t>
      </w:r>
      <w:r w:rsidRPr="009051A8">
        <w:t xml:space="preserve">disproportionate interference with freedom of expression. Excessive </w:t>
      </w:r>
      <w:r w:rsidR="00155B1C" w:rsidRPr="009051A8">
        <w:t xml:space="preserve">restrictions </w:t>
      </w:r>
      <w:r w:rsidRPr="009051A8">
        <w:t xml:space="preserve">on </w:t>
      </w:r>
      <w:r w:rsidR="006A7A71" w:rsidRPr="009051A8">
        <w:t>access to</w:t>
      </w:r>
      <w:r w:rsidRPr="009051A8">
        <w:t xml:space="preserve"> information must </w:t>
      </w:r>
      <w:r w:rsidR="00E36063" w:rsidRPr="009051A8">
        <w:t xml:space="preserve">also </w:t>
      </w:r>
      <w:r w:rsidRPr="009051A8">
        <w:t>be avoided. The media play</w:t>
      </w:r>
      <w:r w:rsidR="00E56310" w:rsidRPr="009051A8">
        <w:t>s</w:t>
      </w:r>
      <w:r w:rsidRPr="009051A8">
        <w:t xml:space="preserve"> a crucial role in informing the public about acts of terrorism and </w:t>
      </w:r>
      <w:r w:rsidR="00E56310" w:rsidRPr="009051A8">
        <w:t xml:space="preserve">its </w:t>
      </w:r>
      <w:r w:rsidRPr="009051A8">
        <w:t xml:space="preserve">capacity to operate should not be unduly restricted. </w:t>
      </w:r>
      <w:r w:rsidR="00E36063" w:rsidRPr="009051A8">
        <w:t>In this regard, j</w:t>
      </w:r>
      <w:r w:rsidRPr="009051A8">
        <w:t>ournalists should not be penali</w:t>
      </w:r>
      <w:r w:rsidR="00176241" w:rsidRPr="009051A8">
        <w:t>z</w:t>
      </w:r>
      <w:r w:rsidRPr="009051A8">
        <w:t xml:space="preserve">ed for carrying out their legitimate activities. </w:t>
      </w:r>
    </w:p>
    <w:p w:rsidR="00F750BE" w:rsidRPr="009051A8" w:rsidRDefault="00B40FA8" w:rsidP="00B3228F">
      <w:pPr>
        <w:pStyle w:val="SingleTxtG"/>
      </w:pPr>
      <w:r w:rsidRPr="009051A8">
        <w:t>4</w:t>
      </w:r>
      <w:r w:rsidR="00720DD4" w:rsidRPr="009051A8">
        <w:t>7</w:t>
      </w:r>
      <w:r w:rsidR="003A0E39" w:rsidRPr="009051A8">
        <w:t>.</w:t>
      </w:r>
      <w:r w:rsidR="00F750BE" w:rsidRPr="009051A8">
        <w:tab/>
        <w:t>Defamation laws must be crafted with care to ensure that they comply with paragraph 3, and that they do not serve, in practice, to stifle freedom of expression</w:t>
      </w:r>
      <w:r w:rsidR="0099360E" w:rsidRPr="009051A8">
        <w:t>.</w:t>
      </w:r>
      <w:r w:rsidR="00F750BE" w:rsidRPr="009051A8">
        <w:rPr>
          <w:rStyle w:val="FootnoteReference"/>
        </w:rPr>
        <w:footnoteReference w:id="111"/>
      </w:r>
      <w:r w:rsidR="00F750BE" w:rsidRPr="009051A8">
        <w:rPr>
          <w:rStyle w:val="FootnoteReference"/>
        </w:rPr>
        <w:t xml:space="preserve"> </w:t>
      </w:r>
      <w:r w:rsidR="00F750BE" w:rsidRPr="009051A8">
        <w:t>All such laws</w:t>
      </w:r>
      <w:r w:rsidR="006A7A71" w:rsidRPr="009051A8">
        <w:t>, in particular penal defamation laws,</w:t>
      </w:r>
      <w:r w:rsidR="00F750BE" w:rsidRPr="009051A8">
        <w:t xml:space="preserve"> should include </w:t>
      </w:r>
      <w:r w:rsidR="006A7A71" w:rsidRPr="009051A8">
        <w:t xml:space="preserve">such defences as </w:t>
      </w:r>
      <w:r w:rsidR="00F750BE" w:rsidRPr="009051A8">
        <w:t xml:space="preserve">the defence of truth and they should not be applied with regard to </w:t>
      </w:r>
      <w:r w:rsidR="006A7A71" w:rsidRPr="009051A8">
        <w:t xml:space="preserve">those forms of </w:t>
      </w:r>
      <w:r w:rsidR="00F750BE" w:rsidRPr="009051A8">
        <w:t>expression that are not, of their nature, subject to verification. At least with regard to comments about public figures, consideration should be given to avoiding penali</w:t>
      </w:r>
      <w:r w:rsidR="00D806E5" w:rsidRPr="009051A8">
        <w:t>z</w:t>
      </w:r>
      <w:r w:rsidR="00F750BE" w:rsidRPr="009051A8">
        <w:t xml:space="preserve">ing </w:t>
      </w:r>
      <w:r w:rsidR="00E36063" w:rsidRPr="009051A8">
        <w:t xml:space="preserve">or otherwise rendering unlawful </w:t>
      </w:r>
      <w:r w:rsidR="00F750BE" w:rsidRPr="009051A8">
        <w:t>untrue statements that have been published in error but without malice</w:t>
      </w:r>
      <w:r w:rsidR="000A4817" w:rsidRPr="009051A8">
        <w:t>.</w:t>
      </w:r>
      <w:r w:rsidR="00F750BE" w:rsidRPr="009051A8">
        <w:rPr>
          <w:rStyle w:val="FootnoteReference"/>
        </w:rPr>
        <w:footnoteReference w:id="112"/>
      </w:r>
      <w:r w:rsidR="00F750BE" w:rsidRPr="009051A8">
        <w:t xml:space="preserve"> </w:t>
      </w:r>
      <w:r w:rsidR="00637F46" w:rsidRPr="009051A8">
        <w:t>In any event, a</w:t>
      </w:r>
      <w:r w:rsidR="00637F46" w:rsidRPr="00087D95">
        <w:t xml:space="preserve"> public interest in the subject matter of the criticism should be recogni</w:t>
      </w:r>
      <w:r w:rsidR="00D806E5" w:rsidRPr="00087D95">
        <w:t>z</w:t>
      </w:r>
      <w:r w:rsidR="00637F46" w:rsidRPr="009051A8">
        <w:t xml:space="preserve">ed as a defence. </w:t>
      </w:r>
      <w:r w:rsidR="00F750BE" w:rsidRPr="009051A8">
        <w:t xml:space="preserve">Care should be taken by States parties to avoid excessively punitive </w:t>
      </w:r>
      <w:r w:rsidR="00637F46" w:rsidRPr="009051A8">
        <w:t xml:space="preserve">measures and </w:t>
      </w:r>
      <w:r w:rsidR="00F750BE" w:rsidRPr="009051A8">
        <w:t>penalties. Where relevant, States parties should place reasonable limits on the requirement for a defendant to reimburse the expenses of the successful party.</w:t>
      </w:r>
      <w:r w:rsidR="00F750BE" w:rsidRPr="009051A8">
        <w:rPr>
          <w:rStyle w:val="FootnoteReference"/>
        </w:rPr>
        <w:footnoteReference w:id="113"/>
      </w:r>
      <w:r w:rsidR="00F750BE" w:rsidRPr="009051A8">
        <w:t xml:space="preserve"> States parties should consider the decriminali</w:t>
      </w:r>
      <w:r w:rsidR="00D806E5" w:rsidRPr="009051A8">
        <w:t>z</w:t>
      </w:r>
      <w:r w:rsidR="00F750BE" w:rsidRPr="009051A8">
        <w:t>ation of defamation</w:t>
      </w:r>
      <w:r w:rsidR="00F750BE" w:rsidRPr="009051A8">
        <w:rPr>
          <w:rStyle w:val="FootnoteReference"/>
        </w:rPr>
        <w:footnoteReference w:id="114"/>
      </w:r>
      <w:r w:rsidR="00F750BE" w:rsidRPr="009051A8">
        <w:rPr>
          <w:rStyle w:val="FootnoteReference"/>
        </w:rPr>
        <w:t xml:space="preserve"> </w:t>
      </w:r>
      <w:r w:rsidR="00F750BE" w:rsidRPr="009051A8">
        <w:t>and, in any case, the application of the criminal law should only be countenanced in the most serious of cases</w:t>
      </w:r>
      <w:r w:rsidR="00637F46" w:rsidRPr="009051A8">
        <w:t xml:space="preserve"> and imprisonment is never an appropriate penalty</w:t>
      </w:r>
      <w:r w:rsidR="00F750BE" w:rsidRPr="009051A8">
        <w:t xml:space="preserve">. It is impermissible for a State party to indict a person for criminal defamation but then not to proceed to trial expeditiously </w:t>
      </w:r>
      <w:r w:rsidR="00D806E5" w:rsidRPr="009051A8">
        <w:t>–</w:t>
      </w:r>
      <w:r w:rsidR="00F750BE" w:rsidRPr="009051A8">
        <w:t xml:space="preserve"> such a practice has a chilling effect that may unduly restrict the</w:t>
      </w:r>
      <w:r w:rsidR="00803855" w:rsidRPr="009051A8">
        <w:t xml:space="preserve"> </w:t>
      </w:r>
      <w:r w:rsidR="00F750BE" w:rsidRPr="009051A8">
        <w:t>exercise of freedom of expression</w:t>
      </w:r>
      <w:r w:rsidR="00637F46" w:rsidRPr="009051A8">
        <w:t xml:space="preserve"> of the person concerned and others</w:t>
      </w:r>
      <w:r w:rsidR="00F750BE" w:rsidRPr="009051A8">
        <w:t>.</w:t>
      </w:r>
      <w:r w:rsidR="00F750BE" w:rsidRPr="009051A8">
        <w:rPr>
          <w:rStyle w:val="FootnoteReference"/>
        </w:rPr>
        <w:footnoteReference w:id="115"/>
      </w:r>
    </w:p>
    <w:p w:rsidR="00F750BE" w:rsidRPr="009051A8" w:rsidRDefault="00B40FA8" w:rsidP="00B3228F">
      <w:pPr>
        <w:pStyle w:val="SingleTxtG"/>
      </w:pPr>
      <w:r w:rsidRPr="009051A8">
        <w:t>4</w:t>
      </w:r>
      <w:r w:rsidR="00720DD4" w:rsidRPr="009051A8">
        <w:t>8</w:t>
      </w:r>
      <w:r w:rsidR="003A0E39" w:rsidRPr="009051A8">
        <w:t>.</w:t>
      </w:r>
      <w:r w:rsidR="00F750BE" w:rsidRPr="009051A8">
        <w:tab/>
      </w:r>
      <w:r w:rsidR="00D25BA4" w:rsidRPr="009051A8">
        <w:t>P</w:t>
      </w:r>
      <w:r w:rsidR="00D25BA4" w:rsidRPr="009051A8">
        <w:rPr>
          <w:rFonts w:hint="eastAsia"/>
        </w:rPr>
        <w:t>rohibitions of displays of lack of respect for</w:t>
      </w:r>
      <w:r w:rsidR="00D25BA4" w:rsidRPr="009051A8">
        <w:t xml:space="preserve"> a religion or other belief system</w:t>
      </w:r>
      <w:r w:rsidR="00D25BA4" w:rsidRPr="009051A8">
        <w:rPr>
          <w:rFonts w:hint="eastAsia"/>
        </w:rPr>
        <w:t xml:space="preserve">, including </w:t>
      </w:r>
      <w:r w:rsidR="00D25BA4" w:rsidRPr="009051A8">
        <w:t>blasphemy</w:t>
      </w:r>
      <w:r w:rsidR="00D25BA4" w:rsidRPr="009051A8">
        <w:rPr>
          <w:rFonts w:hint="eastAsia"/>
        </w:rPr>
        <w:t xml:space="preserve"> laws,</w:t>
      </w:r>
      <w:r w:rsidR="00D25BA4" w:rsidRPr="009051A8">
        <w:t xml:space="preserve"> are incompatible with the Covenant</w:t>
      </w:r>
      <w:r w:rsidR="00D25BA4" w:rsidRPr="009051A8">
        <w:rPr>
          <w:rFonts w:hint="eastAsia"/>
        </w:rPr>
        <w:t xml:space="preserve">, </w:t>
      </w:r>
      <w:r w:rsidR="00D25BA4" w:rsidRPr="009051A8">
        <w:t>except</w:t>
      </w:r>
      <w:r w:rsidR="00D25BA4" w:rsidRPr="009051A8">
        <w:rPr>
          <w:rFonts w:hint="eastAsia"/>
        </w:rPr>
        <w:t xml:space="preserve"> in the specific circumstances envisaged</w:t>
      </w:r>
      <w:r w:rsidR="00D25BA4" w:rsidRPr="00087D95">
        <w:rPr>
          <w:rFonts w:hint="eastAsia"/>
        </w:rPr>
        <w:t xml:space="preserve"> in article 20</w:t>
      </w:r>
      <w:r w:rsidR="00D25BA4" w:rsidRPr="00087D95">
        <w:rPr>
          <w:rFonts w:hint="eastAsia"/>
          <w:lang w:eastAsia="zh-TW"/>
        </w:rPr>
        <w:t>, paragraph 2,</w:t>
      </w:r>
      <w:r w:rsidR="00D25BA4" w:rsidRPr="009051A8">
        <w:rPr>
          <w:rFonts w:hint="eastAsia"/>
        </w:rPr>
        <w:t xml:space="preserve"> of the Covenant. </w:t>
      </w:r>
      <w:r w:rsidR="00D25BA4" w:rsidRPr="009051A8">
        <w:t>S</w:t>
      </w:r>
      <w:r w:rsidR="00D25BA4" w:rsidRPr="009051A8">
        <w:rPr>
          <w:rFonts w:hint="eastAsia"/>
        </w:rPr>
        <w:t xml:space="preserve">uch prohibitions must </w:t>
      </w:r>
      <w:r w:rsidR="00D25BA4" w:rsidRPr="009051A8">
        <w:rPr>
          <w:rFonts w:hint="eastAsia"/>
          <w:lang w:eastAsia="zh-TW"/>
        </w:rPr>
        <w:t xml:space="preserve">also </w:t>
      </w:r>
      <w:r w:rsidR="00D25BA4" w:rsidRPr="009051A8">
        <w:rPr>
          <w:rFonts w:hint="eastAsia"/>
        </w:rPr>
        <w:t xml:space="preserve">comply with the strict </w:t>
      </w:r>
      <w:r w:rsidR="00D25BA4" w:rsidRPr="009051A8">
        <w:t>requirements</w:t>
      </w:r>
      <w:r w:rsidR="00D25BA4" w:rsidRPr="009051A8">
        <w:rPr>
          <w:rFonts w:hint="eastAsia"/>
        </w:rPr>
        <w:t xml:space="preserve"> of article 19, paragraph 3,</w:t>
      </w:r>
      <w:r w:rsidR="00D25BA4" w:rsidRPr="009051A8">
        <w:t xml:space="preserve"> as well as </w:t>
      </w:r>
      <w:r w:rsidR="00D25BA4" w:rsidRPr="009051A8">
        <w:rPr>
          <w:rFonts w:hint="eastAsia"/>
        </w:rPr>
        <w:t xml:space="preserve">such </w:t>
      </w:r>
      <w:r w:rsidR="00D25BA4" w:rsidRPr="009051A8">
        <w:t>articles</w:t>
      </w:r>
      <w:r w:rsidR="00D25BA4" w:rsidRPr="009051A8">
        <w:rPr>
          <w:rFonts w:hint="eastAsia"/>
        </w:rPr>
        <w:t xml:space="preserve"> as</w:t>
      </w:r>
      <w:r w:rsidR="00D25BA4" w:rsidRPr="009051A8">
        <w:t xml:space="preserve"> 2, 5, </w:t>
      </w:r>
      <w:r w:rsidR="00D25BA4" w:rsidRPr="009051A8">
        <w:rPr>
          <w:rFonts w:hint="eastAsia"/>
        </w:rPr>
        <w:t xml:space="preserve">17, </w:t>
      </w:r>
      <w:r w:rsidR="00D25BA4" w:rsidRPr="009051A8">
        <w:t>18 and 26.</w:t>
      </w:r>
      <w:r w:rsidR="00D25BA4" w:rsidRPr="009051A8">
        <w:rPr>
          <w:rFonts w:hint="eastAsia"/>
        </w:rPr>
        <w:t xml:space="preserve"> </w:t>
      </w:r>
      <w:r w:rsidR="00D25BA4" w:rsidRPr="009051A8">
        <w:t>T</w:t>
      </w:r>
      <w:r w:rsidR="00D25BA4" w:rsidRPr="009051A8">
        <w:rPr>
          <w:rFonts w:hint="eastAsia"/>
        </w:rPr>
        <w:t xml:space="preserve">hus, for instance, it would be </w:t>
      </w:r>
      <w:r w:rsidR="00D25BA4" w:rsidRPr="009051A8">
        <w:t>imp</w:t>
      </w:r>
      <w:r w:rsidR="00D25BA4" w:rsidRPr="009051A8">
        <w:rPr>
          <w:rFonts w:hint="eastAsia"/>
        </w:rPr>
        <w:t>ermi</w:t>
      </w:r>
      <w:r w:rsidR="00D25BA4" w:rsidRPr="009051A8">
        <w:t>ssible</w:t>
      </w:r>
      <w:r w:rsidR="00D25BA4" w:rsidRPr="009051A8">
        <w:rPr>
          <w:rFonts w:hint="eastAsia"/>
        </w:rPr>
        <w:t xml:space="preserve"> for any such laws to</w:t>
      </w:r>
      <w:r w:rsidR="00D25BA4" w:rsidRPr="009051A8">
        <w:t xml:space="preserve"> discriminate </w:t>
      </w:r>
      <w:r w:rsidR="00D25BA4" w:rsidRPr="009051A8">
        <w:rPr>
          <w:rFonts w:hint="eastAsia"/>
        </w:rPr>
        <w:t>in favour of or against</w:t>
      </w:r>
      <w:r w:rsidR="00D25BA4" w:rsidRPr="009051A8">
        <w:t xml:space="preserve"> one or certain</w:t>
      </w:r>
      <w:r w:rsidR="00D25BA4" w:rsidRPr="00087D95">
        <w:t xml:space="preserve"> religions or belief systems</w:t>
      </w:r>
      <w:r w:rsidR="00452EA5" w:rsidRPr="009051A8">
        <w:t>,</w:t>
      </w:r>
      <w:r w:rsidR="00D25BA4" w:rsidRPr="009051A8">
        <w:t xml:space="preserve"> or their adherents over another, or religious believers over non-believers.</w:t>
      </w:r>
      <w:r w:rsidR="00D25BA4" w:rsidRPr="009051A8">
        <w:rPr>
          <w:rFonts w:hint="eastAsia"/>
        </w:rPr>
        <w:t xml:space="preserve"> </w:t>
      </w:r>
      <w:r w:rsidR="00D25BA4" w:rsidRPr="009051A8">
        <w:t>N</w:t>
      </w:r>
      <w:r w:rsidR="00D25BA4" w:rsidRPr="009051A8">
        <w:rPr>
          <w:rFonts w:hint="eastAsia"/>
        </w:rPr>
        <w:t>or would it be permissible for such</w:t>
      </w:r>
      <w:r w:rsidR="00D25BA4" w:rsidRPr="009051A8">
        <w:t xml:space="preserve"> </w:t>
      </w:r>
      <w:r w:rsidR="00D25BA4" w:rsidRPr="009051A8">
        <w:rPr>
          <w:rFonts w:hint="eastAsia"/>
        </w:rPr>
        <w:t>prohibitions to</w:t>
      </w:r>
      <w:r w:rsidR="00D25BA4" w:rsidRPr="009051A8">
        <w:t xml:space="preserve"> be used to prevent or punish criticism of religious leaders or commentary on religious doctrine and tenets of faith.</w:t>
      </w:r>
      <w:r w:rsidR="00F750BE" w:rsidRPr="009051A8">
        <w:rPr>
          <w:rStyle w:val="FootnoteReference"/>
        </w:rPr>
        <w:footnoteReference w:id="116"/>
      </w:r>
    </w:p>
    <w:p w:rsidR="00F750BE" w:rsidRPr="009051A8" w:rsidRDefault="00720DD4" w:rsidP="00B3228F">
      <w:pPr>
        <w:pStyle w:val="SingleTxtG"/>
        <w:ind w:left="1100"/>
        <w:rPr>
          <w:rStyle w:val="FootnoteReference"/>
        </w:rPr>
      </w:pPr>
      <w:r w:rsidRPr="009051A8">
        <w:t>49</w:t>
      </w:r>
      <w:r w:rsidR="00B3228F" w:rsidRPr="009051A8">
        <w:t>.</w:t>
      </w:r>
      <w:r w:rsidR="00B3228F" w:rsidRPr="009051A8">
        <w:tab/>
      </w:r>
      <w:r w:rsidR="00F750BE" w:rsidRPr="009051A8">
        <w:t>Laws that penali</w:t>
      </w:r>
      <w:r w:rsidR="00176241" w:rsidRPr="009051A8">
        <w:t>z</w:t>
      </w:r>
      <w:r w:rsidR="00F750BE" w:rsidRPr="009051A8">
        <w:t xml:space="preserve">e the </w:t>
      </w:r>
      <w:r w:rsidR="00AD0F30" w:rsidRPr="009051A8">
        <w:t>expression of opinions about historical facts</w:t>
      </w:r>
      <w:r w:rsidR="00F750BE" w:rsidRPr="009051A8">
        <w:t xml:space="preserve"> </w:t>
      </w:r>
      <w:r w:rsidR="00AD0F30" w:rsidRPr="009051A8">
        <w:t>are incompatible with the obligations that the Covenant imposes on State</w:t>
      </w:r>
      <w:r w:rsidR="00F810FA" w:rsidRPr="009051A8">
        <w:t>s</w:t>
      </w:r>
      <w:r w:rsidR="00AD0F30" w:rsidRPr="009051A8">
        <w:t xml:space="preserve"> parties in relation to the respect for freedom of opinion and expression.</w:t>
      </w:r>
      <w:r w:rsidR="00392E9B" w:rsidRPr="009051A8">
        <w:rPr>
          <w:rStyle w:val="FootnoteReference"/>
        </w:rPr>
        <w:footnoteReference w:id="117"/>
      </w:r>
      <w:r w:rsidR="00AD0F30" w:rsidRPr="009051A8">
        <w:t xml:space="preserve"> </w:t>
      </w:r>
      <w:r w:rsidR="00F750BE" w:rsidRPr="009051A8">
        <w:t>The Covenant does not permit general prohibition o</w:t>
      </w:r>
      <w:r w:rsidR="00AD0F30" w:rsidRPr="009051A8">
        <w:t>f</w:t>
      </w:r>
      <w:r w:rsidR="00F750BE" w:rsidRPr="009051A8">
        <w:t xml:space="preserve"> expression</w:t>
      </w:r>
      <w:r w:rsidR="00AD0F30" w:rsidRPr="009051A8">
        <w:t xml:space="preserve">s </w:t>
      </w:r>
      <w:r w:rsidR="000B6D0E" w:rsidRPr="009051A8">
        <w:t xml:space="preserve">of an </w:t>
      </w:r>
      <w:r w:rsidR="00AD0F30" w:rsidRPr="009051A8">
        <w:t xml:space="preserve">erroneous </w:t>
      </w:r>
      <w:r w:rsidR="000B6D0E" w:rsidRPr="009051A8">
        <w:t xml:space="preserve">opinion or an incorrect interpretation of past events. </w:t>
      </w:r>
      <w:r w:rsidR="00155B1C" w:rsidRPr="009051A8">
        <w:t xml:space="preserve">Restrictions </w:t>
      </w:r>
      <w:r w:rsidR="00F750BE" w:rsidRPr="009051A8">
        <w:t xml:space="preserve">on the right of freedom of opinion </w:t>
      </w:r>
      <w:r w:rsidR="000B6D0E" w:rsidRPr="009051A8">
        <w:t xml:space="preserve">should never be imposed </w:t>
      </w:r>
      <w:r w:rsidR="00F750BE" w:rsidRPr="009051A8">
        <w:t>and, with regard to freedom of expression</w:t>
      </w:r>
      <w:r w:rsidR="00D806E5" w:rsidRPr="009051A8">
        <w:t>,</w:t>
      </w:r>
      <w:r w:rsidR="00F750BE" w:rsidRPr="009051A8">
        <w:t xml:space="preserve"> they </w:t>
      </w:r>
      <w:r w:rsidR="000B6D0E" w:rsidRPr="009051A8">
        <w:t xml:space="preserve">should </w:t>
      </w:r>
      <w:r w:rsidR="00F750BE" w:rsidRPr="009051A8">
        <w:t>not go beyond what is permitted in paragraph 3</w:t>
      </w:r>
      <w:r w:rsidR="009E2FA1" w:rsidRPr="009051A8">
        <w:t xml:space="preserve"> or required under article 20</w:t>
      </w:r>
      <w:r w:rsidR="00F750BE" w:rsidRPr="009051A8">
        <w:t>.</w:t>
      </w:r>
    </w:p>
    <w:p w:rsidR="00F750BE" w:rsidRPr="009051A8" w:rsidRDefault="00DD68D0" w:rsidP="00DD68D0">
      <w:pPr>
        <w:pStyle w:val="H1G"/>
      </w:pPr>
      <w:r w:rsidRPr="009051A8">
        <w:tab/>
      </w:r>
      <w:r w:rsidRPr="009051A8">
        <w:tab/>
      </w:r>
      <w:r w:rsidR="00F750BE" w:rsidRPr="009051A8">
        <w:t xml:space="preserve">The relationship </w:t>
      </w:r>
      <w:r w:rsidR="001F436B" w:rsidRPr="009051A8">
        <w:t xml:space="preserve">between </w:t>
      </w:r>
      <w:r w:rsidR="00F750BE" w:rsidRPr="009051A8">
        <w:t>articles 19 and 20</w:t>
      </w:r>
    </w:p>
    <w:p w:rsidR="00F750BE" w:rsidRPr="009051A8" w:rsidRDefault="00F750BE" w:rsidP="001D1482">
      <w:pPr>
        <w:pStyle w:val="SingleTxtG"/>
      </w:pPr>
      <w:r w:rsidRPr="009051A8">
        <w:t>5</w:t>
      </w:r>
      <w:r w:rsidR="00720DD4" w:rsidRPr="009051A8">
        <w:t>0</w:t>
      </w:r>
      <w:r w:rsidR="003A0E39" w:rsidRPr="009051A8">
        <w:t>.</w:t>
      </w:r>
      <w:r w:rsidRPr="009051A8">
        <w:tab/>
        <w:t xml:space="preserve">Articles 19 and 20 are compatible with and complement each other. The acts that are addressed in article 20 are all subject to </w:t>
      </w:r>
      <w:r w:rsidR="009E2FA1" w:rsidRPr="009051A8">
        <w:t xml:space="preserve">restriction </w:t>
      </w:r>
      <w:r w:rsidRPr="009051A8">
        <w:t xml:space="preserve">pursuant to article 19, paragraph 3. As such, a </w:t>
      </w:r>
      <w:r w:rsidR="009E2FA1" w:rsidRPr="009051A8">
        <w:t xml:space="preserve">limitation </w:t>
      </w:r>
      <w:r w:rsidRPr="009051A8">
        <w:t>that is justified on the basis of article 20 must also comply with article 19, paragraph 3.</w:t>
      </w:r>
      <w:r w:rsidRPr="009051A8">
        <w:rPr>
          <w:rStyle w:val="FootnoteReference"/>
        </w:rPr>
        <w:footnoteReference w:id="118"/>
      </w:r>
      <w:r w:rsidRPr="009051A8">
        <w:rPr>
          <w:rStyle w:val="FootnoteReference"/>
        </w:rPr>
        <w:t xml:space="preserve"> </w:t>
      </w:r>
    </w:p>
    <w:p w:rsidR="008A703E" w:rsidRPr="009051A8" w:rsidRDefault="00F750BE" w:rsidP="00E67D0D">
      <w:pPr>
        <w:pStyle w:val="SingleTxtG"/>
        <w:tabs>
          <w:tab w:val="left" w:pos="1100"/>
        </w:tabs>
      </w:pPr>
      <w:r w:rsidRPr="009051A8">
        <w:t>5</w:t>
      </w:r>
      <w:r w:rsidR="00720DD4" w:rsidRPr="009051A8">
        <w:t>1</w:t>
      </w:r>
      <w:r w:rsidRPr="009051A8">
        <w:t>.</w:t>
      </w:r>
      <w:r w:rsidR="00803855" w:rsidRPr="009051A8">
        <w:tab/>
      </w:r>
      <w:r w:rsidRPr="009051A8">
        <w:t xml:space="preserve"> What distinguishes the acts addressed in article 20 from other acts that may be subject to </w:t>
      </w:r>
      <w:r w:rsidR="001D1482" w:rsidRPr="009051A8">
        <w:t xml:space="preserve">restriction </w:t>
      </w:r>
      <w:r w:rsidR="009E2FA1" w:rsidRPr="009051A8">
        <w:t>under article 19</w:t>
      </w:r>
      <w:r w:rsidR="00A759CB" w:rsidRPr="009051A8">
        <w:t xml:space="preserve">, paragraph </w:t>
      </w:r>
      <w:r w:rsidR="009E2FA1" w:rsidRPr="009051A8">
        <w:t>3</w:t>
      </w:r>
      <w:r w:rsidRPr="009051A8">
        <w:t xml:space="preserve">, is that for the acts addressed in article 20, the Covenant indicates the specific response required from the State: their prohibition by law. It is only to this extent that article 20 may be considered as </w:t>
      </w:r>
      <w:r w:rsidRPr="009051A8">
        <w:rPr>
          <w:i/>
        </w:rPr>
        <w:t>lex specialis</w:t>
      </w:r>
      <w:r w:rsidRPr="009051A8">
        <w:t xml:space="preserve"> with regard to article 19.</w:t>
      </w:r>
      <w:r w:rsidR="00E67D0D" w:rsidRPr="009051A8">
        <w:t xml:space="preserve"> </w:t>
      </w:r>
    </w:p>
    <w:p w:rsidR="00F750BE" w:rsidRPr="00F750BE" w:rsidRDefault="001D1482" w:rsidP="00E67D0D">
      <w:pPr>
        <w:pStyle w:val="SingleTxtG"/>
        <w:tabs>
          <w:tab w:val="left" w:pos="1100"/>
        </w:tabs>
      </w:pPr>
      <w:r w:rsidRPr="009051A8">
        <w:t>5</w:t>
      </w:r>
      <w:r w:rsidR="00720DD4" w:rsidRPr="009051A8">
        <w:t>2</w:t>
      </w:r>
      <w:r w:rsidR="008A703E" w:rsidRPr="009051A8">
        <w:t>.</w:t>
      </w:r>
      <w:r w:rsidR="008A703E" w:rsidRPr="009051A8">
        <w:tab/>
      </w:r>
      <w:r w:rsidR="006A7A71" w:rsidRPr="009051A8">
        <w:t>I</w:t>
      </w:r>
      <w:r w:rsidR="00F750BE" w:rsidRPr="009051A8">
        <w:t xml:space="preserve">t is only with regard to the specific forms of expression indicated in article 20 that States parties are obliged to </w:t>
      </w:r>
      <w:r w:rsidR="009E2FA1" w:rsidRPr="009051A8">
        <w:t>have</w:t>
      </w:r>
      <w:r w:rsidR="00F750BE" w:rsidRPr="009051A8">
        <w:t xml:space="preserve"> legal prohibitions. In every case </w:t>
      </w:r>
      <w:r w:rsidR="006A7A71" w:rsidRPr="009051A8">
        <w:t>in which the State restricts freedom of expression</w:t>
      </w:r>
      <w:r w:rsidR="00F750BE" w:rsidRPr="009051A8">
        <w:t xml:space="preserve"> it is necessary to justify the prohibitions and their provisions in strict conformity with article 19.</w:t>
      </w:r>
    </w:p>
    <w:p w:rsidR="00F750BE" w:rsidRPr="005A49BB" w:rsidRDefault="005A49BB" w:rsidP="005A49BB">
      <w:pPr>
        <w:pStyle w:val="SingleTxtG"/>
        <w:spacing w:before="240" w:after="0"/>
        <w:jc w:val="center"/>
        <w:rPr>
          <w:u w:val="single"/>
        </w:rPr>
      </w:pPr>
      <w:r>
        <w:rPr>
          <w:u w:val="single"/>
        </w:rPr>
        <w:tab/>
      </w:r>
      <w:r>
        <w:rPr>
          <w:u w:val="single"/>
        </w:rPr>
        <w:tab/>
      </w:r>
      <w:r>
        <w:rPr>
          <w:u w:val="single"/>
        </w:rPr>
        <w:tab/>
      </w:r>
    </w:p>
    <w:sectPr w:rsidR="00F750BE" w:rsidRPr="005A49BB" w:rsidSect="005A49B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98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7E0" w:rsidRDefault="006B17E0"/>
  </w:endnote>
  <w:endnote w:type="continuationSeparator" w:id="0">
    <w:p w:rsidR="006B17E0" w:rsidRDefault="006B17E0"/>
  </w:endnote>
  <w:endnote w:type="continuationNotice" w:id="1">
    <w:p w:rsidR="006B17E0" w:rsidRDefault="006B17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6F" w:rsidRPr="001F7F4C" w:rsidRDefault="002F656F" w:rsidP="00991587">
    <w:pPr>
      <w:pStyle w:val="Footer"/>
      <w:tabs>
        <w:tab w:val="right" w:pos="9638"/>
      </w:tabs>
    </w:pPr>
    <w:r w:rsidRPr="001F7F4C">
      <w:rPr>
        <w:sz w:val="18"/>
      </w:rPr>
      <w:fldChar w:fldCharType="begin"/>
    </w:r>
    <w:r w:rsidRPr="001F7F4C">
      <w:rPr>
        <w:sz w:val="18"/>
      </w:rPr>
      <w:instrText xml:space="preserve"> PAGE  \* MERGEFORMAT </w:instrText>
    </w:r>
    <w:r w:rsidRPr="001F7F4C">
      <w:rPr>
        <w:sz w:val="18"/>
      </w:rPr>
      <w:fldChar w:fldCharType="separate"/>
    </w:r>
    <w:r w:rsidR="0086643F">
      <w:rPr>
        <w:noProof/>
        <w:sz w:val="18"/>
      </w:rPr>
      <w:t>2</w:t>
    </w:r>
    <w:r w:rsidRPr="001F7F4C">
      <w:rPr>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6F" w:rsidRPr="001F7F4C" w:rsidRDefault="002F656F" w:rsidP="00517B87">
    <w:pPr>
      <w:pStyle w:val="Footer"/>
      <w:tabs>
        <w:tab w:val="right" w:pos="9638"/>
      </w:tabs>
      <w:rPr>
        <w:sz w:val="18"/>
      </w:rPr>
    </w:pPr>
    <w:r>
      <w:tab/>
    </w:r>
    <w:r w:rsidRPr="001F7F4C">
      <w:rPr>
        <w:b/>
        <w:sz w:val="18"/>
      </w:rPr>
      <w:fldChar w:fldCharType="begin"/>
    </w:r>
    <w:r w:rsidRPr="001F7F4C">
      <w:rPr>
        <w:b/>
        <w:sz w:val="18"/>
      </w:rPr>
      <w:instrText xml:space="preserve"> PAGE  \* MERGEFORMAT </w:instrText>
    </w:r>
    <w:r w:rsidRPr="001F7F4C">
      <w:rPr>
        <w:b/>
        <w:sz w:val="18"/>
      </w:rPr>
      <w:fldChar w:fldCharType="separate"/>
    </w:r>
    <w:r w:rsidR="0086643F">
      <w:rPr>
        <w:b/>
        <w:noProof/>
        <w:sz w:val="18"/>
      </w:rPr>
      <w:t>13</w:t>
    </w:r>
    <w:r w:rsidRPr="001F7F4C">
      <w:rPr>
        <w:b/>
        <w:sz w:val="18"/>
      </w:rPr>
      <w:fldChar w:fldCharType="end"/>
    </w:r>
    <w:r>
      <w:rPr>
        <w:b/>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6F" w:rsidRPr="001F7F4C" w:rsidRDefault="002F656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86643F">
      <w:t>45331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7E0" w:rsidRPr="000B175B" w:rsidRDefault="006B17E0" w:rsidP="000B175B">
      <w:pPr>
        <w:tabs>
          <w:tab w:val="right" w:pos="2155"/>
        </w:tabs>
        <w:spacing w:after="80"/>
        <w:ind w:left="680"/>
        <w:rPr>
          <w:u w:val="single"/>
        </w:rPr>
      </w:pPr>
      <w:r>
        <w:rPr>
          <w:u w:val="single"/>
        </w:rPr>
        <w:tab/>
      </w:r>
    </w:p>
  </w:footnote>
  <w:footnote w:type="continuationSeparator" w:id="0">
    <w:p w:rsidR="006B17E0" w:rsidRPr="00FC68B7" w:rsidRDefault="006B17E0" w:rsidP="00FC68B7">
      <w:pPr>
        <w:tabs>
          <w:tab w:val="left" w:pos="2155"/>
        </w:tabs>
        <w:spacing w:after="80"/>
        <w:ind w:left="680"/>
        <w:rPr>
          <w:u w:val="single"/>
        </w:rPr>
      </w:pPr>
      <w:r>
        <w:rPr>
          <w:u w:val="single"/>
        </w:rPr>
        <w:tab/>
      </w:r>
    </w:p>
  </w:footnote>
  <w:footnote w:type="continuationNotice" w:id="1">
    <w:p w:rsidR="006B17E0" w:rsidRDefault="006B17E0"/>
  </w:footnote>
  <w:footnote w:id="2">
    <w:p w:rsidR="002F656F" w:rsidRPr="00087D95" w:rsidRDefault="002F656F" w:rsidP="00E264E2">
      <w:pPr>
        <w:pStyle w:val="FootnoteText"/>
        <w:rPr>
          <w:rStyle w:val="FootnoteReference"/>
          <w:vertAlign w:val="baseline"/>
        </w:rPr>
      </w:pPr>
      <w:r>
        <w:tab/>
      </w:r>
      <w:r w:rsidRPr="00087D95">
        <w:rPr>
          <w:rStyle w:val="FootnoteReference"/>
        </w:rPr>
        <w:footnoteRef/>
      </w:r>
      <w:r w:rsidRPr="00087D95">
        <w:rPr>
          <w:rStyle w:val="FootnoteReference"/>
        </w:rPr>
        <w:tab/>
      </w:r>
      <w:r w:rsidRPr="00087D95">
        <w:rPr>
          <w:rStyle w:val="FootnoteReference"/>
          <w:i/>
        </w:rPr>
        <w:t xml:space="preserve"> </w:t>
      </w:r>
      <w:r w:rsidRPr="00087D95">
        <w:t xml:space="preserve">See communication </w:t>
      </w:r>
      <w:r w:rsidRPr="00087D95">
        <w:rPr>
          <w:rStyle w:val="FootnoteReference"/>
          <w:vertAlign w:val="baseline"/>
        </w:rPr>
        <w:t>No. 1173/2003</w:t>
      </w:r>
      <w:r w:rsidRPr="00087D95">
        <w:t xml:space="preserve">, </w:t>
      </w:r>
      <w:r w:rsidRPr="00087D95">
        <w:rPr>
          <w:rStyle w:val="FootnoteReference"/>
          <w:i/>
          <w:vertAlign w:val="baseline"/>
        </w:rPr>
        <w:t>Benhadj v. Algeria</w:t>
      </w:r>
      <w:r w:rsidRPr="00087D95">
        <w:rPr>
          <w:rStyle w:val="FootnoteReference"/>
          <w:vertAlign w:val="baseline"/>
        </w:rPr>
        <w:t xml:space="preserve">, </w:t>
      </w:r>
      <w:r w:rsidRPr="00087D95">
        <w:t>Views adopted on 20 July 2007</w:t>
      </w:r>
      <w:r w:rsidRPr="00087D95">
        <w:rPr>
          <w:rStyle w:val="FootnoteReference"/>
          <w:vertAlign w:val="baseline"/>
        </w:rPr>
        <w:t>; N</w:t>
      </w:r>
      <w:r w:rsidRPr="00087D95">
        <w:t xml:space="preserve">o. 628/1995, </w:t>
      </w:r>
      <w:r w:rsidRPr="00087D95">
        <w:rPr>
          <w:rStyle w:val="FootnoteReference"/>
          <w:i/>
          <w:vertAlign w:val="baseline"/>
        </w:rPr>
        <w:t>Park v. Republic of Korea</w:t>
      </w:r>
      <w:r w:rsidRPr="00087D95">
        <w:rPr>
          <w:rStyle w:val="FootnoteReference"/>
          <w:vertAlign w:val="baseline"/>
        </w:rPr>
        <w:t xml:space="preserve">, </w:t>
      </w:r>
      <w:r w:rsidRPr="00087D95">
        <w:t>Views adopted on 5 July 1996</w:t>
      </w:r>
      <w:r w:rsidRPr="00087D95">
        <w:rPr>
          <w:rStyle w:val="FootnoteReference"/>
          <w:vertAlign w:val="baseline"/>
        </w:rPr>
        <w:t>.</w:t>
      </w:r>
    </w:p>
  </w:footnote>
  <w:footnote w:id="3">
    <w:p w:rsidR="002F656F" w:rsidRPr="00087D95" w:rsidRDefault="002F656F" w:rsidP="00E264E2">
      <w:pPr>
        <w:pStyle w:val="FootnoteText"/>
        <w:rPr>
          <w:rStyle w:val="FootnoteReference"/>
          <w:vertAlign w:val="baseline"/>
          <w:lang w:val="en-US"/>
        </w:rPr>
      </w:pPr>
      <w:r w:rsidRPr="00087D95">
        <w:rPr>
          <w:rStyle w:val="FootnoteReference"/>
          <w:vertAlign w:val="baseline"/>
          <w:lang w:val="en-US"/>
        </w:rPr>
        <w:tab/>
      </w:r>
      <w:r w:rsidRPr="00087D95">
        <w:rPr>
          <w:rStyle w:val="FootnoteReference"/>
        </w:rPr>
        <w:footnoteRef/>
      </w:r>
      <w:r w:rsidRPr="00087D95">
        <w:rPr>
          <w:lang w:val="en-US"/>
        </w:rPr>
        <w:tab/>
      </w:r>
      <w:r w:rsidRPr="00087D95">
        <w:rPr>
          <w:rStyle w:val="FootnoteReference"/>
          <w:lang w:val="en-US"/>
        </w:rPr>
        <w:t xml:space="preserve"> </w:t>
      </w:r>
      <w:r w:rsidRPr="00087D95">
        <w:rPr>
          <w:rStyle w:val="FootnoteReference"/>
          <w:vertAlign w:val="baseline"/>
          <w:lang w:val="en-US"/>
        </w:rPr>
        <w:t xml:space="preserve">See </w:t>
      </w:r>
      <w:r w:rsidRPr="00087D95">
        <w:rPr>
          <w:lang w:val="en-US"/>
        </w:rPr>
        <w:t xml:space="preserve">the Committee’s </w:t>
      </w:r>
      <w:r w:rsidRPr="00087D95">
        <w:rPr>
          <w:rStyle w:val="FootnoteReference"/>
          <w:vertAlign w:val="baseline"/>
          <w:lang w:val="en-US"/>
        </w:rPr>
        <w:t xml:space="preserve">general comment </w:t>
      </w:r>
      <w:r w:rsidRPr="00087D95">
        <w:rPr>
          <w:lang w:val="en-US"/>
        </w:rPr>
        <w:t xml:space="preserve">No. </w:t>
      </w:r>
      <w:r w:rsidRPr="00087D95">
        <w:rPr>
          <w:rStyle w:val="FootnoteReference"/>
          <w:vertAlign w:val="baseline"/>
          <w:lang w:val="en-US"/>
        </w:rPr>
        <w:t xml:space="preserve">24 </w:t>
      </w:r>
      <w:r w:rsidRPr="00087D95">
        <w:rPr>
          <w:lang w:val="en-US"/>
        </w:rPr>
        <w:t xml:space="preserve">(1994) </w:t>
      </w:r>
      <w:r w:rsidRPr="00087D95">
        <w:rPr>
          <w:rStyle w:val="FootnoteReference"/>
          <w:vertAlign w:val="baseline"/>
          <w:lang w:val="en-US"/>
        </w:rPr>
        <w:t xml:space="preserve">on issues relating to reservations made upon ratification or accession to the Covenant or the </w:t>
      </w:r>
      <w:r w:rsidRPr="00087D95">
        <w:rPr>
          <w:lang w:val="en-US"/>
        </w:rPr>
        <w:t>O</w:t>
      </w:r>
      <w:r w:rsidRPr="00087D95">
        <w:rPr>
          <w:rStyle w:val="FootnoteReference"/>
          <w:vertAlign w:val="baseline"/>
          <w:lang w:val="en-US"/>
        </w:rPr>
        <w:t xml:space="preserve">ptional Protocols thereto, or in relation to </w:t>
      </w:r>
      <w:r w:rsidRPr="00087D95">
        <w:rPr>
          <w:lang w:val="en-US"/>
        </w:rPr>
        <w:t xml:space="preserve">the </w:t>
      </w:r>
      <w:r w:rsidRPr="00087D95">
        <w:rPr>
          <w:rStyle w:val="FootnoteReference"/>
          <w:vertAlign w:val="baseline"/>
          <w:lang w:val="en-US"/>
        </w:rPr>
        <w:t>declarations under article 41 of the Covenant</w:t>
      </w:r>
      <w:r w:rsidRPr="00087D95">
        <w:rPr>
          <w:rStyle w:val="FootnoteReference"/>
          <w:vertAlign w:val="baseline"/>
        </w:rPr>
        <w:t xml:space="preserve">, </w:t>
      </w:r>
      <w:r w:rsidRPr="00087D95">
        <w:rPr>
          <w:rStyle w:val="FootnoteReference"/>
          <w:i/>
          <w:vertAlign w:val="baseline"/>
        </w:rPr>
        <w:t>Official Records of the General Assembly, Fiftieth Session, Supplement No. 40</w:t>
      </w:r>
      <w:r w:rsidRPr="00087D95">
        <w:rPr>
          <w:rStyle w:val="FootnoteReference"/>
          <w:vertAlign w:val="baseline"/>
        </w:rPr>
        <w:t xml:space="preserve">, </w:t>
      </w:r>
      <w:r w:rsidRPr="00087D95">
        <w:rPr>
          <w:rStyle w:val="FootnoteReference"/>
          <w:vertAlign w:val="baseline"/>
          <w:lang w:val="en-US"/>
        </w:rPr>
        <w:t>vol. I</w:t>
      </w:r>
      <w:r w:rsidRPr="00087D95">
        <w:rPr>
          <w:rStyle w:val="FootnoteReference"/>
          <w:vertAlign w:val="baseline"/>
        </w:rPr>
        <w:t xml:space="preserve"> (A/50/40 </w:t>
      </w:r>
      <w:r w:rsidRPr="00087D95">
        <w:rPr>
          <w:rStyle w:val="FootnoteReference"/>
          <w:vertAlign w:val="baseline"/>
          <w:lang w:val="en-US"/>
        </w:rPr>
        <w:t>(Vol. I)</w:t>
      </w:r>
      <w:r w:rsidRPr="00087D95">
        <w:rPr>
          <w:rStyle w:val="FootnoteReference"/>
          <w:vertAlign w:val="baseline"/>
        </w:rPr>
        <w:t>), annex V</w:t>
      </w:r>
      <w:r w:rsidRPr="00087D95">
        <w:rPr>
          <w:rStyle w:val="FootnoteReference"/>
          <w:vertAlign w:val="baseline"/>
          <w:lang w:val="en-US"/>
        </w:rPr>
        <w:t>.</w:t>
      </w:r>
    </w:p>
  </w:footnote>
  <w:footnote w:id="4">
    <w:p w:rsidR="002F656F" w:rsidRPr="009051A8" w:rsidRDefault="002F656F" w:rsidP="00E264E2">
      <w:pPr>
        <w:pStyle w:val="FootnoteText"/>
      </w:pPr>
      <w:r w:rsidRPr="00087D95">
        <w:rPr>
          <w:lang w:val="en-US"/>
        </w:rPr>
        <w:tab/>
      </w:r>
      <w:r w:rsidRPr="00087D95">
        <w:rPr>
          <w:rStyle w:val="FootnoteReference"/>
        </w:rPr>
        <w:footnoteRef/>
      </w:r>
      <w:r w:rsidRPr="00087D95">
        <w:tab/>
        <w:t xml:space="preserve">See </w:t>
      </w:r>
      <w:r w:rsidRPr="00087D95">
        <w:rPr>
          <w:lang w:val="en-US"/>
        </w:rPr>
        <w:t xml:space="preserve">the Committee’s </w:t>
      </w:r>
      <w:r w:rsidRPr="00087D95">
        <w:t xml:space="preserve">general comment No. 29 (2001) </w:t>
      </w:r>
      <w:r w:rsidRPr="00087D95">
        <w:rPr>
          <w:snapToGrid w:val="0"/>
          <w:szCs w:val="24"/>
        </w:rPr>
        <w:t>on derogation during a state of emergency</w:t>
      </w:r>
      <w:r w:rsidRPr="00087D95">
        <w:t xml:space="preserve">, para. 13, </w:t>
      </w:r>
      <w:r w:rsidRPr="00087D95">
        <w:rPr>
          <w:i/>
          <w:iCs/>
        </w:rPr>
        <w:t>Official Records of the General Assembly, Fifty-sixth Session, Supplement No. 40</w:t>
      </w:r>
      <w:r w:rsidRPr="00087D95">
        <w:rPr>
          <w:iCs/>
        </w:rPr>
        <w:t>,</w:t>
      </w:r>
      <w:r w:rsidRPr="00087D95">
        <w:t xml:space="preserve"> vol. I</w:t>
      </w:r>
      <w:r w:rsidRPr="00087D95">
        <w:rPr>
          <w:i/>
          <w:iCs/>
        </w:rPr>
        <w:t xml:space="preserve"> </w:t>
      </w:r>
      <w:r w:rsidRPr="00087D95">
        <w:t>(A/56/40 (Vol. I)), annex VI.</w:t>
      </w:r>
    </w:p>
  </w:footnote>
  <w:footnote w:id="5">
    <w:p w:rsidR="002F656F" w:rsidRPr="009051A8" w:rsidRDefault="002F656F" w:rsidP="008A703E">
      <w:pPr>
        <w:pStyle w:val="FootnoteText"/>
        <w:jc w:val="both"/>
        <w:rPr>
          <w:lang w:val="es-ES_tradnl"/>
        </w:rPr>
      </w:pPr>
      <w:r w:rsidRPr="00087D95">
        <w:rPr>
          <w:lang w:val="es-ES_tradnl"/>
        </w:rPr>
        <w:tab/>
      </w:r>
      <w:r w:rsidRPr="009051A8">
        <w:rPr>
          <w:rStyle w:val="FootnoteReference"/>
        </w:rPr>
        <w:footnoteRef/>
      </w:r>
      <w:r w:rsidRPr="009051A8">
        <w:tab/>
      </w:r>
      <w:r w:rsidRPr="009051A8">
        <w:rPr>
          <w:lang w:val="en-US"/>
        </w:rPr>
        <w:t xml:space="preserve">General comment No. 29, para. </w:t>
      </w:r>
      <w:r w:rsidRPr="009051A8">
        <w:rPr>
          <w:lang w:val="es-ES_tradnl"/>
        </w:rPr>
        <w:t>11.</w:t>
      </w:r>
    </w:p>
  </w:footnote>
  <w:footnote w:id="6">
    <w:p w:rsidR="002F656F" w:rsidRPr="009051A8" w:rsidRDefault="002F656F" w:rsidP="008A703E">
      <w:pPr>
        <w:pStyle w:val="FootnoteText"/>
        <w:jc w:val="both"/>
      </w:pPr>
      <w:r w:rsidRPr="00087D95">
        <w:rPr>
          <w:lang w:val="es-ES_tradnl"/>
        </w:rPr>
        <w:tab/>
      </w:r>
      <w:r w:rsidRPr="009051A8">
        <w:rPr>
          <w:rStyle w:val="FootnoteReference"/>
        </w:rPr>
        <w:footnoteRef/>
      </w:r>
      <w:r w:rsidRPr="009051A8">
        <w:tab/>
        <w:t>General comment No. 24.</w:t>
      </w:r>
    </w:p>
  </w:footnote>
  <w:footnote w:id="7">
    <w:p w:rsidR="002F656F" w:rsidRPr="009051A8" w:rsidRDefault="002F656F" w:rsidP="008A703E">
      <w:pPr>
        <w:pStyle w:val="FootnoteText"/>
        <w:jc w:val="both"/>
      </w:pPr>
      <w:r w:rsidRPr="00087D95">
        <w:tab/>
      </w:r>
      <w:r w:rsidRPr="005D06B6">
        <w:rPr>
          <w:sz w:val="12"/>
        </w:rPr>
        <w:footnoteRef/>
      </w:r>
      <w:r w:rsidRPr="009051A8">
        <w:tab/>
        <w:t xml:space="preserve">See the Committee’s general comment No. 31 (2004) on the nature of the general legal obligation imposed on States parties to the Covenant, para. 4, </w:t>
      </w:r>
      <w:r w:rsidRPr="009051A8">
        <w:rPr>
          <w:i/>
        </w:rPr>
        <w:t>Official Records of the General Assembly,</w:t>
      </w:r>
      <w:r w:rsidRPr="009051A8">
        <w:rPr>
          <w:i/>
          <w:iCs/>
          <w:position w:val="6"/>
        </w:rPr>
        <w:t xml:space="preserve"> </w:t>
      </w:r>
      <w:r w:rsidRPr="009051A8">
        <w:rPr>
          <w:i/>
        </w:rPr>
        <w:t>Fifty-ninth Session, Supplement No. 40</w:t>
      </w:r>
      <w:r w:rsidRPr="009051A8">
        <w:t>, vol. I (A/59/40 (Vol. I)), annex III</w:t>
      </w:r>
    </w:p>
  </w:footnote>
  <w:footnote w:id="8">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lang w:val="en-US"/>
        </w:rPr>
        <w:tab/>
      </w:r>
      <w:r w:rsidRPr="009051A8">
        <w:t xml:space="preserve">See communication </w:t>
      </w:r>
      <w:r w:rsidRPr="009051A8">
        <w:rPr>
          <w:lang w:val="en-US"/>
        </w:rPr>
        <w:t xml:space="preserve">No. 61/1979, </w:t>
      </w:r>
      <w:r w:rsidRPr="009051A8">
        <w:rPr>
          <w:i/>
          <w:lang w:val="en-US"/>
        </w:rPr>
        <w:t>Hertzberg et al. v. Finland</w:t>
      </w:r>
      <w:r w:rsidRPr="009051A8">
        <w:rPr>
          <w:lang w:val="en-US"/>
        </w:rPr>
        <w:t xml:space="preserve">, </w:t>
      </w:r>
      <w:r w:rsidRPr="009051A8">
        <w:t>Views adopted on 2 April 1982</w:t>
      </w:r>
      <w:r w:rsidRPr="009051A8">
        <w:rPr>
          <w:lang w:val="en-US"/>
        </w:rPr>
        <w:t>.</w:t>
      </w:r>
    </w:p>
  </w:footnote>
  <w:footnote w:id="9">
    <w:p w:rsidR="002F656F" w:rsidRPr="009051A8" w:rsidRDefault="002F656F" w:rsidP="008A703E">
      <w:pPr>
        <w:pStyle w:val="FootnoteText"/>
        <w:jc w:val="both"/>
        <w:rPr>
          <w:lang w:val="en-US"/>
        </w:rPr>
      </w:pPr>
      <w:r w:rsidRPr="009051A8">
        <w:rPr>
          <w:rStyle w:val="FootnoteReference"/>
          <w:lang w:val="en-US"/>
        </w:rPr>
        <w:tab/>
      </w:r>
      <w:r w:rsidRPr="009051A8">
        <w:rPr>
          <w:rStyle w:val="FootnoteReference"/>
        </w:rPr>
        <w:footnoteRef/>
      </w:r>
      <w:r w:rsidRPr="009051A8">
        <w:rPr>
          <w:rStyle w:val="FootnoteReference"/>
          <w:lang w:val="en-US"/>
        </w:rPr>
        <w:t xml:space="preserve"> </w:t>
      </w:r>
      <w:r w:rsidRPr="009051A8">
        <w:rPr>
          <w:lang w:val="en-US"/>
        </w:rPr>
        <w:tab/>
        <w:t xml:space="preserve">General comment No. 31, para. 8; </w:t>
      </w:r>
      <w:r w:rsidRPr="009051A8">
        <w:t xml:space="preserve">See communication </w:t>
      </w:r>
      <w:r w:rsidRPr="009051A8">
        <w:rPr>
          <w:lang w:val="en-US"/>
        </w:rPr>
        <w:t xml:space="preserve">No. 633/1995, </w:t>
      </w:r>
      <w:r w:rsidRPr="009051A8">
        <w:rPr>
          <w:i/>
          <w:lang w:val="en-US"/>
        </w:rPr>
        <w:t>Gauthier v. Canada</w:t>
      </w:r>
      <w:r w:rsidRPr="009051A8">
        <w:rPr>
          <w:lang w:val="en-US"/>
        </w:rPr>
        <w:t xml:space="preserve">, </w:t>
      </w:r>
      <w:r w:rsidRPr="009051A8">
        <w:t>Views adopted on 7 April 1999</w:t>
      </w:r>
      <w:r w:rsidRPr="009051A8">
        <w:rPr>
          <w:lang w:val="en-US"/>
        </w:rPr>
        <w:t>.</w:t>
      </w:r>
    </w:p>
  </w:footnote>
  <w:footnote w:id="10">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rStyle w:val="FootnoteReference"/>
          <w:lang w:val="en-US"/>
        </w:rPr>
        <w:t xml:space="preserve"> </w:t>
      </w:r>
      <w:r w:rsidRPr="009051A8">
        <w:rPr>
          <w:lang w:val="en-US"/>
        </w:rPr>
        <w:tab/>
        <w:t xml:space="preserve">See communication No. 550/93, </w:t>
      </w:r>
      <w:r w:rsidRPr="009051A8">
        <w:rPr>
          <w:i/>
          <w:lang w:val="en-US"/>
        </w:rPr>
        <w:t>Faurisson v. France</w:t>
      </w:r>
      <w:r w:rsidRPr="009051A8">
        <w:rPr>
          <w:lang w:val="en-US"/>
        </w:rPr>
        <w:t xml:space="preserve">, </w:t>
      </w:r>
      <w:r w:rsidRPr="009051A8">
        <w:t>Views adopted on 8 November 1996</w:t>
      </w:r>
      <w:r w:rsidRPr="009051A8">
        <w:rPr>
          <w:lang w:val="en-US"/>
        </w:rPr>
        <w:t>.</w:t>
      </w:r>
    </w:p>
  </w:footnote>
  <w:footnote w:id="11">
    <w:p w:rsidR="002F656F" w:rsidRPr="009051A8" w:rsidRDefault="002F656F" w:rsidP="008A703E">
      <w:pPr>
        <w:pStyle w:val="FootnoteText"/>
        <w:jc w:val="both"/>
        <w:rPr>
          <w:lang w:val="it-IT"/>
        </w:rPr>
      </w:pPr>
      <w:r w:rsidRPr="009051A8">
        <w:rPr>
          <w:lang w:val="it-IT"/>
        </w:rPr>
        <w:tab/>
      </w:r>
      <w:r w:rsidRPr="009051A8">
        <w:rPr>
          <w:rStyle w:val="FootnoteReference"/>
        </w:rPr>
        <w:footnoteRef/>
      </w:r>
      <w:r w:rsidRPr="009051A8">
        <w:rPr>
          <w:lang w:val="it-IT"/>
        </w:rPr>
        <w:t xml:space="preserve"> </w:t>
      </w:r>
      <w:r w:rsidRPr="009051A8">
        <w:rPr>
          <w:lang w:val="it-IT"/>
        </w:rPr>
        <w:tab/>
      </w:r>
      <w:r w:rsidRPr="009051A8">
        <w:rPr>
          <w:lang w:val="en-US"/>
        </w:rPr>
        <w:t xml:space="preserve">See communication </w:t>
      </w:r>
      <w:r w:rsidRPr="009051A8">
        <w:rPr>
          <w:lang w:val="it-IT"/>
        </w:rPr>
        <w:t xml:space="preserve">No. 157/1983, </w:t>
      </w:r>
      <w:r w:rsidRPr="009051A8">
        <w:rPr>
          <w:i/>
          <w:lang w:val="it-IT"/>
        </w:rPr>
        <w:t>Mpaka-Nsusu v. Zaire</w:t>
      </w:r>
      <w:r w:rsidRPr="009051A8">
        <w:rPr>
          <w:lang w:val="it-IT"/>
        </w:rPr>
        <w:t xml:space="preserve">, </w:t>
      </w:r>
      <w:r w:rsidRPr="009051A8">
        <w:t>Views adopted on</w:t>
      </w:r>
      <w:r w:rsidRPr="009051A8">
        <w:rPr>
          <w:lang w:val="it-IT"/>
        </w:rPr>
        <w:t xml:space="preserve"> </w:t>
      </w:r>
      <w:r w:rsidRPr="009051A8">
        <w:t>26 March 1986</w:t>
      </w:r>
      <w:r w:rsidRPr="009051A8">
        <w:rPr>
          <w:lang w:val="it-IT"/>
        </w:rPr>
        <w:t xml:space="preserve">; No. 414/1990, </w:t>
      </w:r>
      <w:r w:rsidRPr="009051A8">
        <w:rPr>
          <w:i/>
          <w:lang w:val="it-IT"/>
        </w:rPr>
        <w:t>Mika Miha v. Equatorial Guinea</w:t>
      </w:r>
      <w:r w:rsidRPr="009051A8">
        <w:rPr>
          <w:lang w:val="it-IT"/>
        </w:rPr>
        <w:t xml:space="preserve">, </w:t>
      </w:r>
      <w:r w:rsidRPr="009051A8">
        <w:t>Views adopted on</w:t>
      </w:r>
      <w:r w:rsidRPr="009051A8">
        <w:rPr>
          <w:lang w:val="it-IT"/>
        </w:rPr>
        <w:t xml:space="preserve"> </w:t>
      </w:r>
      <w:r w:rsidRPr="009051A8">
        <w:t>8 July 1994</w:t>
      </w:r>
      <w:r w:rsidRPr="009051A8">
        <w:rPr>
          <w:lang w:val="it-IT"/>
        </w:rPr>
        <w:t>.</w:t>
      </w:r>
    </w:p>
  </w:footnote>
  <w:footnote w:id="12">
    <w:p w:rsidR="002F656F" w:rsidRPr="009051A8" w:rsidRDefault="002F656F" w:rsidP="008A703E">
      <w:pPr>
        <w:pStyle w:val="FootnoteText"/>
        <w:jc w:val="both"/>
      </w:pPr>
      <w:r w:rsidRPr="009051A8">
        <w:rPr>
          <w:lang w:val="it-IT"/>
        </w:rPr>
        <w:tab/>
      </w:r>
      <w:r w:rsidRPr="009051A8">
        <w:rPr>
          <w:rStyle w:val="FootnoteReference"/>
        </w:rPr>
        <w:footnoteRef/>
      </w:r>
      <w:r w:rsidRPr="009051A8">
        <w:rPr>
          <w:rStyle w:val="FootnoteReference"/>
        </w:rPr>
        <w:t xml:space="preserve"> </w:t>
      </w:r>
      <w:r w:rsidRPr="009051A8">
        <w:tab/>
        <w:t xml:space="preserve">See communication No. 878/1999, </w:t>
      </w:r>
      <w:r w:rsidRPr="009051A8">
        <w:rPr>
          <w:i/>
        </w:rPr>
        <w:t>Kang v. Republic of Korea</w:t>
      </w:r>
      <w:r w:rsidRPr="009051A8">
        <w:t>, Views adopted on 15 July 2003.</w:t>
      </w:r>
    </w:p>
  </w:footnote>
  <w:footnote w:id="13">
    <w:p w:rsidR="002F656F" w:rsidRPr="009051A8" w:rsidRDefault="002F656F" w:rsidP="00370CF7">
      <w:pPr>
        <w:pStyle w:val="FootnoteText"/>
        <w:jc w:val="both"/>
        <w:rPr>
          <w:rStyle w:val="FootnoteReference"/>
          <w:lang w:val="en-US"/>
        </w:rPr>
      </w:pPr>
      <w:r w:rsidRPr="009051A8">
        <w:tab/>
      </w:r>
      <w:r w:rsidRPr="009051A8">
        <w:rPr>
          <w:rStyle w:val="FootnoteReference"/>
        </w:rPr>
        <w:footnoteRef/>
      </w:r>
      <w:r w:rsidRPr="009051A8">
        <w:rPr>
          <w:lang w:val="en-US"/>
        </w:rPr>
        <w:tab/>
      </w:r>
      <w:r w:rsidRPr="009051A8">
        <w:t xml:space="preserve">See communications </w:t>
      </w:r>
      <w:r w:rsidRPr="009051A8">
        <w:rPr>
          <w:lang w:val="en-US"/>
        </w:rPr>
        <w:t xml:space="preserve">Nos. 359/1989 and 385/1989, </w:t>
      </w:r>
      <w:r w:rsidRPr="009051A8">
        <w:rPr>
          <w:i/>
          <w:lang w:val="en-US"/>
        </w:rPr>
        <w:t xml:space="preserve">Ballantyne, Davidson and McIntyre v. </w:t>
      </w:r>
      <w:smartTag w:uri="urn:schemas-microsoft-com:office:smarttags" w:element="place">
        <w:smartTag w:uri="urn:schemas-microsoft-com:office:smarttags" w:element="country-region">
          <w:r w:rsidRPr="009051A8">
            <w:rPr>
              <w:i/>
              <w:lang w:val="en-US"/>
            </w:rPr>
            <w:t>Canada</w:t>
          </w:r>
        </w:smartTag>
      </w:smartTag>
      <w:r w:rsidRPr="009051A8">
        <w:rPr>
          <w:lang w:val="en-US"/>
        </w:rPr>
        <w:t xml:space="preserve">, </w:t>
      </w:r>
      <w:r w:rsidRPr="009051A8">
        <w:t>Views adopted on</w:t>
      </w:r>
      <w:r w:rsidRPr="009051A8">
        <w:rPr>
          <w:lang w:val="en-US"/>
        </w:rPr>
        <w:t xml:space="preserve"> </w:t>
      </w:r>
      <w:r w:rsidRPr="009051A8">
        <w:t>18 October 1990</w:t>
      </w:r>
      <w:r w:rsidRPr="009051A8">
        <w:rPr>
          <w:lang w:val="en-US"/>
        </w:rPr>
        <w:t>.</w:t>
      </w:r>
    </w:p>
  </w:footnote>
  <w:footnote w:id="14">
    <w:p w:rsidR="002F656F" w:rsidRPr="009051A8" w:rsidRDefault="002F656F" w:rsidP="008A703E">
      <w:pPr>
        <w:pStyle w:val="FootnoteText"/>
        <w:jc w:val="both"/>
        <w:rPr>
          <w:lang w:val="en-US"/>
        </w:rPr>
      </w:pPr>
      <w:r w:rsidRPr="009051A8">
        <w:rPr>
          <w:rStyle w:val="FootnoteReference"/>
          <w:lang w:val="en-US"/>
        </w:rPr>
        <w:tab/>
      </w:r>
      <w:r w:rsidRPr="009051A8">
        <w:rPr>
          <w:rStyle w:val="FootnoteReference"/>
        </w:rPr>
        <w:footnoteRef/>
      </w:r>
      <w:r w:rsidRPr="009051A8">
        <w:rPr>
          <w:lang w:val="en-US"/>
        </w:rPr>
        <w:t xml:space="preserve"> </w:t>
      </w:r>
      <w:r w:rsidRPr="009051A8">
        <w:rPr>
          <w:lang w:val="en-US"/>
        </w:rPr>
        <w:tab/>
      </w:r>
      <w:r w:rsidRPr="009051A8">
        <w:t xml:space="preserve">See communication </w:t>
      </w:r>
      <w:r w:rsidRPr="009051A8">
        <w:rPr>
          <w:lang w:val="en-US"/>
        </w:rPr>
        <w:t xml:space="preserve">No. 414/1990, </w:t>
      </w:r>
      <w:r w:rsidRPr="009051A8">
        <w:rPr>
          <w:i/>
          <w:lang w:val="en-US"/>
        </w:rPr>
        <w:t>Mika Miha v. Equatorial Guinea</w:t>
      </w:r>
      <w:r w:rsidRPr="009051A8">
        <w:rPr>
          <w:lang w:val="en-US"/>
        </w:rPr>
        <w:t>.</w:t>
      </w:r>
    </w:p>
  </w:footnote>
  <w:footnote w:id="15">
    <w:p w:rsidR="002F656F" w:rsidRPr="009051A8" w:rsidRDefault="002F656F" w:rsidP="008A703E">
      <w:pPr>
        <w:pStyle w:val="FootnoteText"/>
        <w:jc w:val="both"/>
        <w:rPr>
          <w:lang w:val="en-US"/>
        </w:rPr>
      </w:pPr>
      <w:r w:rsidRPr="009051A8">
        <w:rPr>
          <w:rStyle w:val="FootnoteReference"/>
          <w:lang w:val="en-US"/>
        </w:rPr>
        <w:tab/>
      </w:r>
      <w:r w:rsidRPr="009051A8">
        <w:rPr>
          <w:rStyle w:val="FootnoteReference"/>
        </w:rPr>
        <w:footnoteRef/>
      </w:r>
      <w:r w:rsidRPr="009051A8">
        <w:rPr>
          <w:lang w:val="en-US"/>
        </w:rPr>
        <w:tab/>
      </w:r>
      <w:r w:rsidRPr="009051A8">
        <w:t xml:space="preserve">See communication </w:t>
      </w:r>
      <w:r w:rsidRPr="009051A8">
        <w:rPr>
          <w:lang w:val="en-US"/>
        </w:rPr>
        <w:t xml:space="preserve">No. 1189/2003, </w:t>
      </w:r>
      <w:r w:rsidRPr="009051A8">
        <w:rPr>
          <w:i/>
          <w:lang w:val="en-US"/>
        </w:rPr>
        <w:t xml:space="preserve">Fernando v. </w:t>
      </w:r>
      <w:smartTag w:uri="urn:schemas-microsoft-com:office:smarttags" w:element="place">
        <w:smartTag w:uri="urn:schemas-microsoft-com:office:smarttags" w:element="country-region">
          <w:r w:rsidRPr="009051A8">
            <w:rPr>
              <w:i/>
              <w:lang w:val="en-US"/>
            </w:rPr>
            <w:t>Sri Lanka</w:t>
          </w:r>
        </w:smartTag>
      </w:smartTag>
      <w:r w:rsidRPr="009051A8">
        <w:rPr>
          <w:lang w:val="en-US"/>
        </w:rPr>
        <w:t xml:space="preserve">, </w:t>
      </w:r>
      <w:r w:rsidRPr="009051A8">
        <w:t>Views adopted on</w:t>
      </w:r>
      <w:r w:rsidRPr="009051A8">
        <w:rPr>
          <w:lang w:val="en-US"/>
        </w:rPr>
        <w:t xml:space="preserve"> </w:t>
      </w:r>
      <w:r w:rsidRPr="009051A8">
        <w:t>31 March 2005</w:t>
      </w:r>
      <w:r w:rsidRPr="009051A8">
        <w:rPr>
          <w:lang w:val="en-US"/>
        </w:rPr>
        <w:t>.</w:t>
      </w:r>
    </w:p>
  </w:footnote>
  <w:footnote w:id="16">
    <w:p w:rsidR="002F656F" w:rsidRPr="009051A8" w:rsidRDefault="002F656F" w:rsidP="008A703E">
      <w:pPr>
        <w:pStyle w:val="FootnoteText"/>
        <w:jc w:val="both"/>
      </w:pPr>
      <w:r w:rsidRPr="009051A8">
        <w:rPr>
          <w:lang w:val="en-US"/>
        </w:rPr>
        <w:tab/>
      </w:r>
      <w:r w:rsidRPr="009051A8">
        <w:rPr>
          <w:rStyle w:val="FootnoteReference"/>
        </w:rPr>
        <w:footnoteRef/>
      </w:r>
      <w:r w:rsidRPr="009051A8">
        <w:rPr>
          <w:rStyle w:val="FootnoteReference"/>
        </w:rPr>
        <w:t xml:space="preserve"> </w:t>
      </w:r>
      <w:r w:rsidRPr="009051A8">
        <w:rPr>
          <w:i/>
        </w:rPr>
        <w:tab/>
      </w:r>
      <w:r w:rsidRPr="009051A8">
        <w:t xml:space="preserve">See communication No. 1157/2003, </w:t>
      </w:r>
      <w:r w:rsidRPr="009051A8">
        <w:rPr>
          <w:i/>
        </w:rPr>
        <w:t xml:space="preserve">Coleman v. </w:t>
      </w:r>
      <w:smartTag w:uri="urn:schemas-microsoft-com:office:smarttags" w:element="place">
        <w:smartTag w:uri="urn:schemas-microsoft-com:office:smarttags" w:element="country-region">
          <w:r w:rsidRPr="009051A8">
            <w:rPr>
              <w:i/>
            </w:rPr>
            <w:t>Australia</w:t>
          </w:r>
        </w:smartTag>
      </w:smartTag>
      <w:r w:rsidRPr="009051A8">
        <w:t>, Views adopted on 17 July 2006.</w:t>
      </w:r>
    </w:p>
  </w:footnote>
  <w:footnote w:id="17">
    <w:p w:rsidR="002F656F" w:rsidRPr="009051A8"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t xml:space="preserve">Concluding observations on </w:t>
      </w:r>
      <w:smartTag w:uri="urn:schemas-microsoft-com:office:smarttags" w:element="place">
        <w:smartTag w:uri="urn:schemas-microsoft-com:office:smarttags" w:element="country-region">
          <w:r w:rsidRPr="009051A8">
            <w:t>Japan</w:t>
          </w:r>
        </w:smartTag>
      </w:smartTag>
      <w:r w:rsidRPr="009051A8">
        <w:t xml:space="preserve"> (CCPR/C/JPN/CO/5).</w:t>
      </w:r>
    </w:p>
  </w:footnote>
  <w:footnote w:id="18">
    <w:p w:rsidR="002F656F" w:rsidRPr="009051A8" w:rsidRDefault="002F656F" w:rsidP="008A703E">
      <w:pPr>
        <w:pStyle w:val="FootnoteText"/>
        <w:jc w:val="both"/>
        <w:rPr>
          <w:lang w:val="en-US"/>
        </w:rPr>
      </w:pPr>
      <w:r w:rsidRPr="009051A8">
        <w:tab/>
      </w:r>
      <w:r w:rsidRPr="009051A8">
        <w:rPr>
          <w:rStyle w:val="FootnoteReference"/>
        </w:rPr>
        <w:footnoteRef/>
      </w:r>
      <w:r w:rsidRPr="009051A8">
        <w:rPr>
          <w:rStyle w:val="FootnoteReference"/>
          <w:lang w:val="en-US"/>
        </w:rPr>
        <w:t xml:space="preserve"> </w:t>
      </w:r>
      <w:r w:rsidRPr="009051A8">
        <w:rPr>
          <w:lang w:val="en-US"/>
        </w:rPr>
        <w:tab/>
      </w:r>
      <w:r w:rsidRPr="009051A8">
        <w:t xml:space="preserve">See communication </w:t>
      </w:r>
      <w:r w:rsidRPr="009051A8">
        <w:rPr>
          <w:lang w:val="en-US"/>
        </w:rPr>
        <w:t xml:space="preserve">No. 1022/2001, </w:t>
      </w:r>
      <w:r w:rsidRPr="009051A8">
        <w:rPr>
          <w:i/>
          <w:lang w:val="en-US"/>
        </w:rPr>
        <w:t xml:space="preserve">Velichkin v. </w:t>
      </w:r>
      <w:smartTag w:uri="urn:schemas-microsoft-com:office:smarttags" w:element="place">
        <w:smartTag w:uri="urn:schemas-microsoft-com:office:smarttags" w:element="country-region">
          <w:r w:rsidRPr="009051A8">
            <w:rPr>
              <w:i/>
              <w:lang w:val="en-US"/>
            </w:rPr>
            <w:t>Belarus</w:t>
          </w:r>
        </w:smartTag>
      </w:smartTag>
      <w:r w:rsidRPr="009051A8">
        <w:rPr>
          <w:lang w:val="en-US"/>
        </w:rPr>
        <w:t xml:space="preserve">, </w:t>
      </w:r>
      <w:r w:rsidRPr="009051A8">
        <w:t>Views adopted on</w:t>
      </w:r>
      <w:r w:rsidRPr="009051A8">
        <w:rPr>
          <w:lang w:val="en-US"/>
        </w:rPr>
        <w:t xml:space="preserve"> </w:t>
      </w:r>
      <w:r w:rsidRPr="009051A8">
        <w:t>20 October 2005</w:t>
      </w:r>
      <w:r w:rsidRPr="009051A8">
        <w:rPr>
          <w:lang w:val="en-US"/>
        </w:rPr>
        <w:t>.</w:t>
      </w:r>
    </w:p>
  </w:footnote>
  <w:footnote w:id="19">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rStyle w:val="FootnoteReference"/>
          <w:lang w:val="en-US"/>
        </w:rPr>
        <w:t xml:space="preserve"> </w:t>
      </w:r>
      <w:r w:rsidRPr="009051A8">
        <w:rPr>
          <w:lang w:val="en-US"/>
        </w:rPr>
        <w:tab/>
      </w:r>
      <w:r w:rsidRPr="009051A8">
        <w:t xml:space="preserve">See communication </w:t>
      </w:r>
      <w:r w:rsidRPr="009051A8">
        <w:rPr>
          <w:lang w:val="en-US"/>
        </w:rPr>
        <w:t xml:space="preserve">No. 1334/2004, </w:t>
      </w:r>
      <w:r w:rsidRPr="009051A8">
        <w:rPr>
          <w:i/>
          <w:lang w:val="en-US"/>
        </w:rPr>
        <w:t xml:space="preserve">Mavlonov and Sa’di v. </w:t>
      </w:r>
      <w:smartTag w:uri="urn:schemas-microsoft-com:office:smarttags" w:element="place">
        <w:smartTag w:uri="urn:schemas-microsoft-com:office:smarttags" w:element="country-region">
          <w:r w:rsidRPr="009051A8">
            <w:rPr>
              <w:i/>
              <w:lang w:val="en-US"/>
            </w:rPr>
            <w:t>Uzbekistan</w:t>
          </w:r>
        </w:smartTag>
      </w:smartTag>
      <w:r w:rsidRPr="009051A8">
        <w:rPr>
          <w:lang w:val="en-US"/>
        </w:rPr>
        <w:t xml:space="preserve">, </w:t>
      </w:r>
      <w:r w:rsidRPr="009051A8">
        <w:t>Views adopted on</w:t>
      </w:r>
      <w:r w:rsidRPr="009051A8">
        <w:rPr>
          <w:lang w:val="en-US"/>
        </w:rPr>
        <w:t xml:space="preserve"> </w:t>
      </w:r>
      <w:r w:rsidRPr="009051A8">
        <w:t>19 March 2009</w:t>
      </w:r>
      <w:r w:rsidRPr="009051A8">
        <w:rPr>
          <w:lang w:val="en-US"/>
        </w:rPr>
        <w:t>.</w:t>
      </w:r>
    </w:p>
  </w:footnote>
  <w:footnote w:id="20">
    <w:p w:rsidR="002F656F" w:rsidRPr="009051A8" w:rsidRDefault="002F656F" w:rsidP="008A703E">
      <w:pPr>
        <w:pStyle w:val="FootnoteText"/>
        <w:jc w:val="both"/>
      </w:pPr>
      <w:r w:rsidRPr="009051A8">
        <w:rPr>
          <w:lang w:val="en-US"/>
        </w:rPr>
        <w:tab/>
      </w:r>
      <w:r w:rsidRPr="009051A8">
        <w:rPr>
          <w:rStyle w:val="FootnoteReference"/>
        </w:rPr>
        <w:footnoteRef/>
      </w:r>
      <w:r w:rsidRPr="009051A8">
        <w:t xml:space="preserve"> </w:t>
      </w:r>
      <w:r w:rsidRPr="009051A8">
        <w:tab/>
        <w:t xml:space="preserve">See communication No. 926/2000, </w:t>
      </w:r>
      <w:r w:rsidRPr="009051A8">
        <w:rPr>
          <w:i/>
        </w:rPr>
        <w:t>Shin v. Republic of Korea</w:t>
      </w:r>
      <w:r w:rsidRPr="009051A8">
        <w:t>, Views adopted on 16 March 2004.</w:t>
      </w:r>
    </w:p>
  </w:footnote>
  <w:footnote w:id="21">
    <w:p w:rsidR="002F656F" w:rsidRPr="009051A8" w:rsidRDefault="002F656F" w:rsidP="008A703E">
      <w:pPr>
        <w:pStyle w:val="FootnoteText"/>
        <w:jc w:val="both"/>
        <w:rPr>
          <w:lang w:val="en-US"/>
        </w:rPr>
      </w:pPr>
      <w:r w:rsidRPr="009051A8">
        <w:tab/>
      </w:r>
      <w:r w:rsidRPr="009051A8">
        <w:rPr>
          <w:rStyle w:val="FootnoteReference"/>
        </w:rPr>
        <w:footnoteRef/>
      </w:r>
      <w:r w:rsidRPr="009051A8">
        <w:rPr>
          <w:lang w:val="en-US"/>
        </w:rPr>
        <w:t xml:space="preserve"> </w:t>
      </w:r>
      <w:r w:rsidRPr="009051A8">
        <w:rPr>
          <w:lang w:val="en-US"/>
        </w:rPr>
        <w:tab/>
      </w:r>
      <w:r w:rsidRPr="009051A8">
        <w:t xml:space="preserve">See communication </w:t>
      </w:r>
      <w:r w:rsidRPr="009051A8">
        <w:rPr>
          <w:lang w:val="en-US"/>
        </w:rPr>
        <w:t xml:space="preserve">No. 736/97, </w:t>
      </w:r>
      <w:r w:rsidRPr="009051A8">
        <w:rPr>
          <w:i/>
          <w:lang w:val="en-US"/>
        </w:rPr>
        <w:t>Ross v. Canada</w:t>
      </w:r>
      <w:r w:rsidRPr="009051A8">
        <w:rPr>
          <w:lang w:val="en-US"/>
        </w:rPr>
        <w:t xml:space="preserve">, </w:t>
      </w:r>
      <w:r w:rsidRPr="009051A8">
        <w:t>Views adopted on 18 October 2000</w:t>
      </w:r>
      <w:r w:rsidRPr="009051A8">
        <w:rPr>
          <w:lang w:val="en-US"/>
        </w:rPr>
        <w:t>.</w:t>
      </w:r>
    </w:p>
  </w:footnote>
  <w:footnote w:id="22">
    <w:p w:rsidR="002F656F" w:rsidRPr="009051A8" w:rsidRDefault="002F656F" w:rsidP="008A703E">
      <w:pPr>
        <w:pStyle w:val="FootnoteText"/>
        <w:jc w:val="both"/>
        <w:rPr>
          <w:lang w:val="es-ES_tradnl"/>
        </w:rPr>
      </w:pPr>
      <w:r w:rsidRPr="009051A8">
        <w:tab/>
      </w:r>
      <w:r w:rsidRPr="009051A8">
        <w:rPr>
          <w:rStyle w:val="FootnoteReference"/>
        </w:rPr>
        <w:footnoteRef/>
      </w:r>
      <w:r w:rsidRPr="009051A8">
        <w:rPr>
          <w:rStyle w:val="FootnoteReference"/>
        </w:rPr>
        <w:t xml:space="preserve"> </w:t>
      </w:r>
      <w:r w:rsidRPr="009051A8">
        <w:tab/>
      </w:r>
      <w:r w:rsidRPr="009051A8">
        <w:rPr>
          <w:lang w:val="es-ES_tradnl"/>
        </w:rPr>
        <w:t>Ibid.</w:t>
      </w:r>
    </w:p>
  </w:footnote>
  <w:footnote w:id="23">
    <w:p w:rsidR="002F656F" w:rsidRPr="009051A8" w:rsidRDefault="002F656F" w:rsidP="008A703E">
      <w:pPr>
        <w:pStyle w:val="FootnoteText"/>
        <w:jc w:val="both"/>
        <w:rPr>
          <w:lang w:val="en-US"/>
        </w:rPr>
      </w:pPr>
      <w:r w:rsidRPr="009051A8">
        <w:rPr>
          <w:lang w:val="es-ES_tradnl"/>
        </w:rPr>
        <w:tab/>
      </w:r>
      <w:r w:rsidRPr="009051A8">
        <w:rPr>
          <w:rStyle w:val="FootnoteReference"/>
        </w:rPr>
        <w:footnoteRef/>
      </w:r>
      <w:r w:rsidRPr="009051A8">
        <w:rPr>
          <w:rStyle w:val="FootnoteReference"/>
          <w:lang w:val="en-US"/>
        </w:rPr>
        <w:t xml:space="preserve"> </w:t>
      </w:r>
      <w:r w:rsidRPr="009051A8">
        <w:rPr>
          <w:i/>
          <w:lang w:val="en-US"/>
        </w:rPr>
        <w:tab/>
      </w:r>
      <w:r w:rsidRPr="009051A8">
        <w:t>Ibid</w:t>
      </w:r>
      <w:r w:rsidRPr="009051A8">
        <w:rPr>
          <w:lang w:val="en-US"/>
        </w:rPr>
        <w:t>.</w:t>
      </w:r>
    </w:p>
  </w:footnote>
  <w:footnote w:id="24">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lang w:val="en-US"/>
        </w:rPr>
        <w:t xml:space="preserve"> </w:t>
      </w:r>
      <w:r w:rsidRPr="009051A8">
        <w:rPr>
          <w:lang w:val="en-US"/>
        </w:rPr>
        <w:tab/>
      </w:r>
      <w:r w:rsidRPr="009051A8">
        <w:t xml:space="preserve">See communication </w:t>
      </w:r>
      <w:r w:rsidRPr="009051A8">
        <w:rPr>
          <w:lang w:val="en-US"/>
        </w:rPr>
        <w:t xml:space="preserve">No. 926/2000, </w:t>
      </w:r>
      <w:r w:rsidRPr="009051A8">
        <w:rPr>
          <w:i/>
          <w:lang w:val="en-US"/>
        </w:rPr>
        <w:t>Shin v. Republic of Korea</w:t>
      </w:r>
      <w:r w:rsidRPr="009051A8">
        <w:rPr>
          <w:lang w:val="en-US"/>
        </w:rPr>
        <w:t>.</w:t>
      </w:r>
    </w:p>
  </w:footnote>
  <w:footnote w:id="25">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lang w:val="en-US"/>
        </w:rPr>
        <w:t xml:space="preserve"> </w:t>
      </w:r>
      <w:r w:rsidRPr="009051A8">
        <w:rPr>
          <w:lang w:val="en-US"/>
        </w:rPr>
        <w:tab/>
      </w:r>
      <w:r w:rsidRPr="009051A8">
        <w:t xml:space="preserve">See communication </w:t>
      </w:r>
      <w:r w:rsidRPr="009051A8">
        <w:rPr>
          <w:lang w:val="en-US"/>
        </w:rPr>
        <w:t xml:space="preserve">No. 1341/2005, </w:t>
      </w:r>
      <w:r w:rsidRPr="009051A8">
        <w:rPr>
          <w:i/>
          <w:lang w:val="en-US"/>
        </w:rPr>
        <w:t xml:space="preserve">Zundel v. </w:t>
      </w:r>
      <w:smartTag w:uri="urn:schemas-microsoft-com:office:smarttags" w:element="place">
        <w:smartTag w:uri="urn:schemas-microsoft-com:office:smarttags" w:element="country-region">
          <w:r w:rsidRPr="009051A8">
            <w:rPr>
              <w:i/>
              <w:lang w:val="en-US"/>
            </w:rPr>
            <w:t>Canada</w:t>
          </w:r>
        </w:smartTag>
      </w:smartTag>
      <w:r w:rsidRPr="009051A8">
        <w:rPr>
          <w:lang w:val="en-US"/>
        </w:rPr>
        <w:t xml:space="preserve">, </w:t>
      </w:r>
      <w:r w:rsidRPr="009051A8">
        <w:t>Views adopted on</w:t>
      </w:r>
      <w:r w:rsidRPr="009051A8">
        <w:rPr>
          <w:lang w:val="en-US"/>
        </w:rPr>
        <w:t xml:space="preserve"> </w:t>
      </w:r>
      <w:r w:rsidRPr="009051A8">
        <w:t>20 March 2007</w:t>
      </w:r>
      <w:r w:rsidRPr="009051A8">
        <w:rPr>
          <w:lang w:val="en-US"/>
        </w:rPr>
        <w:t>.</w:t>
      </w:r>
    </w:p>
  </w:footnote>
  <w:footnote w:id="26">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lang w:val="en-US"/>
        </w:rPr>
        <w:t xml:space="preserve"> </w:t>
      </w:r>
      <w:r w:rsidRPr="009051A8">
        <w:rPr>
          <w:lang w:val="en-US"/>
        </w:rPr>
        <w:tab/>
      </w:r>
      <w:r w:rsidRPr="009051A8">
        <w:t xml:space="preserve">See communication </w:t>
      </w:r>
      <w:r w:rsidRPr="009051A8">
        <w:rPr>
          <w:lang w:val="en-US"/>
        </w:rPr>
        <w:t xml:space="preserve">No. 1009/2001, </w:t>
      </w:r>
      <w:r w:rsidRPr="009051A8">
        <w:rPr>
          <w:i/>
          <w:lang w:val="en-US"/>
        </w:rPr>
        <w:t>Shchetoko et al. v. Belarus</w:t>
      </w:r>
      <w:r w:rsidRPr="009051A8">
        <w:rPr>
          <w:lang w:val="en-US"/>
        </w:rPr>
        <w:t xml:space="preserve">, </w:t>
      </w:r>
      <w:r w:rsidRPr="009051A8">
        <w:t>Views adopted on</w:t>
      </w:r>
      <w:r w:rsidRPr="009051A8">
        <w:rPr>
          <w:lang w:val="en-US"/>
        </w:rPr>
        <w:t xml:space="preserve"> </w:t>
      </w:r>
      <w:r w:rsidRPr="009051A8">
        <w:t>11 July 2006</w:t>
      </w:r>
      <w:r w:rsidRPr="009051A8">
        <w:rPr>
          <w:lang w:val="en-US"/>
        </w:rPr>
        <w:t>.</w:t>
      </w:r>
    </w:p>
  </w:footnote>
  <w:footnote w:id="27">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rStyle w:val="FootnoteReference"/>
          <w:lang w:val="en-US"/>
        </w:rPr>
        <w:t xml:space="preserve"> </w:t>
      </w:r>
      <w:r w:rsidRPr="009051A8">
        <w:rPr>
          <w:lang w:val="en-US"/>
        </w:rPr>
        <w:tab/>
      </w:r>
      <w:r w:rsidRPr="009051A8">
        <w:t xml:space="preserve">See communication </w:t>
      </w:r>
      <w:r w:rsidRPr="009051A8">
        <w:rPr>
          <w:lang w:val="en-US"/>
        </w:rPr>
        <w:t xml:space="preserve">No. 412/1990, </w:t>
      </w:r>
      <w:r w:rsidRPr="009051A8">
        <w:rPr>
          <w:i/>
          <w:lang w:val="en-US"/>
        </w:rPr>
        <w:t>Kivenmaa v. Finland</w:t>
      </w:r>
      <w:r w:rsidRPr="009051A8">
        <w:rPr>
          <w:lang w:val="en-US"/>
        </w:rPr>
        <w:t xml:space="preserve">, </w:t>
      </w:r>
      <w:r w:rsidRPr="009051A8">
        <w:t>Views adopted on</w:t>
      </w:r>
      <w:r w:rsidRPr="009051A8">
        <w:rPr>
          <w:lang w:val="en-US"/>
        </w:rPr>
        <w:t xml:space="preserve"> </w:t>
      </w:r>
      <w:r w:rsidRPr="009051A8">
        <w:t>31 March 1994</w:t>
      </w:r>
      <w:r w:rsidRPr="009051A8">
        <w:rPr>
          <w:lang w:val="en-US"/>
        </w:rPr>
        <w:t>.</w:t>
      </w:r>
    </w:p>
  </w:footnote>
  <w:footnote w:id="28">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rStyle w:val="FootnoteReference"/>
          <w:lang w:val="en-US"/>
        </w:rPr>
        <w:t xml:space="preserve"> </w:t>
      </w:r>
      <w:r w:rsidRPr="009051A8">
        <w:rPr>
          <w:lang w:val="en-US"/>
        </w:rPr>
        <w:tab/>
      </w:r>
      <w:r w:rsidRPr="009051A8">
        <w:t xml:space="preserve">See communication </w:t>
      </w:r>
      <w:r w:rsidRPr="009051A8">
        <w:rPr>
          <w:lang w:val="en-US"/>
        </w:rPr>
        <w:t xml:space="preserve">No. 1189/2003, </w:t>
      </w:r>
      <w:r w:rsidRPr="009051A8">
        <w:rPr>
          <w:i/>
          <w:lang w:val="en-US"/>
        </w:rPr>
        <w:t>Fernando v. Sri Lanka</w:t>
      </w:r>
      <w:r w:rsidRPr="009051A8">
        <w:rPr>
          <w:lang w:val="en-US"/>
        </w:rPr>
        <w:t>.</w:t>
      </w:r>
    </w:p>
  </w:footnote>
  <w:footnote w:id="29">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lang w:val="en-US"/>
        </w:rPr>
        <w:t xml:space="preserve"> </w:t>
      </w:r>
      <w:r w:rsidRPr="009051A8">
        <w:rPr>
          <w:lang w:val="en-US"/>
        </w:rPr>
        <w:tab/>
        <w:t xml:space="preserve">See communication No. 1128/2002, </w:t>
      </w:r>
      <w:r w:rsidRPr="009051A8">
        <w:rPr>
          <w:i/>
          <w:lang w:val="en-US"/>
        </w:rPr>
        <w:t xml:space="preserve">Marques v. </w:t>
      </w:r>
      <w:smartTag w:uri="urn:schemas-microsoft-com:office:smarttags" w:element="place">
        <w:smartTag w:uri="urn:schemas-microsoft-com:office:smarttags" w:element="country-region">
          <w:r w:rsidRPr="009051A8">
            <w:rPr>
              <w:i/>
              <w:lang w:val="en-US"/>
            </w:rPr>
            <w:t>Angola</w:t>
          </w:r>
        </w:smartTag>
      </w:smartTag>
      <w:r w:rsidRPr="009051A8">
        <w:rPr>
          <w:lang w:val="en-US"/>
        </w:rPr>
        <w:t xml:space="preserve">, </w:t>
      </w:r>
      <w:r w:rsidRPr="009051A8">
        <w:t>Views adopted on</w:t>
      </w:r>
      <w:r w:rsidRPr="009051A8">
        <w:rPr>
          <w:lang w:val="en-US"/>
        </w:rPr>
        <w:t xml:space="preserve"> </w:t>
      </w:r>
      <w:r w:rsidRPr="009051A8">
        <w:t>29 March 2005</w:t>
      </w:r>
      <w:r w:rsidRPr="009051A8">
        <w:rPr>
          <w:lang w:val="en-US"/>
        </w:rPr>
        <w:t>.</w:t>
      </w:r>
    </w:p>
  </w:footnote>
  <w:footnote w:id="30">
    <w:p w:rsidR="002F656F" w:rsidRPr="009051A8" w:rsidRDefault="002F656F" w:rsidP="008A703E">
      <w:pPr>
        <w:pStyle w:val="FootnoteText"/>
        <w:jc w:val="both"/>
      </w:pPr>
      <w:r w:rsidRPr="009051A8">
        <w:rPr>
          <w:lang w:val="en-US"/>
        </w:rPr>
        <w:tab/>
      </w:r>
      <w:r w:rsidRPr="009051A8">
        <w:rPr>
          <w:rStyle w:val="FootnoteReference"/>
        </w:rPr>
        <w:footnoteRef/>
      </w:r>
      <w:r w:rsidRPr="009051A8">
        <w:rPr>
          <w:rStyle w:val="FootnoteReference"/>
        </w:rPr>
        <w:t xml:space="preserve"> </w:t>
      </w:r>
      <w:r w:rsidRPr="009051A8">
        <w:rPr>
          <w:i/>
        </w:rPr>
        <w:tab/>
      </w:r>
      <w:r w:rsidRPr="009051A8">
        <w:t xml:space="preserve">See communication No. 633/95, </w:t>
      </w:r>
      <w:r w:rsidRPr="009051A8">
        <w:rPr>
          <w:i/>
        </w:rPr>
        <w:t>Gauthier v. Canada</w:t>
      </w:r>
      <w:r w:rsidRPr="009051A8">
        <w:t>.</w:t>
      </w:r>
    </w:p>
  </w:footnote>
  <w:footnote w:id="31">
    <w:p w:rsidR="002F656F" w:rsidRPr="009051A8" w:rsidRDefault="002F656F" w:rsidP="008A703E">
      <w:pPr>
        <w:pStyle w:val="FootnoteText"/>
        <w:jc w:val="both"/>
        <w:rPr>
          <w:lang w:val="en-US"/>
        </w:rPr>
      </w:pPr>
      <w:r w:rsidRPr="009051A8">
        <w:tab/>
      </w:r>
      <w:r w:rsidRPr="009051A8">
        <w:rPr>
          <w:rStyle w:val="FootnoteReference"/>
        </w:rPr>
        <w:footnoteRef/>
      </w:r>
      <w:r w:rsidRPr="009051A8">
        <w:rPr>
          <w:rStyle w:val="FootnoteReference"/>
        </w:rPr>
        <w:t xml:space="preserve"> </w:t>
      </w:r>
      <w:r w:rsidRPr="009051A8">
        <w:tab/>
        <w:t xml:space="preserve">See </w:t>
      </w:r>
      <w:r w:rsidRPr="009051A8">
        <w:rPr>
          <w:lang w:val="en-US"/>
        </w:rPr>
        <w:t xml:space="preserve">the Committee’s </w:t>
      </w:r>
      <w:r w:rsidRPr="009051A8">
        <w:t>general comment No. 25 (1996) on article 25 (Participation in public affairs and the right to vote</w:t>
      </w:r>
      <w:r w:rsidRPr="009051A8">
        <w:rPr>
          <w:lang w:val="en-US"/>
        </w:rPr>
        <w:t>),</w:t>
      </w:r>
      <w:r w:rsidRPr="009051A8">
        <w:t xml:space="preserve"> para. 25</w:t>
      </w:r>
      <w:r w:rsidRPr="00087D95">
        <w:t>,</w:t>
      </w:r>
      <w:r w:rsidRPr="009051A8">
        <w:t xml:space="preserve"> </w:t>
      </w:r>
      <w:r w:rsidRPr="009051A8">
        <w:rPr>
          <w:i/>
          <w:lang w:val="en-US"/>
        </w:rPr>
        <w:t>Official Records of the General Assembly, Fifty-first Session, Supplement No. 40</w:t>
      </w:r>
      <w:r w:rsidRPr="009051A8">
        <w:rPr>
          <w:lang w:val="en-US"/>
        </w:rPr>
        <w:t>, vol. I (A/51/40 (Vol. I)), annex V.</w:t>
      </w:r>
    </w:p>
  </w:footnote>
  <w:footnote w:id="32">
    <w:p w:rsidR="002F656F" w:rsidRPr="009051A8" w:rsidRDefault="002F656F" w:rsidP="008A703E">
      <w:pPr>
        <w:pStyle w:val="FootnoteText"/>
        <w:jc w:val="both"/>
        <w:rPr>
          <w:lang w:val="en-US"/>
        </w:rPr>
      </w:pPr>
      <w:r w:rsidRPr="009051A8">
        <w:tab/>
      </w:r>
      <w:r w:rsidRPr="009051A8">
        <w:rPr>
          <w:rStyle w:val="FootnoteReference"/>
        </w:rPr>
        <w:footnoteRef/>
      </w:r>
      <w:r w:rsidRPr="009051A8">
        <w:rPr>
          <w:lang w:val="en-US"/>
        </w:rPr>
        <w:tab/>
      </w:r>
      <w:r w:rsidRPr="009051A8">
        <w:t xml:space="preserve">See communication </w:t>
      </w:r>
      <w:r w:rsidRPr="009051A8">
        <w:rPr>
          <w:lang w:val="en-US"/>
        </w:rPr>
        <w:t xml:space="preserve">No. 1334/2004, </w:t>
      </w:r>
      <w:r w:rsidRPr="009051A8">
        <w:rPr>
          <w:i/>
          <w:lang w:val="en-US"/>
        </w:rPr>
        <w:t>Mavlonov and Sa’di v. Uzbekistan</w:t>
      </w:r>
      <w:r w:rsidRPr="009051A8">
        <w:rPr>
          <w:lang w:val="en-US"/>
        </w:rPr>
        <w:t>.</w:t>
      </w:r>
    </w:p>
  </w:footnote>
  <w:footnote w:id="33">
    <w:p w:rsidR="002F656F" w:rsidRPr="009051A8" w:rsidRDefault="002F656F" w:rsidP="008A703E">
      <w:pPr>
        <w:pStyle w:val="FootnoteText"/>
        <w:jc w:val="both"/>
      </w:pPr>
      <w:r w:rsidRPr="009051A8">
        <w:rPr>
          <w:lang w:val="en-US"/>
        </w:rPr>
        <w:tab/>
      </w:r>
      <w:r w:rsidRPr="009051A8">
        <w:rPr>
          <w:rStyle w:val="FootnoteReference"/>
        </w:rPr>
        <w:footnoteRef/>
      </w:r>
      <w:r w:rsidRPr="009051A8">
        <w:t xml:space="preserve"> </w:t>
      </w:r>
      <w:r w:rsidRPr="009051A8">
        <w:tab/>
        <w:t xml:space="preserve">Concluding observations on </w:t>
      </w:r>
      <w:smartTag w:uri="urn:schemas-microsoft-com:office:smarttags" w:element="place">
        <w:smartTag w:uri="urn:schemas-microsoft-com:office:smarttags" w:element="PlaceType">
          <w:r w:rsidRPr="009051A8">
            <w:t>Republic</w:t>
          </w:r>
        </w:smartTag>
        <w:r w:rsidRPr="009051A8">
          <w:t xml:space="preserve"> of </w:t>
        </w:r>
        <w:smartTag w:uri="urn:schemas-microsoft-com:office:smarttags" w:element="PlaceName">
          <w:r w:rsidRPr="009051A8">
            <w:t>Moldova</w:t>
          </w:r>
        </w:smartTag>
      </w:smartTag>
      <w:r w:rsidRPr="009051A8">
        <w:t xml:space="preserve"> (CCPR/CO/75/MDA).</w:t>
      </w:r>
    </w:p>
  </w:footnote>
  <w:footnote w:id="34">
    <w:p w:rsidR="002F656F" w:rsidRPr="009051A8" w:rsidRDefault="002F656F" w:rsidP="008A703E">
      <w:pPr>
        <w:pStyle w:val="FootnoteText"/>
        <w:jc w:val="both"/>
        <w:rPr>
          <w:lang w:val="en-US"/>
        </w:rPr>
      </w:pPr>
      <w:r w:rsidRPr="009051A8">
        <w:tab/>
      </w:r>
      <w:r w:rsidRPr="009051A8">
        <w:rPr>
          <w:rStyle w:val="FootnoteReference"/>
        </w:rPr>
        <w:footnoteRef/>
      </w:r>
      <w:r w:rsidRPr="009051A8">
        <w:rPr>
          <w:rStyle w:val="FootnoteReference"/>
          <w:lang w:val="en-US"/>
        </w:rPr>
        <w:t xml:space="preserve"> </w:t>
      </w:r>
      <w:r w:rsidRPr="009051A8">
        <w:rPr>
          <w:lang w:val="en-US"/>
        </w:rPr>
        <w:tab/>
      </w:r>
      <w:r w:rsidRPr="009051A8">
        <w:t xml:space="preserve">See communication </w:t>
      </w:r>
      <w:r w:rsidRPr="009051A8">
        <w:rPr>
          <w:lang w:val="en-US"/>
        </w:rPr>
        <w:t xml:space="preserve">No. 633/95, </w:t>
      </w:r>
      <w:r w:rsidRPr="009051A8">
        <w:rPr>
          <w:i/>
          <w:lang w:val="en-US"/>
        </w:rPr>
        <w:t>Gauthier v. Canada</w:t>
      </w:r>
      <w:r w:rsidRPr="009051A8">
        <w:rPr>
          <w:lang w:val="en-US"/>
        </w:rPr>
        <w:t>.</w:t>
      </w:r>
    </w:p>
  </w:footnote>
  <w:footnote w:id="35">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lang w:val="en-US"/>
        </w:rPr>
        <w:tab/>
      </w:r>
      <w:r w:rsidRPr="009051A8">
        <w:t xml:space="preserve">See communication </w:t>
      </w:r>
      <w:r w:rsidRPr="009051A8">
        <w:rPr>
          <w:lang w:val="en-US"/>
        </w:rPr>
        <w:t xml:space="preserve">No. 1334/2004, </w:t>
      </w:r>
      <w:r w:rsidRPr="009051A8">
        <w:rPr>
          <w:i/>
          <w:lang w:val="en-US"/>
        </w:rPr>
        <w:t>Mavlonov and Sa’di v. Uzbekistan</w:t>
      </w:r>
      <w:r w:rsidRPr="009051A8">
        <w:rPr>
          <w:lang w:val="en-US"/>
        </w:rPr>
        <w:t>.</w:t>
      </w:r>
    </w:p>
  </w:footnote>
  <w:footnote w:id="36">
    <w:p w:rsidR="002F656F" w:rsidRPr="009051A8" w:rsidRDefault="002F656F" w:rsidP="008A703E">
      <w:pPr>
        <w:pStyle w:val="FootnoteText"/>
        <w:jc w:val="both"/>
      </w:pPr>
      <w:r w:rsidRPr="009051A8">
        <w:rPr>
          <w:lang w:val="en-US"/>
        </w:rPr>
        <w:tab/>
      </w:r>
      <w:r w:rsidRPr="009051A8">
        <w:rPr>
          <w:rStyle w:val="FootnoteReference"/>
        </w:rPr>
        <w:footnoteRef/>
      </w:r>
      <w:r w:rsidRPr="009051A8">
        <w:rPr>
          <w:rStyle w:val="FootnoteReference"/>
        </w:rPr>
        <w:t xml:space="preserve"> </w:t>
      </w:r>
      <w:r w:rsidRPr="009051A8">
        <w:tab/>
        <w:t xml:space="preserve">See communication No. 726/1996, </w:t>
      </w:r>
      <w:r w:rsidRPr="009051A8">
        <w:rPr>
          <w:i/>
        </w:rPr>
        <w:t>Zheludkov v. Ukraine</w:t>
      </w:r>
      <w:r w:rsidRPr="009051A8">
        <w:t>, Views adopted on 29 October 2002.</w:t>
      </w:r>
    </w:p>
  </w:footnote>
  <w:footnote w:id="37">
    <w:p w:rsidR="002F656F" w:rsidRPr="009051A8" w:rsidRDefault="002F656F" w:rsidP="008A703E">
      <w:pPr>
        <w:pStyle w:val="FootnoteText"/>
        <w:jc w:val="both"/>
      </w:pPr>
      <w:r w:rsidRPr="009051A8">
        <w:tab/>
      </w:r>
      <w:r w:rsidRPr="009051A8">
        <w:rPr>
          <w:rStyle w:val="FootnoteReference"/>
        </w:rPr>
        <w:footnoteRef/>
      </w:r>
      <w:r w:rsidRPr="009051A8">
        <w:tab/>
        <w:t xml:space="preserve">See </w:t>
      </w:r>
      <w:r w:rsidRPr="009051A8">
        <w:rPr>
          <w:lang w:val="en-US"/>
        </w:rPr>
        <w:t xml:space="preserve">the Committee’s </w:t>
      </w:r>
      <w:r w:rsidRPr="009051A8">
        <w:t xml:space="preserve">general comment No. 32 (2007) </w:t>
      </w:r>
      <w:r w:rsidRPr="009051A8">
        <w:rPr>
          <w:snapToGrid w:val="0"/>
          <w:szCs w:val="24"/>
        </w:rPr>
        <w:t>on the right to equality before courts and tribunals and to a fair trial</w:t>
      </w:r>
      <w:r w:rsidRPr="009051A8">
        <w:t xml:space="preserve">, para. 33, </w:t>
      </w:r>
      <w:r w:rsidRPr="009051A8">
        <w:rPr>
          <w:i/>
        </w:rPr>
        <w:t>Official Records of the General Assembly, Sixty-second Session, Supplement No. 40, vol. I (A/62/40 (Vol. I)), annex VI</w:t>
      </w:r>
    </w:p>
  </w:footnote>
  <w:footnote w:id="38">
    <w:p w:rsidR="002F656F" w:rsidRPr="009051A8"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t>General comment No. 31.</w:t>
      </w:r>
    </w:p>
  </w:footnote>
  <w:footnote w:id="39">
    <w:p w:rsidR="002F656F" w:rsidRPr="009051A8" w:rsidRDefault="002F656F" w:rsidP="008A703E">
      <w:pPr>
        <w:pStyle w:val="FootnoteText"/>
        <w:jc w:val="both"/>
        <w:rPr>
          <w:lang w:val="en-US"/>
        </w:rPr>
      </w:pPr>
      <w:r w:rsidRPr="009051A8">
        <w:tab/>
      </w:r>
      <w:r w:rsidRPr="009051A8">
        <w:rPr>
          <w:rStyle w:val="FootnoteReference"/>
        </w:rPr>
        <w:footnoteRef/>
      </w:r>
      <w:r w:rsidRPr="009051A8">
        <w:rPr>
          <w:lang w:val="en-US"/>
        </w:rPr>
        <w:t xml:space="preserve"> </w:t>
      </w:r>
      <w:r w:rsidRPr="009051A8">
        <w:rPr>
          <w:i/>
          <w:lang w:val="en-US"/>
        </w:rPr>
        <w:tab/>
      </w:r>
      <w:r w:rsidRPr="009051A8">
        <w:t xml:space="preserve">See communication </w:t>
      </w:r>
      <w:r w:rsidRPr="009051A8">
        <w:rPr>
          <w:lang w:val="en-US"/>
        </w:rPr>
        <w:t xml:space="preserve">No. 1457/2006, </w:t>
      </w:r>
      <w:r w:rsidRPr="009051A8">
        <w:rPr>
          <w:i/>
          <w:lang w:val="en-US"/>
        </w:rPr>
        <w:t xml:space="preserve">Poma v. </w:t>
      </w:r>
      <w:smartTag w:uri="urn:schemas-microsoft-com:office:smarttags" w:element="place">
        <w:smartTag w:uri="urn:schemas-microsoft-com:office:smarttags" w:element="country-region">
          <w:r w:rsidRPr="009051A8">
            <w:rPr>
              <w:i/>
              <w:lang w:val="en-US"/>
            </w:rPr>
            <w:t>Peru</w:t>
          </w:r>
        </w:smartTag>
      </w:smartTag>
      <w:r w:rsidRPr="009051A8">
        <w:rPr>
          <w:lang w:val="en-US"/>
        </w:rPr>
        <w:t xml:space="preserve">, </w:t>
      </w:r>
      <w:r w:rsidRPr="009051A8">
        <w:t>Views adopted on</w:t>
      </w:r>
      <w:r w:rsidRPr="009051A8">
        <w:rPr>
          <w:lang w:val="en-US"/>
        </w:rPr>
        <w:t xml:space="preserve"> </w:t>
      </w:r>
      <w:r w:rsidRPr="009051A8">
        <w:t>27 March 2009</w:t>
      </w:r>
      <w:r w:rsidRPr="009051A8">
        <w:rPr>
          <w:lang w:val="en-US"/>
        </w:rPr>
        <w:t>.</w:t>
      </w:r>
    </w:p>
  </w:footnote>
  <w:footnote w:id="40">
    <w:p w:rsidR="002F656F" w:rsidRPr="009051A8" w:rsidRDefault="002F656F" w:rsidP="00151691">
      <w:pPr>
        <w:pStyle w:val="FootnoteText"/>
        <w:jc w:val="both"/>
      </w:pPr>
      <w:r w:rsidRPr="009051A8">
        <w:rPr>
          <w:lang w:val="en-US"/>
        </w:rPr>
        <w:tab/>
      </w:r>
      <w:r w:rsidRPr="009051A8">
        <w:rPr>
          <w:rStyle w:val="FootnoteReference"/>
        </w:rPr>
        <w:footnoteRef/>
      </w:r>
      <w:r w:rsidRPr="009051A8">
        <w:t xml:space="preserve"> </w:t>
      </w:r>
      <w:r w:rsidRPr="009051A8">
        <w:tab/>
        <w:t xml:space="preserve">Concluding observations on </w:t>
      </w:r>
      <w:smartTag w:uri="urn:schemas-microsoft-com:office:smarttags" w:element="place">
        <w:smartTag w:uri="urn:schemas-microsoft-com:office:smarttags" w:element="country-region">
          <w:r w:rsidRPr="009051A8">
            <w:t>Azerbaijan</w:t>
          </w:r>
        </w:smartTag>
      </w:smartTag>
      <w:r w:rsidRPr="009051A8">
        <w:t xml:space="preserve"> (CCPR/C/79/Add.38 (1994)). </w:t>
      </w:r>
    </w:p>
  </w:footnote>
  <w:footnote w:id="41">
    <w:p w:rsidR="002F656F" w:rsidRPr="009051A8" w:rsidRDefault="002F656F" w:rsidP="00E264E2">
      <w:pPr>
        <w:pStyle w:val="FootnoteText"/>
        <w:jc w:val="both"/>
      </w:pPr>
      <w:r w:rsidRPr="009051A8">
        <w:tab/>
      </w:r>
      <w:r w:rsidRPr="009051A8">
        <w:rPr>
          <w:rStyle w:val="FootnoteReference"/>
        </w:rPr>
        <w:footnoteRef/>
      </w:r>
      <w:r w:rsidRPr="009051A8">
        <w:tab/>
        <w:t xml:space="preserve">See General comment No. 25 on article 25 of the Covenant, para. 25.  </w:t>
      </w:r>
    </w:p>
  </w:footnote>
  <w:footnote w:id="42">
    <w:p w:rsidR="002F656F" w:rsidRPr="009051A8" w:rsidRDefault="002F656F" w:rsidP="00CF10CB">
      <w:pPr>
        <w:pStyle w:val="FootnoteText"/>
        <w:jc w:val="both"/>
      </w:pPr>
      <w:r w:rsidRPr="009051A8">
        <w:tab/>
      </w:r>
      <w:r w:rsidRPr="009051A8">
        <w:rPr>
          <w:rStyle w:val="FootnoteReference"/>
        </w:rPr>
        <w:footnoteRef/>
      </w:r>
      <w:r w:rsidRPr="009051A8">
        <w:rPr>
          <w:rStyle w:val="FootnoteReference"/>
        </w:rPr>
        <w:t xml:space="preserve"> </w:t>
      </w:r>
      <w:r w:rsidRPr="009051A8">
        <w:tab/>
        <w:t xml:space="preserve">See </w:t>
      </w:r>
      <w:r w:rsidRPr="009051A8">
        <w:rPr>
          <w:lang w:val="en-US"/>
        </w:rPr>
        <w:t xml:space="preserve">the Committee’s </w:t>
      </w:r>
      <w:r w:rsidRPr="009051A8">
        <w:t xml:space="preserve">general comment No. 27 </w:t>
      </w:r>
      <w:r w:rsidRPr="009051A8">
        <w:rPr>
          <w:snapToGrid w:val="0"/>
          <w:szCs w:val="24"/>
        </w:rPr>
        <w:t>on article 12</w:t>
      </w:r>
      <w:r w:rsidRPr="009051A8">
        <w:t xml:space="preserve">, </w:t>
      </w:r>
      <w:r w:rsidRPr="009051A8">
        <w:rPr>
          <w:i/>
          <w:iCs/>
        </w:rPr>
        <w:t>Official Records of the General Assembly, Fifty-fifth Session, Supplement No. 40</w:t>
      </w:r>
      <w:r w:rsidRPr="009051A8">
        <w:rPr>
          <w:iCs/>
        </w:rPr>
        <w:t>,</w:t>
      </w:r>
      <w:r w:rsidRPr="009051A8">
        <w:t xml:space="preserve"> </w:t>
      </w:r>
      <w:r w:rsidRPr="009051A8">
        <w:rPr>
          <w:iCs/>
        </w:rPr>
        <w:t>vol. I</w:t>
      </w:r>
      <w:r w:rsidRPr="009051A8">
        <w:rPr>
          <w:i/>
          <w:iCs/>
        </w:rPr>
        <w:t xml:space="preserve"> </w:t>
      </w:r>
      <w:r w:rsidRPr="009051A8">
        <w:t>(A/55/40 (Vol. I)), annex VI, sect. A</w:t>
      </w:r>
    </w:p>
  </w:footnote>
  <w:footnote w:id="43">
    <w:p w:rsidR="002F656F" w:rsidRPr="009051A8" w:rsidRDefault="002F656F" w:rsidP="008A703E">
      <w:pPr>
        <w:pStyle w:val="FootnoteText"/>
        <w:jc w:val="both"/>
        <w:rPr>
          <w:lang w:val="en-US"/>
        </w:rPr>
      </w:pPr>
      <w:r w:rsidRPr="009051A8">
        <w:rPr>
          <w:rStyle w:val="FootnoteReference"/>
          <w:lang w:val="en-US"/>
        </w:rPr>
        <w:tab/>
      </w:r>
      <w:r w:rsidRPr="009051A8">
        <w:rPr>
          <w:rStyle w:val="FootnoteReference"/>
        </w:rPr>
        <w:footnoteRef/>
      </w:r>
      <w:r w:rsidRPr="009051A8">
        <w:rPr>
          <w:rStyle w:val="FootnoteReference"/>
        </w:rPr>
        <w:t xml:space="preserve"> </w:t>
      </w:r>
      <w:r w:rsidRPr="009051A8">
        <w:tab/>
        <w:t xml:space="preserve">See communication </w:t>
      </w:r>
      <w:r w:rsidRPr="009051A8">
        <w:rPr>
          <w:lang w:val="en-US"/>
        </w:rPr>
        <w:t xml:space="preserve">No. 1022/2001, </w:t>
      </w:r>
      <w:r w:rsidRPr="009051A8">
        <w:rPr>
          <w:i/>
          <w:lang w:val="en-US"/>
        </w:rPr>
        <w:t xml:space="preserve">Velichkin v. </w:t>
      </w:r>
      <w:smartTag w:uri="urn:schemas-microsoft-com:office:smarttags" w:element="place">
        <w:smartTag w:uri="urn:schemas-microsoft-com:office:smarttags" w:element="country-region">
          <w:r w:rsidRPr="009051A8">
            <w:rPr>
              <w:i/>
              <w:lang w:val="en-US"/>
            </w:rPr>
            <w:t>Belarus</w:t>
          </w:r>
        </w:smartTag>
      </w:smartTag>
      <w:r w:rsidRPr="009051A8">
        <w:rPr>
          <w:lang w:val="en-US"/>
        </w:rPr>
        <w:t xml:space="preserve">, </w:t>
      </w:r>
      <w:r w:rsidRPr="009051A8">
        <w:t>Views adopted on</w:t>
      </w:r>
      <w:r w:rsidRPr="009051A8">
        <w:rPr>
          <w:lang w:val="en-US"/>
        </w:rPr>
        <w:t xml:space="preserve"> </w:t>
      </w:r>
      <w:r w:rsidRPr="009051A8">
        <w:t>20 October 2005</w:t>
      </w:r>
      <w:r w:rsidRPr="009051A8">
        <w:rPr>
          <w:lang w:val="en-US"/>
        </w:rPr>
        <w:t>.</w:t>
      </w:r>
    </w:p>
  </w:footnote>
  <w:footnote w:id="44">
    <w:p w:rsidR="002F656F" w:rsidRPr="009051A8" w:rsidRDefault="002F656F" w:rsidP="008A703E">
      <w:pPr>
        <w:pStyle w:val="FootnoteText"/>
        <w:jc w:val="both"/>
        <w:rPr>
          <w:szCs w:val="21"/>
        </w:rPr>
      </w:pPr>
      <w:r w:rsidRPr="009051A8">
        <w:rPr>
          <w:szCs w:val="21"/>
        </w:rPr>
        <w:tab/>
      </w:r>
      <w:r w:rsidRPr="009051A8">
        <w:rPr>
          <w:rStyle w:val="FootnoteReference"/>
        </w:rPr>
        <w:footnoteRef/>
      </w:r>
      <w:r w:rsidRPr="009051A8">
        <w:rPr>
          <w:szCs w:val="21"/>
        </w:rPr>
        <w:tab/>
        <w:t xml:space="preserve">See </w:t>
      </w:r>
      <w:r w:rsidRPr="009051A8">
        <w:rPr>
          <w:lang w:val="en-US"/>
        </w:rPr>
        <w:t xml:space="preserve">the Committee’s </w:t>
      </w:r>
      <w:r w:rsidRPr="009051A8">
        <w:rPr>
          <w:szCs w:val="21"/>
        </w:rPr>
        <w:t xml:space="preserve">general comment No. 22, </w:t>
      </w:r>
      <w:r w:rsidRPr="009051A8">
        <w:rPr>
          <w:i/>
          <w:iCs/>
        </w:rPr>
        <w:t>Official Records of the General Assembly, Forty-eighth Session, Supplement No. 40</w:t>
      </w:r>
      <w:r w:rsidRPr="009051A8">
        <w:t xml:space="preserve"> (A/48/40), annex VI</w:t>
      </w:r>
    </w:p>
  </w:footnote>
  <w:footnote w:id="45">
    <w:p w:rsidR="002F656F" w:rsidRPr="009051A8" w:rsidRDefault="002F656F" w:rsidP="00E264E2">
      <w:pPr>
        <w:pStyle w:val="FootnoteText"/>
        <w:jc w:val="both"/>
        <w:rPr>
          <w:szCs w:val="21"/>
        </w:rPr>
      </w:pPr>
      <w:r w:rsidRPr="009051A8">
        <w:rPr>
          <w:szCs w:val="21"/>
        </w:rPr>
        <w:tab/>
      </w:r>
      <w:r w:rsidRPr="009051A8">
        <w:rPr>
          <w:rStyle w:val="FootnoteReference"/>
        </w:rPr>
        <w:footnoteRef/>
      </w:r>
      <w:r w:rsidRPr="009051A8">
        <w:rPr>
          <w:rStyle w:val="FootnoteReference"/>
        </w:rPr>
        <w:tab/>
      </w:r>
      <w:r w:rsidRPr="009051A8">
        <w:t xml:space="preserve">See communication </w:t>
      </w:r>
      <w:r w:rsidRPr="009051A8">
        <w:rPr>
          <w:szCs w:val="21"/>
        </w:rPr>
        <w:t xml:space="preserve">No. 458/91, </w:t>
      </w:r>
      <w:r w:rsidRPr="009051A8">
        <w:rPr>
          <w:i/>
          <w:szCs w:val="21"/>
        </w:rPr>
        <w:t>Mukong v. Cameroon</w:t>
      </w:r>
      <w:r w:rsidRPr="009051A8">
        <w:rPr>
          <w:szCs w:val="21"/>
        </w:rPr>
        <w:t xml:space="preserve">, </w:t>
      </w:r>
      <w:r w:rsidRPr="009051A8">
        <w:t>Views adopted on</w:t>
      </w:r>
      <w:r w:rsidRPr="009051A8">
        <w:rPr>
          <w:szCs w:val="21"/>
        </w:rPr>
        <w:t xml:space="preserve"> </w:t>
      </w:r>
      <w:r w:rsidRPr="009051A8">
        <w:t>21 July 1994</w:t>
      </w:r>
      <w:r w:rsidRPr="009051A8">
        <w:rPr>
          <w:szCs w:val="21"/>
        </w:rPr>
        <w:t>.</w:t>
      </w:r>
    </w:p>
  </w:footnote>
  <w:footnote w:id="46">
    <w:p w:rsidR="002F656F" w:rsidRPr="009051A8" w:rsidRDefault="002F656F" w:rsidP="00E264E2">
      <w:pPr>
        <w:pStyle w:val="FootnoteText"/>
        <w:jc w:val="both"/>
        <w:rPr>
          <w:szCs w:val="21"/>
        </w:rPr>
      </w:pPr>
      <w:r w:rsidRPr="009051A8">
        <w:rPr>
          <w:szCs w:val="21"/>
        </w:rPr>
        <w:tab/>
      </w:r>
      <w:r w:rsidRPr="009051A8">
        <w:rPr>
          <w:rStyle w:val="FootnoteReference"/>
        </w:rPr>
        <w:footnoteRef/>
      </w:r>
      <w:r w:rsidRPr="009051A8">
        <w:rPr>
          <w:szCs w:val="21"/>
        </w:rPr>
        <w:tab/>
      </w:r>
      <w:r w:rsidRPr="009051A8">
        <w:t xml:space="preserve">See communication </w:t>
      </w:r>
      <w:r w:rsidRPr="009051A8">
        <w:rPr>
          <w:szCs w:val="21"/>
        </w:rPr>
        <w:t xml:space="preserve">No. 1353/2005, </w:t>
      </w:r>
      <w:r w:rsidRPr="009051A8">
        <w:rPr>
          <w:i/>
          <w:szCs w:val="21"/>
        </w:rPr>
        <w:t xml:space="preserve">Njaru v. </w:t>
      </w:r>
      <w:smartTag w:uri="urn:schemas-microsoft-com:office:smarttags" w:element="place">
        <w:smartTag w:uri="urn:schemas-microsoft-com:office:smarttags" w:element="country-region">
          <w:r w:rsidRPr="009051A8">
            <w:rPr>
              <w:i/>
              <w:szCs w:val="21"/>
            </w:rPr>
            <w:t>Cameroon</w:t>
          </w:r>
        </w:smartTag>
      </w:smartTag>
      <w:r w:rsidRPr="009051A8">
        <w:rPr>
          <w:szCs w:val="21"/>
        </w:rPr>
        <w:t xml:space="preserve">, </w:t>
      </w:r>
      <w:r w:rsidRPr="009051A8">
        <w:t>Views adopted on 19 March 2007</w:t>
      </w:r>
      <w:r w:rsidRPr="009051A8">
        <w:rPr>
          <w:szCs w:val="21"/>
        </w:rPr>
        <w:t>.</w:t>
      </w:r>
    </w:p>
  </w:footnote>
  <w:footnote w:id="47">
    <w:p w:rsidR="002F656F" w:rsidRPr="009051A8" w:rsidRDefault="002F656F" w:rsidP="008A703E">
      <w:pPr>
        <w:pStyle w:val="FootnoteText"/>
        <w:jc w:val="both"/>
        <w:rPr>
          <w:szCs w:val="21"/>
        </w:rPr>
      </w:pPr>
      <w:r w:rsidRPr="009051A8">
        <w:rPr>
          <w:szCs w:val="21"/>
        </w:rPr>
        <w:tab/>
      </w:r>
      <w:r w:rsidRPr="009051A8">
        <w:rPr>
          <w:rStyle w:val="FootnoteReference"/>
        </w:rPr>
        <w:footnoteRef/>
      </w:r>
      <w:r w:rsidRPr="009051A8">
        <w:rPr>
          <w:szCs w:val="21"/>
        </w:rPr>
        <w:t xml:space="preserve"> </w:t>
      </w:r>
      <w:r w:rsidRPr="009051A8">
        <w:rPr>
          <w:szCs w:val="21"/>
        </w:rPr>
        <w:tab/>
        <w:t xml:space="preserve">See, for instance, concluding observations on </w:t>
      </w:r>
      <w:smartTag w:uri="urn:schemas-microsoft-com:office:smarttags" w:element="country-region">
        <w:r w:rsidRPr="009051A8">
          <w:rPr>
            <w:szCs w:val="21"/>
          </w:rPr>
          <w:t>Algeria</w:t>
        </w:r>
      </w:smartTag>
      <w:r w:rsidRPr="009051A8">
        <w:rPr>
          <w:szCs w:val="21"/>
        </w:rPr>
        <w:t xml:space="preserve"> (CCPR/C/DZA/CO/3); concluding observations on </w:t>
      </w:r>
      <w:smartTag w:uri="urn:schemas-microsoft-com:office:smarttags" w:element="country-region">
        <w:r w:rsidRPr="009051A8">
          <w:rPr>
            <w:szCs w:val="21"/>
          </w:rPr>
          <w:t>Costa Rica</w:t>
        </w:r>
      </w:smartTag>
      <w:r w:rsidRPr="009051A8">
        <w:rPr>
          <w:szCs w:val="21"/>
        </w:rPr>
        <w:t xml:space="preserve"> (CCPR/C/CRI/CO/5); concluding observations on </w:t>
      </w:r>
      <w:smartTag w:uri="urn:schemas-microsoft-com:office:smarttags" w:element="place">
        <w:smartTag w:uri="urn:schemas-microsoft-com:office:smarttags" w:element="country-region">
          <w:r w:rsidRPr="009051A8">
            <w:rPr>
              <w:szCs w:val="21"/>
            </w:rPr>
            <w:t>Sudan</w:t>
          </w:r>
        </w:smartTag>
      </w:smartTag>
      <w:r w:rsidRPr="009051A8">
        <w:rPr>
          <w:szCs w:val="21"/>
        </w:rPr>
        <w:t xml:space="preserve"> (CCPR/C/SDN/CO/3).</w:t>
      </w:r>
    </w:p>
  </w:footnote>
  <w:footnote w:id="48">
    <w:p w:rsidR="002F656F" w:rsidRPr="009051A8" w:rsidRDefault="002F656F" w:rsidP="008A703E">
      <w:pPr>
        <w:pStyle w:val="FootnoteText"/>
        <w:jc w:val="both"/>
        <w:rPr>
          <w:szCs w:val="21"/>
        </w:rPr>
      </w:pPr>
      <w:r w:rsidRPr="009051A8">
        <w:rPr>
          <w:szCs w:val="21"/>
        </w:rPr>
        <w:tab/>
      </w:r>
      <w:r w:rsidRPr="009051A8">
        <w:rPr>
          <w:rStyle w:val="FootnoteReference"/>
        </w:rPr>
        <w:footnoteRef/>
      </w:r>
      <w:r w:rsidRPr="009051A8">
        <w:rPr>
          <w:rStyle w:val="FootnoteReference"/>
        </w:rPr>
        <w:t xml:space="preserve"> </w:t>
      </w:r>
      <w:r w:rsidRPr="009051A8">
        <w:tab/>
        <w:t xml:space="preserve">See communication </w:t>
      </w:r>
      <w:r w:rsidRPr="009051A8">
        <w:rPr>
          <w:szCs w:val="21"/>
        </w:rPr>
        <w:t xml:space="preserve">No. 1353/2005, </w:t>
      </w:r>
      <w:r w:rsidRPr="009051A8">
        <w:rPr>
          <w:i/>
          <w:szCs w:val="21"/>
        </w:rPr>
        <w:t>Njaru v. Cameroon</w:t>
      </w:r>
      <w:r w:rsidRPr="009051A8">
        <w:rPr>
          <w:szCs w:val="21"/>
        </w:rPr>
        <w:t xml:space="preserve"> ; concluding observations on Nicaragua (CCPR/C/NIC/CO/3); concluding observations on Tunisia (CCPR/C/TUN/CO/5); concluding observations on the Syrian Arab Republic (CCPR/CO/84/SYR); concluding observations on Colombia (CCPR/CO/80/COL).</w:t>
      </w:r>
    </w:p>
  </w:footnote>
  <w:footnote w:id="49">
    <w:p w:rsidR="002F656F" w:rsidRPr="009051A8" w:rsidRDefault="002F656F" w:rsidP="008A703E">
      <w:pPr>
        <w:pStyle w:val="FootnoteText"/>
        <w:jc w:val="both"/>
        <w:rPr>
          <w:szCs w:val="21"/>
        </w:rPr>
      </w:pPr>
      <w:r w:rsidRPr="009051A8">
        <w:rPr>
          <w:szCs w:val="21"/>
        </w:rPr>
        <w:tab/>
      </w:r>
      <w:r w:rsidRPr="009051A8">
        <w:rPr>
          <w:rStyle w:val="FootnoteReference"/>
        </w:rPr>
        <w:footnoteRef/>
      </w:r>
      <w:r w:rsidRPr="009051A8">
        <w:rPr>
          <w:szCs w:val="21"/>
        </w:rPr>
        <w:t xml:space="preserve"> </w:t>
      </w:r>
      <w:r w:rsidRPr="009051A8">
        <w:rPr>
          <w:szCs w:val="21"/>
        </w:rPr>
        <w:tab/>
        <w:t xml:space="preserve">Ibid. and concluding observations on </w:t>
      </w:r>
      <w:smartTag w:uri="urn:schemas-microsoft-com:office:smarttags" w:element="place">
        <w:smartTag w:uri="urn:schemas-microsoft-com:office:smarttags" w:element="country-region">
          <w:r w:rsidRPr="009051A8">
            <w:rPr>
              <w:szCs w:val="21"/>
            </w:rPr>
            <w:t>Georgia</w:t>
          </w:r>
        </w:smartTag>
      </w:smartTag>
      <w:r w:rsidRPr="009051A8">
        <w:rPr>
          <w:szCs w:val="21"/>
        </w:rPr>
        <w:t xml:space="preserve"> (CCPR/C/GEO/CO/3).</w:t>
      </w:r>
    </w:p>
  </w:footnote>
  <w:footnote w:id="50">
    <w:p w:rsidR="002F656F" w:rsidRPr="009051A8" w:rsidRDefault="002F656F" w:rsidP="008A703E">
      <w:pPr>
        <w:pStyle w:val="FootnoteText"/>
        <w:jc w:val="both"/>
        <w:rPr>
          <w:szCs w:val="21"/>
        </w:rPr>
      </w:pPr>
      <w:r w:rsidRPr="009051A8">
        <w:rPr>
          <w:szCs w:val="21"/>
        </w:rPr>
        <w:tab/>
      </w:r>
      <w:r w:rsidRPr="009051A8">
        <w:rPr>
          <w:rStyle w:val="FootnoteReference"/>
        </w:rPr>
        <w:footnoteRef/>
      </w:r>
      <w:r w:rsidRPr="009051A8">
        <w:rPr>
          <w:szCs w:val="21"/>
        </w:rPr>
        <w:t xml:space="preserve"> </w:t>
      </w:r>
      <w:r w:rsidRPr="009051A8">
        <w:rPr>
          <w:szCs w:val="21"/>
        </w:rPr>
        <w:tab/>
        <w:t xml:space="preserve">Concluding observations on </w:t>
      </w:r>
      <w:smartTag w:uri="urn:schemas-microsoft-com:office:smarttags" w:element="place">
        <w:smartTag w:uri="urn:schemas-microsoft-com:office:smarttags" w:element="country-region">
          <w:r w:rsidRPr="009051A8">
            <w:rPr>
              <w:szCs w:val="21"/>
            </w:rPr>
            <w:t>Guyana</w:t>
          </w:r>
        </w:smartTag>
      </w:smartTag>
      <w:r w:rsidRPr="009051A8">
        <w:rPr>
          <w:szCs w:val="21"/>
        </w:rPr>
        <w:t xml:space="preserve"> (CCPR/C/79/Add.121).</w:t>
      </w:r>
    </w:p>
  </w:footnote>
  <w:footnote w:id="51">
    <w:p w:rsidR="002F656F" w:rsidRPr="009051A8" w:rsidRDefault="002F656F" w:rsidP="008A703E">
      <w:pPr>
        <w:pStyle w:val="FootnoteText"/>
        <w:jc w:val="both"/>
        <w:rPr>
          <w:szCs w:val="21"/>
          <w:lang w:val="en-US"/>
        </w:rPr>
      </w:pPr>
      <w:r w:rsidRPr="009051A8">
        <w:rPr>
          <w:rStyle w:val="FootnoteReference"/>
        </w:rPr>
        <w:tab/>
      </w:r>
      <w:r w:rsidRPr="009051A8">
        <w:rPr>
          <w:rStyle w:val="FootnoteReference"/>
        </w:rPr>
        <w:footnoteRef/>
      </w:r>
      <w:r w:rsidRPr="009051A8">
        <w:rPr>
          <w:rStyle w:val="FootnoteReference"/>
        </w:rPr>
        <w:t xml:space="preserve"> </w:t>
      </w:r>
      <w:r w:rsidRPr="009051A8">
        <w:tab/>
        <w:t xml:space="preserve">See communication </w:t>
      </w:r>
      <w:r w:rsidRPr="009051A8">
        <w:rPr>
          <w:szCs w:val="21"/>
          <w:lang w:val="en-US"/>
        </w:rPr>
        <w:t xml:space="preserve">No. 633/95, </w:t>
      </w:r>
      <w:r w:rsidRPr="009051A8">
        <w:rPr>
          <w:i/>
          <w:szCs w:val="21"/>
          <w:lang w:val="en-US"/>
        </w:rPr>
        <w:t>Gauthier v. Canada</w:t>
      </w:r>
      <w:r w:rsidRPr="009051A8">
        <w:rPr>
          <w:szCs w:val="21"/>
          <w:lang w:val="en-US"/>
        </w:rPr>
        <w:t>.</w:t>
      </w:r>
    </w:p>
  </w:footnote>
  <w:footnote w:id="52">
    <w:p w:rsidR="002F656F" w:rsidRPr="009051A8" w:rsidRDefault="002F656F" w:rsidP="008A703E">
      <w:pPr>
        <w:pStyle w:val="FootnoteText"/>
        <w:jc w:val="both"/>
        <w:rPr>
          <w:szCs w:val="21"/>
        </w:rPr>
      </w:pPr>
      <w:r w:rsidRPr="009051A8">
        <w:rPr>
          <w:szCs w:val="21"/>
          <w:lang w:val="en-US"/>
        </w:rPr>
        <w:tab/>
      </w:r>
      <w:r w:rsidRPr="009051A8">
        <w:rPr>
          <w:rStyle w:val="FootnoteReference"/>
        </w:rPr>
        <w:footnoteRef/>
      </w:r>
      <w:r w:rsidRPr="009051A8">
        <w:rPr>
          <w:rStyle w:val="FootnoteReference"/>
        </w:rPr>
        <w:t xml:space="preserve"> </w:t>
      </w:r>
      <w:r w:rsidRPr="009051A8">
        <w:tab/>
        <w:t xml:space="preserve">See communication </w:t>
      </w:r>
      <w:r w:rsidRPr="009051A8">
        <w:rPr>
          <w:szCs w:val="21"/>
        </w:rPr>
        <w:t xml:space="preserve">No. 1373/2005, </w:t>
      </w:r>
      <w:r w:rsidRPr="009051A8">
        <w:rPr>
          <w:i/>
          <w:szCs w:val="21"/>
        </w:rPr>
        <w:t xml:space="preserve">Dissanayake v. </w:t>
      </w:r>
      <w:smartTag w:uri="urn:schemas-microsoft-com:office:smarttags" w:element="place">
        <w:smartTag w:uri="urn:schemas-microsoft-com:office:smarttags" w:element="country-region">
          <w:r w:rsidRPr="009051A8">
            <w:rPr>
              <w:i/>
              <w:szCs w:val="21"/>
            </w:rPr>
            <w:t>Sri Lanka</w:t>
          </w:r>
        </w:smartTag>
      </w:smartTag>
      <w:r w:rsidRPr="009051A8">
        <w:rPr>
          <w:szCs w:val="21"/>
        </w:rPr>
        <w:t xml:space="preserve">, </w:t>
      </w:r>
      <w:r w:rsidRPr="009051A8">
        <w:t>Views adopted on</w:t>
      </w:r>
      <w:r w:rsidRPr="009051A8">
        <w:rPr>
          <w:szCs w:val="21"/>
        </w:rPr>
        <w:t xml:space="preserve"> </w:t>
      </w:r>
      <w:r w:rsidRPr="009051A8">
        <w:t>22 July 2008</w:t>
      </w:r>
      <w:r w:rsidRPr="009051A8">
        <w:rPr>
          <w:szCs w:val="21"/>
        </w:rPr>
        <w:t>.</w:t>
      </w:r>
    </w:p>
  </w:footnote>
  <w:footnote w:id="53">
    <w:p w:rsidR="002F656F" w:rsidRPr="009051A8" w:rsidRDefault="002F656F" w:rsidP="008A703E">
      <w:pPr>
        <w:pStyle w:val="FootnoteText"/>
        <w:jc w:val="both"/>
        <w:rPr>
          <w:szCs w:val="21"/>
        </w:rPr>
      </w:pPr>
      <w:r w:rsidRPr="009051A8">
        <w:rPr>
          <w:szCs w:val="21"/>
        </w:rPr>
        <w:tab/>
      </w:r>
      <w:r w:rsidRPr="009051A8">
        <w:rPr>
          <w:rStyle w:val="FootnoteReference"/>
        </w:rPr>
        <w:footnoteRef/>
      </w:r>
      <w:r w:rsidRPr="009051A8">
        <w:rPr>
          <w:rStyle w:val="FootnoteReference"/>
        </w:rPr>
        <w:t xml:space="preserve"> </w:t>
      </w:r>
      <w:r w:rsidRPr="009051A8">
        <w:tab/>
      </w:r>
      <w:r w:rsidRPr="009051A8">
        <w:rPr>
          <w:szCs w:val="21"/>
        </w:rPr>
        <w:t>See general comment No. 32.</w:t>
      </w:r>
    </w:p>
  </w:footnote>
  <w:footnote w:id="54">
    <w:p w:rsidR="002F656F" w:rsidRPr="009051A8" w:rsidRDefault="002F656F" w:rsidP="008A703E">
      <w:pPr>
        <w:pStyle w:val="FootnoteText"/>
        <w:jc w:val="both"/>
      </w:pPr>
      <w:r w:rsidRPr="009051A8">
        <w:rPr>
          <w:lang w:val="en-US"/>
        </w:rPr>
        <w:tab/>
      </w:r>
      <w:r w:rsidRPr="009051A8">
        <w:rPr>
          <w:rStyle w:val="FootnoteReference"/>
        </w:rPr>
        <w:footnoteRef/>
      </w:r>
      <w:r w:rsidRPr="009051A8">
        <w:rPr>
          <w:rStyle w:val="FootnoteReference"/>
        </w:rPr>
        <w:t xml:space="preserve"> </w:t>
      </w:r>
      <w:r w:rsidRPr="009051A8">
        <w:tab/>
        <w:t xml:space="preserve">See communication No. 578/1994, </w:t>
      </w:r>
      <w:r w:rsidRPr="009051A8">
        <w:rPr>
          <w:i/>
        </w:rPr>
        <w:t>de Groot v. The Netherlands</w:t>
      </w:r>
      <w:r w:rsidRPr="009051A8">
        <w:t>, Views adopted on 14 July 1995.</w:t>
      </w:r>
    </w:p>
  </w:footnote>
  <w:footnote w:id="55">
    <w:p w:rsidR="002F656F" w:rsidRPr="009051A8" w:rsidRDefault="002F656F" w:rsidP="008A703E">
      <w:pPr>
        <w:pStyle w:val="FootnoteText"/>
        <w:jc w:val="both"/>
      </w:pPr>
      <w:r w:rsidRPr="009051A8">
        <w:rPr>
          <w:rStyle w:val="FootnoteReference"/>
        </w:rPr>
        <w:tab/>
      </w:r>
      <w:r w:rsidRPr="009051A8">
        <w:rPr>
          <w:rStyle w:val="FootnoteReference"/>
        </w:rPr>
        <w:footnoteRef/>
      </w:r>
      <w:r w:rsidRPr="009051A8">
        <w:t xml:space="preserve"> </w:t>
      </w:r>
      <w:r w:rsidRPr="009051A8">
        <w:tab/>
        <w:t>See general comment No. 27.</w:t>
      </w:r>
    </w:p>
  </w:footnote>
  <w:footnote w:id="56">
    <w:p w:rsidR="002F656F" w:rsidRPr="009051A8" w:rsidRDefault="002F656F" w:rsidP="008A703E">
      <w:pPr>
        <w:pStyle w:val="FootnoteText"/>
        <w:jc w:val="both"/>
        <w:rPr>
          <w:szCs w:val="21"/>
          <w:lang w:val="en-US"/>
        </w:rPr>
      </w:pPr>
      <w:r w:rsidRPr="009051A8">
        <w:rPr>
          <w:szCs w:val="21"/>
        </w:rPr>
        <w:tab/>
      </w:r>
      <w:r w:rsidRPr="009051A8">
        <w:rPr>
          <w:rStyle w:val="FootnoteReference"/>
        </w:rPr>
        <w:footnoteRef/>
      </w:r>
      <w:r w:rsidRPr="009051A8">
        <w:rPr>
          <w:szCs w:val="21"/>
          <w:lang w:val="en-US"/>
        </w:rPr>
        <w:t xml:space="preserve"> </w:t>
      </w:r>
      <w:r w:rsidRPr="009051A8">
        <w:rPr>
          <w:szCs w:val="21"/>
          <w:lang w:val="en-US"/>
        </w:rPr>
        <w:tab/>
      </w:r>
      <w:r w:rsidRPr="009051A8">
        <w:t xml:space="preserve">See communication </w:t>
      </w:r>
      <w:r w:rsidRPr="009051A8">
        <w:rPr>
          <w:szCs w:val="21"/>
          <w:lang w:val="en-US"/>
        </w:rPr>
        <w:t xml:space="preserve">No. 488/1992, </w:t>
      </w:r>
      <w:r w:rsidRPr="009051A8">
        <w:rPr>
          <w:i/>
          <w:szCs w:val="21"/>
          <w:lang w:val="en-US"/>
        </w:rPr>
        <w:t>Toonen v. Australia</w:t>
      </w:r>
      <w:r w:rsidRPr="009051A8">
        <w:rPr>
          <w:szCs w:val="21"/>
          <w:lang w:val="en-US"/>
        </w:rPr>
        <w:t xml:space="preserve">, </w:t>
      </w:r>
      <w:r w:rsidRPr="009051A8">
        <w:t>Views adopted on</w:t>
      </w:r>
      <w:r w:rsidRPr="009051A8">
        <w:rPr>
          <w:szCs w:val="21"/>
          <w:lang w:val="en-US"/>
        </w:rPr>
        <w:t xml:space="preserve"> </w:t>
      </w:r>
      <w:r w:rsidRPr="009051A8">
        <w:t>30 March 1994</w:t>
      </w:r>
      <w:r w:rsidRPr="009051A8">
        <w:rPr>
          <w:szCs w:val="21"/>
          <w:lang w:val="en-US"/>
        </w:rPr>
        <w:t>.</w:t>
      </w:r>
    </w:p>
  </w:footnote>
  <w:footnote w:id="57">
    <w:p w:rsidR="002F656F" w:rsidRPr="009051A8" w:rsidRDefault="002F656F" w:rsidP="008A703E">
      <w:pPr>
        <w:pStyle w:val="FootnoteText"/>
        <w:jc w:val="both"/>
        <w:rPr>
          <w:i/>
          <w:lang w:val="en-US"/>
        </w:rPr>
      </w:pPr>
      <w:r w:rsidRPr="009051A8">
        <w:rPr>
          <w:lang w:val="en-US"/>
        </w:rPr>
        <w:tab/>
      </w:r>
      <w:r w:rsidRPr="009051A8">
        <w:rPr>
          <w:rStyle w:val="FootnoteReference"/>
        </w:rPr>
        <w:footnoteRef/>
      </w:r>
      <w:r w:rsidRPr="009051A8">
        <w:rPr>
          <w:lang w:val="en-US"/>
        </w:rPr>
        <w:tab/>
        <w:t xml:space="preserve">General comment No. 20, </w:t>
      </w:r>
      <w:r w:rsidRPr="009051A8">
        <w:rPr>
          <w:i/>
          <w:lang w:val="en-US"/>
        </w:rPr>
        <w:t>Official Records of the General Assembly, Forty-seventh Session, Supplement No. 40 (A/47/40), annex VI, sect. A.</w:t>
      </w:r>
    </w:p>
  </w:footnote>
  <w:footnote w:id="58">
    <w:p w:rsidR="002F656F" w:rsidRPr="009051A8" w:rsidRDefault="002F656F" w:rsidP="008A703E">
      <w:pPr>
        <w:pStyle w:val="FootnoteText"/>
        <w:jc w:val="both"/>
        <w:rPr>
          <w:lang w:val="en-US"/>
        </w:rPr>
      </w:pPr>
      <w:r w:rsidRPr="009051A8">
        <w:tab/>
      </w:r>
      <w:r w:rsidRPr="009051A8">
        <w:rPr>
          <w:rStyle w:val="FootnoteReference"/>
        </w:rPr>
        <w:footnoteRef/>
      </w:r>
      <w:r w:rsidRPr="009051A8">
        <w:rPr>
          <w:lang w:val="en-US"/>
        </w:rPr>
        <w:t xml:space="preserve"> </w:t>
      </w:r>
      <w:r w:rsidRPr="009051A8">
        <w:rPr>
          <w:lang w:val="en-US"/>
        </w:rPr>
        <w:tab/>
      </w:r>
      <w:r w:rsidRPr="009051A8">
        <w:t xml:space="preserve">See communication </w:t>
      </w:r>
      <w:r w:rsidRPr="009051A8">
        <w:rPr>
          <w:lang w:val="en-US"/>
        </w:rPr>
        <w:t xml:space="preserve">No. 1553/2007, </w:t>
      </w:r>
      <w:r w:rsidRPr="009051A8">
        <w:rPr>
          <w:i/>
          <w:lang w:val="en-US"/>
        </w:rPr>
        <w:t>Korneenko et al. v. Belarus</w:t>
      </w:r>
      <w:r w:rsidRPr="009051A8">
        <w:rPr>
          <w:lang w:val="en-US"/>
        </w:rPr>
        <w:t xml:space="preserve">, </w:t>
      </w:r>
      <w:r w:rsidRPr="009051A8">
        <w:t>Views adopted on</w:t>
      </w:r>
      <w:r w:rsidRPr="009051A8">
        <w:rPr>
          <w:lang w:val="en-US"/>
        </w:rPr>
        <w:t xml:space="preserve"> </w:t>
      </w:r>
      <w:r w:rsidRPr="009051A8">
        <w:t>31 October 2006</w:t>
      </w:r>
      <w:r w:rsidRPr="009051A8">
        <w:rPr>
          <w:lang w:val="en-US"/>
        </w:rPr>
        <w:t>.</w:t>
      </w:r>
    </w:p>
  </w:footnote>
  <w:footnote w:id="59">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rStyle w:val="FootnoteReference"/>
          <w:lang w:val="en-US"/>
        </w:rPr>
        <w:t xml:space="preserve"> </w:t>
      </w:r>
      <w:r w:rsidRPr="009051A8">
        <w:rPr>
          <w:lang w:val="en-US"/>
        </w:rPr>
        <w:tab/>
        <w:t xml:space="preserve">See communication No. 132/1982, </w:t>
      </w:r>
      <w:r w:rsidRPr="009051A8">
        <w:rPr>
          <w:i/>
          <w:lang w:val="en-US"/>
        </w:rPr>
        <w:t>Jaona v. Madagascar</w:t>
      </w:r>
      <w:r w:rsidRPr="009051A8">
        <w:rPr>
          <w:lang w:val="en-US"/>
        </w:rPr>
        <w:t xml:space="preserve">, </w:t>
      </w:r>
      <w:r w:rsidRPr="009051A8">
        <w:t>Views adopted on</w:t>
      </w:r>
      <w:r w:rsidRPr="009051A8">
        <w:rPr>
          <w:lang w:val="en-US"/>
        </w:rPr>
        <w:t xml:space="preserve"> </w:t>
      </w:r>
      <w:r w:rsidRPr="009051A8">
        <w:t>1 April 1985</w:t>
      </w:r>
      <w:r w:rsidRPr="009051A8">
        <w:rPr>
          <w:lang w:val="en-US"/>
        </w:rPr>
        <w:t>.</w:t>
      </w:r>
    </w:p>
  </w:footnote>
  <w:footnote w:id="60">
    <w:p w:rsidR="002F656F" w:rsidRPr="009051A8" w:rsidRDefault="002F656F" w:rsidP="008A703E">
      <w:pPr>
        <w:pStyle w:val="FootnoteText"/>
        <w:jc w:val="both"/>
        <w:rPr>
          <w:lang w:val="en-US"/>
        </w:rPr>
      </w:pPr>
      <w:r w:rsidRPr="009051A8">
        <w:rPr>
          <w:rStyle w:val="FootnoteReference"/>
          <w:lang w:val="en-US"/>
        </w:rPr>
        <w:tab/>
      </w:r>
      <w:r w:rsidRPr="009051A8">
        <w:rPr>
          <w:rStyle w:val="FootnoteReference"/>
        </w:rPr>
        <w:footnoteRef/>
      </w:r>
      <w:r w:rsidRPr="009051A8">
        <w:rPr>
          <w:lang w:val="en-US"/>
        </w:rPr>
        <w:t xml:space="preserve"> </w:t>
      </w:r>
      <w:r w:rsidRPr="009051A8">
        <w:rPr>
          <w:lang w:val="en-US"/>
        </w:rPr>
        <w:tab/>
      </w:r>
      <w:r w:rsidRPr="009051A8">
        <w:t xml:space="preserve">See communication </w:t>
      </w:r>
      <w:r w:rsidRPr="009051A8">
        <w:rPr>
          <w:lang w:val="en-US"/>
        </w:rPr>
        <w:t xml:space="preserve">No. 927/2000, </w:t>
      </w:r>
      <w:r w:rsidRPr="009051A8">
        <w:rPr>
          <w:i/>
          <w:lang w:val="en-US"/>
        </w:rPr>
        <w:t>Svetik v. Belarus</w:t>
      </w:r>
      <w:r w:rsidRPr="009051A8">
        <w:rPr>
          <w:lang w:val="en-US"/>
        </w:rPr>
        <w:t xml:space="preserve">, </w:t>
      </w:r>
      <w:r w:rsidRPr="009051A8">
        <w:t>Views adopted on</w:t>
      </w:r>
      <w:r w:rsidRPr="009051A8">
        <w:rPr>
          <w:lang w:val="en-US"/>
        </w:rPr>
        <w:t xml:space="preserve"> </w:t>
      </w:r>
      <w:r w:rsidRPr="009051A8">
        <w:t>8 July 2004</w:t>
      </w:r>
      <w:r w:rsidRPr="009051A8">
        <w:rPr>
          <w:lang w:val="en-US"/>
        </w:rPr>
        <w:t xml:space="preserve">. </w:t>
      </w:r>
    </w:p>
  </w:footnote>
  <w:footnote w:id="61">
    <w:p w:rsidR="002F656F" w:rsidRPr="009051A8" w:rsidRDefault="002F656F" w:rsidP="008A703E">
      <w:pPr>
        <w:pStyle w:val="FootnoteText"/>
        <w:jc w:val="both"/>
        <w:rPr>
          <w:lang w:val="en-US"/>
        </w:rPr>
      </w:pPr>
      <w:r w:rsidRPr="009051A8">
        <w:tab/>
      </w:r>
      <w:r w:rsidRPr="009051A8">
        <w:rPr>
          <w:rStyle w:val="FootnoteReference"/>
        </w:rPr>
        <w:footnoteRef/>
      </w:r>
      <w:r w:rsidRPr="009051A8">
        <w:rPr>
          <w:rStyle w:val="FootnoteReference"/>
        </w:rPr>
        <w:t xml:space="preserve"> </w:t>
      </w:r>
      <w:r w:rsidRPr="009051A8">
        <w:tab/>
        <w:t>I</w:t>
      </w:r>
      <w:r w:rsidRPr="009051A8">
        <w:rPr>
          <w:lang w:val="en-US"/>
        </w:rPr>
        <w:t>bid.</w:t>
      </w:r>
    </w:p>
  </w:footnote>
  <w:footnote w:id="62">
    <w:p w:rsidR="002F656F" w:rsidRPr="009051A8" w:rsidRDefault="002F656F" w:rsidP="008A703E">
      <w:pPr>
        <w:pStyle w:val="FootnoteText"/>
        <w:jc w:val="both"/>
      </w:pPr>
      <w:r w:rsidRPr="009051A8">
        <w:rPr>
          <w:lang w:val="en-US"/>
        </w:rPr>
        <w:tab/>
      </w:r>
      <w:r w:rsidRPr="009051A8">
        <w:rPr>
          <w:rStyle w:val="FootnoteReference"/>
        </w:rPr>
        <w:footnoteRef/>
      </w:r>
      <w:r w:rsidRPr="009051A8">
        <w:t xml:space="preserve"> </w:t>
      </w:r>
      <w:r w:rsidRPr="009051A8">
        <w:tab/>
        <w:t xml:space="preserve">See communication No. 736/97, </w:t>
      </w:r>
      <w:r w:rsidRPr="009051A8">
        <w:rPr>
          <w:i/>
        </w:rPr>
        <w:t>Ross v. Canada</w:t>
      </w:r>
      <w:r w:rsidRPr="009051A8">
        <w:t>, Views adopted on 18 October 2000.</w:t>
      </w:r>
    </w:p>
  </w:footnote>
  <w:footnote w:id="63">
    <w:p w:rsidR="002F656F" w:rsidRPr="009051A8"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t xml:space="preserve">See communication No. 550/93, </w:t>
      </w:r>
      <w:r w:rsidRPr="009051A8">
        <w:rPr>
          <w:i/>
        </w:rPr>
        <w:t>Faurisson v. France</w:t>
      </w:r>
      <w:r w:rsidRPr="009051A8">
        <w:t xml:space="preserve">; concluding observations on </w:t>
      </w:r>
      <w:smartTag w:uri="urn:schemas-microsoft-com:office:smarttags" w:element="place">
        <w:smartTag w:uri="urn:schemas-microsoft-com:office:smarttags" w:element="country-region">
          <w:r w:rsidRPr="009051A8">
            <w:t>Austria</w:t>
          </w:r>
        </w:smartTag>
      </w:smartTag>
      <w:r w:rsidRPr="009051A8">
        <w:t xml:space="preserve"> (CCPR/C/AUT/CO/4).</w:t>
      </w:r>
    </w:p>
  </w:footnote>
  <w:footnote w:id="64">
    <w:p w:rsidR="002F656F" w:rsidRPr="009051A8"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t xml:space="preserve">Concluding observations on </w:t>
      </w:r>
      <w:smartTag w:uri="urn:schemas-microsoft-com:office:smarttags" w:element="country-region">
        <w:r w:rsidRPr="009051A8">
          <w:t>Slovakia</w:t>
        </w:r>
      </w:smartTag>
      <w:r w:rsidRPr="009051A8">
        <w:t xml:space="preserve"> (CCPR/CO/78/SVK); concluding observations on </w:t>
      </w:r>
      <w:smartTag w:uri="urn:schemas-microsoft-com:office:smarttags" w:element="place">
        <w:smartTag w:uri="urn:schemas-microsoft-com:office:smarttags" w:element="country-region">
          <w:r w:rsidRPr="009051A8">
            <w:t>Israel</w:t>
          </w:r>
        </w:smartTag>
      </w:smartTag>
      <w:r w:rsidRPr="009051A8">
        <w:t xml:space="preserve"> (CCPR/CO/78/ISR).</w:t>
      </w:r>
    </w:p>
  </w:footnote>
  <w:footnote w:id="65">
    <w:p w:rsidR="002F656F" w:rsidRPr="009051A8" w:rsidRDefault="002F656F" w:rsidP="00E264E2">
      <w:pPr>
        <w:pStyle w:val="FootnoteText"/>
        <w:jc w:val="both"/>
      </w:pPr>
      <w:r w:rsidRPr="00087D95">
        <w:tab/>
      </w:r>
      <w:r w:rsidRPr="009051A8">
        <w:rPr>
          <w:rStyle w:val="FootnoteReference"/>
        </w:rPr>
        <w:footnoteRef/>
      </w:r>
      <w:r w:rsidRPr="009051A8">
        <w:rPr>
          <w:rStyle w:val="FootnoteReference"/>
        </w:rPr>
        <w:tab/>
      </w:r>
      <w:r w:rsidRPr="009051A8">
        <w:t xml:space="preserve">Concluding observations on </w:t>
      </w:r>
      <w:smartTag w:uri="urn:schemas-microsoft-com:office:smarttags" w:element="place">
        <w:r w:rsidRPr="009051A8">
          <w:t>Hong Kong</w:t>
        </w:r>
      </w:smartTag>
      <w:r w:rsidRPr="009051A8">
        <w:t xml:space="preserve"> (CCPR/C/HKG/CO/2).</w:t>
      </w:r>
    </w:p>
  </w:footnote>
  <w:footnote w:id="66">
    <w:p w:rsidR="002F656F" w:rsidRPr="009051A8" w:rsidRDefault="002F656F" w:rsidP="008A703E">
      <w:pPr>
        <w:pStyle w:val="FootnoteText"/>
        <w:jc w:val="both"/>
      </w:pPr>
      <w:r w:rsidRPr="00087D95">
        <w:tab/>
      </w:r>
      <w:r w:rsidRPr="009051A8">
        <w:rPr>
          <w:rStyle w:val="FootnoteReference"/>
        </w:rPr>
        <w:footnoteRef/>
      </w:r>
      <w:r w:rsidRPr="009051A8">
        <w:t xml:space="preserve"> </w:t>
      </w:r>
      <w:r w:rsidRPr="009051A8">
        <w:tab/>
        <w:t xml:space="preserve">Concluding observations on the </w:t>
      </w:r>
      <w:smartTag w:uri="urn:schemas-microsoft-com:office:smarttags" w:element="place">
        <w:smartTag w:uri="urn:schemas-microsoft-com:office:smarttags" w:element="country-region">
          <w:r w:rsidRPr="009051A8">
            <w:t>Russian Federation</w:t>
          </w:r>
        </w:smartTag>
      </w:smartTag>
      <w:r w:rsidRPr="009051A8">
        <w:t xml:space="preserve"> (CCPR/CO/79/RUS).</w:t>
      </w:r>
    </w:p>
  </w:footnote>
  <w:footnote w:id="67">
    <w:p w:rsidR="002F656F" w:rsidRPr="009051A8" w:rsidRDefault="002F656F" w:rsidP="008A703E">
      <w:pPr>
        <w:pStyle w:val="FootnoteText"/>
        <w:jc w:val="both"/>
      </w:pPr>
      <w:r w:rsidRPr="00087D95">
        <w:rPr>
          <w:i/>
        </w:rPr>
        <w:t>y</w:t>
      </w:r>
      <w:r w:rsidRPr="009051A8">
        <w:tab/>
      </w:r>
      <w:r w:rsidRPr="009051A8">
        <w:rPr>
          <w:rStyle w:val="FootnoteReference"/>
        </w:rPr>
        <w:footnoteRef/>
      </w:r>
      <w:r w:rsidRPr="009051A8">
        <w:rPr>
          <w:rStyle w:val="FootnoteReference"/>
        </w:rPr>
        <w:t xml:space="preserve"> </w:t>
      </w:r>
      <w:r w:rsidRPr="009051A8">
        <w:tab/>
        <w:t xml:space="preserve">Concluding observations on </w:t>
      </w:r>
      <w:smartTag w:uri="urn:schemas-microsoft-com:office:smarttags" w:element="place">
        <w:smartTag w:uri="urn:schemas-microsoft-com:office:smarttags" w:element="country-region">
          <w:r w:rsidRPr="009051A8">
            <w:t>Uzbekistan</w:t>
          </w:r>
        </w:smartTag>
      </w:smartTag>
      <w:r w:rsidRPr="009051A8">
        <w:t xml:space="preserve"> (CCPR/CO/71/UZB).</w:t>
      </w:r>
    </w:p>
  </w:footnote>
  <w:footnote w:id="68">
    <w:p w:rsidR="002F656F" w:rsidRPr="009051A8" w:rsidRDefault="002F656F" w:rsidP="008A703E">
      <w:pPr>
        <w:pStyle w:val="FootnoteText"/>
        <w:jc w:val="both"/>
      </w:pPr>
      <w:r w:rsidRPr="00087D95">
        <w:tab/>
      </w:r>
      <w:r w:rsidRPr="009051A8">
        <w:rPr>
          <w:rStyle w:val="FootnoteReference"/>
        </w:rPr>
        <w:footnoteRef/>
      </w:r>
      <w:r w:rsidRPr="009051A8">
        <w:t xml:space="preserve"> </w:t>
      </w:r>
      <w:r w:rsidRPr="009051A8">
        <w:tab/>
        <w:t xml:space="preserve">See communication No. 518/1992, </w:t>
      </w:r>
      <w:r w:rsidRPr="009051A8">
        <w:rPr>
          <w:i/>
        </w:rPr>
        <w:t>Sohn v. Republic of Korea</w:t>
      </w:r>
      <w:r w:rsidRPr="009051A8">
        <w:t>, Views adopted on 18 March 1994.</w:t>
      </w:r>
    </w:p>
  </w:footnote>
  <w:footnote w:id="69">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rStyle w:val="FootnoteReference"/>
          <w:lang w:val="en-US"/>
        </w:rPr>
        <w:t xml:space="preserve"> </w:t>
      </w:r>
      <w:r w:rsidRPr="009051A8">
        <w:rPr>
          <w:lang w:val="en-US"/>
        </w:rPr>
        <w:tab/>
      </w:r>
      <w:r w:rsidRPr="009051A8">
        <w:t xml:space="preserve">See communication </w:t>
      </w:r>
      <w:r w:rsidRPr="009051A8">
        <w:rPr>
          <w:lang w:val="en-US"/>
        </w:rPr>
        <w:t xml:space="preserve">No. 1157/2003, </w:t>
      </w:r>
      <w:r w:rsidRPr="009051A8">
        <w:rPr>
          <w:i/>
          <w:lang w:val="en-US"/>
        </w:rPr>
        <w:t>Coleman v. Australia</w:t>
      </w:r>
      <w:r w:rsidRPr="009051A8">
        <w:rPr>
          <w:lang w:val="en-US"/>
        </w:rPr>
        <w:t>.</w:t>
      </w:r>
    </w:p>
  </w:footnote>
  <w:footnote w:id="70">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rStyle w:val="FootnoteReference"/>
          <w:lang w:val="en-US"/>
        </w:rPr>
        <w:t xml:space="preserve"> </w:t>
      </w:r>
      <w:r w:rsidRPr="009051A8">
        <w:rPr>
          <w:lang w:val="en-US"/>
        </w:rPr>
        <w:tab/>
      </w:r>
      <w:r w:rsidRPr="009051A8">
        <w:t xml:space="preserve">See communication </w:t>
      </w:r>
      <w:r w:rsidRPr="009051A8">
        <w:rPr>
          <w:lang w:val="en-US"/>
        </w:rPr>
        <w:t xml:space="preserve">No. 1373/2005, </w:t>
      </w:r>
      <w:r w:rsidRPr="009051A8">
        <w:rPr>
          <w:i/>
          <w:lang w:val="en-US"/>
        </w:rPr>
        <w:t>Dissanayake v. Sri Lanka</w:t>
      </w:r>
      <w:r w:rsidRPr="009051A8">
        <w:rPr>
          <w:lang w:val="en-US"/>
        </w:rPr>
        <w:t>.</w:t>
      </w:r>
    </w:p>
  </w:footnote>
  <w:footnote w:id="71">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lang w:val="en-US"/>
        </w:rPr>
        <w:t xml:space="preserve"> </w:t>
      </w:r>
      <w:r w:rsidRPr="009051A8">
        <w:rPr>
          <w:lang w:val="en-US"/>
        </w:rPr>
        <w:tab/>
      </w:r>
      <w:r w:rsidRPr="009051A8">
        <w:t xml:space="preserve">See communication </w:t>
      </w:r>
      <w:r w:rsidRPr="009051A8">
        <w:rPr>
          <w:lang w:val="en-US"/>
        </w:rPr>
        <w:t xml:space="preserve">No. 359, 385/89, </w:t>
      </w:r>
      <w:r w:rsidRPr="009051A8">
        <w:rPr>
          <w:i/>
          <w:lang w:val="en-US"/>
        </w:rPr>
        <w:t xml:space="preserve">Ballantyne , Davidson and McIntyre v. </w:t>
      </w:r>
      <w:smartTag w:uri="urn:schemas-microsoft-com:office:smarttags" w:element="place">
        <w:smartTag w:uri="urn:schemas-microsoft-com:office:smarttags" w:element="country-region">
          <w:r w:rsidRPr="009051A8">
            <w:rPr>
              <w:i/>
              <w:lang w:val="en-US"/>
            </w:rPr>
            <w:t>Canada</w:t>
          </w:r>
        </w:smartTag>
      </w:smartTag>
      <w:r w:rsidRPr="009051A8">
        <w:rPr>
          <w:lang w:val="en-US"/>
        </w:rPr>
        <w:t>.</w:t>
      </w:r>
    </w:p>
  </w:footnote>
  <w:footnote w:id="72">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rStyle w:val="FootnoteReference"/>
        </w:rPr>
        <w:t xml:space="preserve"> </w:t>
      </w:r>
      <w:r w:rsidRPr="009051A8">
        <w:tab/>
        <w:t xml:space="preserve">See communication </w:t>
      </w:r>
      <w:r w:rsidRPr="009051A8">
        <w:rPr>
          <w:lang w:val="en-US"/>
        </w:rPr>
        <w:t xml:space="preserve">No. 736/97, </w:t>
      </w:r>
      <w:r w:rsidRPr="009051A8">
        <w:rPr>
          <w:i/>
          <w:lang w:val="en-US"/>
        </w:rPr>
        <w:t>Ross v. Canada</w:t>
      </w:r>
      <w:r w:rsidRPr="009051A8">
        <w:rPr>
          <w:lang w:val="en-US"/>
        </w:rPr>
        <w:t xml:space="preserve">, </w:t>
      </w:r>
      <w:r w:rsidRPr="009051A8">
        <w:t>Views adopted on 17 July 2006</w:t>
      </w:r>
      <w:r w:rsidRPr="009051A8">
        <w:rPr>
          <w:lang w:val="en-US"/>
        </w:rPr>
        <w:t>.</w:t>
      </w:r>
    </w:p>
  </w:footnote>
  <w:footnote w:id="73">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lang w:val="es-ES_tradnl"/>
        </w:rPr>
        <w:t xml:space="preserve"> </w:t>
      </w:r>
      <w:r w:rsidRPr="009051A8">
        <w:rPr>
          <w:lang w:val="es-ES_tradnl"/>
        </w:rPr>
        <w:tab/>
        <w:t xml:space="preserve">General comment No. 27, para. </w:t>
      </w:r>
      <w:r w:rsidRPr="009051A8">
        <w:rPr>
          <w:lang w:val="en-US"/>
        </w:rPr>
        <w:t xml:space="preserve">14. </w:t>
      </w:r>
      <w:r w:rsidRPr="00087D95">
        <w:rPr>
          <w:lang w:val="en-US"/>
        </w:rPr>
        <w:t xml:space="preserve">See also </w:t>
      </w:r>
      <w:r w:rsidRPr="009051A8">
        <w:rPr>
          <w:lang w:val="en-US"/>
        </w:rPr>
        <w:t xml:space="preserve">Communications No. 1128/2002, </w:t>
      </w:r>
      <w:r w:rsidRPr="009051A8">
        <w:rPr>
          <w:i/>
          <w:lang w:val="en-US"/>
        </w:rPr>
        <w:t>Marques v. Angola</w:t>
      </w:r>
      <w:r w:rsidRPr="009051A8">
        <w:rPr>
          <w:lang w:val="en-US"/>
        </w:rPr>
        <w:t xml:space="preserve">; No. 1157/2003, </w:t>
      </w:r>
      <w:r w:rsidRPr="009051A8">
        <w:rPr>
          <w:i/>
          <w:lang w:val="en-US"/>
        </w:rPr>
        <w:t>Coleman v. Australia</w:t>
      </w:r>
      <w:r w:rsidRPr="009051A8">
        <w:rPr>
          <w:lang w:val="en-US"/>
        </w:rPr>
        <w:t xml:space="preserve">. </w:t>
      </w:r>
    </w:p>
  </w:footnote>
  <w:footnote w:id="74">
    <w:p w:rsidR="002F656F" w:rsidRPr="009051A8" w:rsidRDefault="002F656F" w:rsidP="008A703E">
      <w:pPr>
        <w:pStyle w:val="FootnoteText"/>
        <w:jc w:val="both"/>
        <w:rPr>
          <w:lang w:val="en-US"/>
        </w:rPr>
      </w:pPr>
      <w:r w:rsidRPr="009051A8">
        <w:rPr>
          <w:lang w:val="en-US"/>
        </w:rPr>
        <w:tab/>
      </w:r>
      <w:r w:rsidRPr="009051A8">
        <w:rPr>
          <w:rStyle w:val="FootnoteReference"/>
        </w:rPr>
        <w:footnoteRef/>
      </w:r>
      <w:r w:rsidRPr="009051A8">
        <w:rPr>
          <w:rStyle w:val="FootnoteReference"/>
          <w:lang w:val="en-US"/>
        </w:rPr>
        <w:t xml:space="preserve"> </w:t>
      </w:r>
      <w:r w:rsidRPr="009051A8">
        <w:rPr>
          <w:lang w:val="en-US"/>
        </w:rPr>
        <w:tab/>
      </w:r>
      <w:r w:rsidRPr="009051A8">
        <w:t xml:space="preserve">See communication </w:t>
      </w:r>
      <w:r w:rsidRPr="009051A8">
        <w:rPr>
          <w:lang w:val="en-US"/>
        </w:rPr>
        <w:t xml:space="preserve">No. 1180/2003, </w:t>
      </w:r>
      <w:r w:rsidRPr="009051A8">
        <w:rPr>
          <w:i/>
          <w:lang w:val="en-US"/>
        </w:rPr>
        <w:t xml:space="preserve">Bodrozic v. </w:t>
      </w:r>
      <w:smartTag w:uri="urn:schemas-microsoft-com:office:smarttags" w:element="country-region">
        <w:r w:rsidRPr="009051A8">
          <w:rPr>
            <w:i/>
            <w:lang w:val="en-US"/>
          </w:rPr>
          <w:t>Serbia</w:t>
        </w:r>
      </w:smartTag>
      <w:r w:rsidRPr="009051A8">
        <w:rPr>
          <w:i/>
          <w:lang w:val="en-US"/>
        </w:rPr>
        <w:t xml:space="preserve"> and </w:t>
      </w:r>
      <w:smartTag w:uri="urn:schemas-microsoft-com:office:smarttags" w:element="place">
        <w:smartTag w:uri="urn:schemas-microsoft-com:office:smarttags" w:element="country-region">
          <w:r w:rsidRPr="009051A8">
            <w:rPr>
              <w:i/>
              <w:lang w:val="en-US"/>
            </w:rPr>
            <w:t>Montenegro</w:t>
          </w:r>
        </w:smartTag>
      </w:smartTag>
      <w:r w:rsidRPr="009051A8">
        <w:rPr>
          <w:lang w:val="en-US"/>
        </w:rPr>
        <w:t xml:space="preserve">, </w:t>
      </w:r>
      <w:r w:rsidRPr="009051A8">
        <w:t>Views adopted on 31 October 2005</w:t>
      </w:r>
      <w:r w:rsidRPr="009051A8">
        <w:rPr>
          <w:lang w:val="en-US"/>
        </w:rPr>
        <w:t>.</w:t>
      </w:r>
    </w:p>
  </w:footnote>
  <w:footnote w:id="75">
    <w:p w:rsidR="002F656F" w:rsidRPr="009051A8" w:rsidRDefault="002F656F" w:rsidP="008A703E">
      <w:pPr>
        <w:pStyle w:val="FootnoteText"/>
        <w:jc w:val="both"/>
      </w:pPr>
      <w:r w:rsidRPr="009051A8">
        <w:rPr>
          <w:lang w:val="en-US"/>
        </w:rPr>
        <w:tab/>
      </w:r>
      <w:r w:rsidRPr="009051A8">
        <w:rPr>
          <w:rStyle w:val="FootnoteReference"/>
        </w:rPr>
        <w:footnoteRef/>
      </w:r>
      <w:r w:rsidRPr="009051A8">
        <w:rPr>
          <w:lang w:val="en-US"/>
        </w:rPr>
        <w:t xml:space="preserve"> </w:t>
      </w:r>
      <w:r w:rsidRPr="009051A8">
        <w:rPr>
          <w:lang w:val="en-US"/>
        </w:rPr>
        <w:tab/>
      </w:r>
      <w:r w:rsidRPr="009051A8">
        <w:t xml:space="preserve">See communication </w:t>
      </w:r>
      <w:r w:rsidRPr="009051A8">
        <w:rPr>
          <w:lang w:val="en-US"/>
        </w:rPr>
        <w:t>No. 926/20</w:t>
      </w:r>
      <w:r w:rsidRPr="009051A8">
        <w:t xml:space="preserve">00, </w:t>
      </w:r>
      <w:r w:rsidRPr="009051A8">
        <w:rPr>
          <w:i/>
          <w:lang w:val="en-US"/>
        </w:rPr>
        <w:t>Shin v. Republic of Korea</w:t>
      </w:r>
      <w:r w:rsidRPr="009051A8">
        <w:t xml:space="preserve"> .</w:t>
      </w:r>
    </w:p>
  </w:footnote>
  <w:footnote w:id="76">
    <w:p w:rsidR="002F656F" w:rsidRPr="009051A8" w:rsidRDefault="002F656F" w:rsidP="00A759CB">
      <w:pPr>
        <w:pStyle w:val="FootnoteText"/>
        <w:jc w:val="both"/>
      </w:pPr>
      <w:r w:rsidRPr="009051A8">
        <w:rPr>
          <w:lang w:val="en-US"/>
        </w:rPr>
        <w:tab/>
      </w:r>
      <w:r w:rsidRPr="009051A8">
        <w:rPr>
          <w:rStyle w:val="FootnoteReference"/>
        </w:rPr>
        <w:footnoteRef/>
      </w:r>
      <w:r w:rsidRPr="009051A8">
        <w:t xml:space="preserve"> </w:t>
      </w:r>
      <w:r w:rsidRPr="009051A8">
        <w:rPr>
          <w:i/>
        </w:rPr>
        <w:tab/>
      </w:r>
      <w:r w:rsidRPr="009051A8">
        <w:t xml:space="preserve">See communication No. 518/1992, </w:t>
      </w:r>
      <w:r w:rsidRPr="009051A8">
        <w:rPr>
          <w:i/>
        </w:rPr>
        <w:t>Sohn v. Republic of Korea</w:t>
      </w:r>
      <w:r w:rsidRPr="009051A8">
        <w:t xml:space="preserve"> .</w:t>
      </w:r>
    </w:p>
  </w:footnote>
  <w:footnote w:id="77">
    <w:p w:rsidR="002F656F" w:rsidRPr="009051A8" w:rsidRDefault="002F656F" w:rsidP="008A703E">
      <w:pPr>
        <w:pStyle w:val="FootnoteText"/>
        <w:jc w:val="both"/>
        <w:rPr>
          <w:lang w:val="en-US"/>
        </w:rPr>
      </w:pPr>
      <w:r w:rsidRPr="009051A8">
        <w:tab/>
      </w:r>
      <w:r w:rsidRPr="009051A8">
        <w:rPr>
          <w:rStyle w:val="FootnoteReference"/>
        </w:rPr>
        <w:footnoteRef/>
      </w:r>
      <w:r w:rsidRPr="009051A8">
        <w:rPr>
          <w:rStyle w:val="FootnoteReference"/>
          <w:lang w:val="en-US"/>
        </w:rPr>
        <w:t xml:space="preserve"> </w:t>
      </w:r>
      <w:r w:rsidRPr="009051A8">
        <w:rPr>
          <w:lang w:val="en-US"/>
        </w:rPr>
        <w:tab/>
        <w:t xml:space="preserve">See communication No. 511/1992, </w:t>
      </w:r>
      <w:r w:rsidRPr="009051A8">
        <w:rPr>
          <w:i/>
          <w:lang w:val="en-US"/>
        </w:rPr>
        <w:t xml:space="preserve">Ilmari Länsman, et al. v. </w:t>
      </w:r>
      <w:smartTag w:uri="urn:schemas-microsoft-com:office:smarttags" w:element="place">
        <w:smartTag w:uri="urn:schemas-microsoft-com:office:smarttags" w:element="country-region">
          <w:r w:rsidRPr="009051A8">
            <w:rPr>
              <w:i/>
              <w:lang w:val="en-US"/>
            </w:rPr>
            <w:t>Finland</w:t>
          </w:r>
        </w:smartTag>
      </w:smartTag>
      <w:r w:rsidRPr="009051A8">
        <w:rPr>
          <w:lang w:val="en-US"/>
        </w:rPr>
        <w:t xml:space="preserve">, </w:t>
      </w:r>
      <w:r w:rsidRPr="009051A8">
        <w:t>Views adopted on 14 October 1993</w:t>
      </w:r>
      <w:r w:rsidRPr="009051A8">
        <w:rPr>
          <w:lang w:val="en-US"/>
        </w:rPr>
        <w:t>.</w:t>
      </w:r>
    </w:p>
  </w:footnote>
  <w:footnote w:id="78">
    <w:p w:rsidR="002F656F" w:rsidRPr="009051A8" w:rsidRDefault="002F656F" w:rsidP="008A703E">
      <w:pPr>
        <w:pStyle w:val="FootnoteText"/>
        <w:jc w:val="both"/>
      </w:pPr>
      <w:r w:rsidRPr="009051A8">
        <w:rPr>
          <w:lang w:val="en-US"/>
        </w:rPr>
        <w:tab/>
      </w:r>
      <w:r w:rsidRPr="009051A8">
        <w:rPr>
          <w:rStyle w:val="FootnoteReference"/>
        </w:rPr>
        <w:footnoteRef/>
      </w:r>
      <w:r w:rsidRPr="009051A8">
        <w:t xml:space="preserve"> </w:t>
      </w:r>
      <w:r w:rsidRPr="009051A8">
        <w:tab/>
        <w:t xml:space="preserve">See communications Nos. 518/92, </w:t>
      </w:r>
      <w:r w:rsidRPr="009051A8">
        <w:rPr>
          <w:i/>
        </w:rPr>
        <w:t>Sohn v. Republic of Korea</w:t>
      </w:r>
      <w:r w:rsidRPr="009051A8">
        <w:t xml:space="preserve">; No. 926/2000, </w:t>
      </w:r>
      <w:r w:rsidRPr="009051A8">
        <w:rPr>
          <w:i/>
        </w:rPr>
        <w:t xml:space="preserve">Shin v. </w:t>
      </w:r>
      <w:smartTag w:uri="urn:schemas-microsoft-com:office:smarttags" w:element="place">
        <w:smartTag w:uri="urn:schemas-microsoft-com:office:smarttags" w:element="PlaceType">
          <w:r w:rsidRPr="009051A8">
            <w:rPr>
              <w:i/>
            </w:rPr>
            <w:t>Republic</w:t>
          </w:r>
        </w:smartTag>
        <w:r w:rsidRPr="009051A8">
          <w:rPr>
            <w:i/>
          </w:rPr>
          <w:t xml:space="preserve"> of </w:t>
        </w:r>
        <w:smartTag w:uri="urn:schemas-microsoft-com:office:smarttags" w:element="country-region">
          <w:smartTag w:uri="urn:schemas-microsoft-com:office:smarttags" w:element="PlaceName">
            <w:r w:rsidRPr="009051A8">
              <w:rPr>
                <w:i/>
              </w:rPr>
              <w:t>Korea</w:t>
            </w:r>
          </w:smartTag>
        </w:smartTag>
      </w:smartTag>
      <w:r w:rsidRPr="009051A8">
        <w:t>,.</w:t>
      </w:r>
    </w:p>
  </w:footnote>
  <w:footnote w:id="79">
    <w:p w:rsidR="002F656F" w:rsidRPr="009051A8" w:rsidRDefault="002F656F" w:rsidP="008A703E">
      <w:pPr>
        <w:pStyle w:val="FootnoteText"/>
        <w:jc w:val="both"/>
      </w:pPr>
      <w:r w:rsidRPr="009051A8">
        <w:rPr>
          <w:rStyle w:val="FootnoteReference"/>
        </w:rPr>
        <w:tab/>
      </w:r>
      <w:r w:rsidRPr="009051A8">
        <w:rPr>
          <w:rStyle w:val="FootnoteReference"/>
        </w:rPr>
        <w:footnoteRef/>
      </w:r>
      <w:r w:rsidRPr="009051A8">
        <w:tab/>
        <w:t xml:space="preserve">Concluding observations on </w:t>
      </w:r>
      <w:smartTag w:uri="urn:schemas-microsoft-com:office:smarttags" w:element="place">
        <w:smartTag w:uri="urn:schemas-microsoft-com:office:smarttags" w:element="country-region">
          <w:r w:rsidRPr="009051A8">
            <w:t>Japan</w:t>
          </w:r>
        </w:smartTag>
      </w:smartTag>
      <w:r w:rsidRPr="009051A8">
        <w:t xml:space="preserve"> (CCPR/C/JPN/CO/5).</w:t>
      </w:r>
    </w:p>
  </w:footnote>
  <w:footnote w:id="80">
    <w:p w:rsidR="002F656F" w:rsidRPr="009051A8" w:rsidRDefault="002F656F" w:rsidP="008A703E">
      <w:pPr>
        <w:pStyle w:val="FootnoteText"/>
        <w:jc w:val="both"/>
      </w:pPr>
      <w:r w:rsidRPr="00087D95">
        <w:tab/>
      </w:r>
      <w:r w:rsidRPr="009051A8">
        <w:rPr>
          <w:rStyle w:val="FootnoteReference"/>
        </w:rPr>
        <w:footnoteRef/>
      </w:r>
      <w:r w:rsidRPr="009051A8">
        <w:rPr>
          <w:rStyle w:val="FootnoteReference"/>
        </w:rPr>
        <w:t xml:space="preserve"> </w:t>
      </w:r>
      <w:r w:rsidRPr="009051A8">
        <w:tab/>
        <w:t>Ibid.</w:t>
      </w:r>
    </w:p>
  </w:footnote>
  <w:footnote w:id="81">
    <w:p w:rsidR="002F656F" w:rsidRPr="009051A8" w:rsidRDefault="002F656F" w:rsidP="008A703E">
      <w:pPr>
        <w:pStyle w:val="FootnoteText"/>
        <w:jc w:val="both"/>
      </w:pPr>
      <w:r w:rsidRPr="009051A8">
        <w:tab/>
      </w:r>
      <w:r w:rsidRPr="009051A8">
        <w:rPr>
          <w:rStyle w:val="FootnoteReference"/>
        </w:rPr>
        <w:footnoteRef/>
      </w:r>
      <w:r w:rsidRPr="009051A8">
        <w:t xml:space="preserve"> </w:t>
      </w:r>
      <w:r w:rsidRPr="009051A8">
        <w:tab/>
        <w:t xml:space="preserve">Concluding observations on </w:t>
      </w:r>
      <w:smartTag w:uri="urn:schemas-microsoft-com:office:smarttags" w:element="place">
        <w:smartTag w:uri="urn:schemas-microsoft-com:office:smarttags" w:element="country-region">
          <w:r w:rsidRPr="009051A8">
            <w:t>Tunisia</w:t>
          </w:r>
        </w:smartTag>
      </w:smartTag>
      <w:r w:rsidRPr="009051A8">
        <w:t xml:space="preserve"> (CCPR/C/TUN/CO/5).</w:t>
      </w:r>
    </w:p>
  </w:footnote>
  <w:footnote w:id="82">
    <w:p w:rsidR="002F656F" w:rsidRPr="009051A8" w:rsidRDefault="002F656F" w:rsidP="008A703E">
      <w:pPr>
        <w:pStyle w:val="FootnoteText"/>
        <w:jc w:val="both"/>
      </w:pPr>
      <w:r w:rsidRPr="00087D95">
        <w:tab/>
      </w:r>
      <w:r w:rsidRPr="009051A8">
        <w:rPr>
          <w:rStyle w:val="FootnoteReference"/>
        </w:rPr>
        <w:footnoteRef/>
      </w:r>
      <w:r w:rsidRPr="009051A8">
        <w:tab/>
        <w:t xml:space="preserve">Concluding observations on </w:t>
      </w:r>
      <w:smartTag w:uri="urn:schemas-microsoft-com:office:smarttags" w:element="country-region">
        <w:r w:rsidRPr="009051A8">
          <w:t>Togo</w:t>
        </w:r>
      </w:smartTag>
      <w:r w:rsidRPr="009051A8">
        <w:t xml:space="preserve"> (CCPR/CO/76/TGO); concluding observations on </w:t>
      </w:r>
      <w:smartTag w:uri="urn:schemas-microsoft-com:office:smarttags" w:element="place">
        <w:smartTag w:uri="urn:schemas-microsoft-com:office:smarttags" w:element="country-region">
          <w:r w:rsidRPr="009051A8">
            <w:t>Moldova</w:t>
          </w:r>
        </w:smartTag>
      </w:smartTag>
      <w:r w:rsidRPr="009051A8">
        <w:t xml:space="preserve"> (CCPR/CO/75/MDA).</w:t>
      </w:r>
    </w:p>
  </w:footnote>
  <w:footnote w:id="83">
    <w:p w:rsidR="002F656F" w:rsidRPr="009051A8" w:rsidRDefault="002F656F" w:rsidP="008A703E">
      <w:pPr>
        <w:pStyle w:val="FootnoteText"/>
        <w:jc w:val="both"/>
      </w:pPr>
      <w:r w:rsidRPr="00087D95">
        <w:tab/>
      </w:r>
      <w:r w:rsidRPr="009051A8">
        <w:rPr>
          <w:rStyle w:val="FootnoteReference"/>
        </w:rPr>
        <w:footnoteRef/>
      </w:r>
      <w:r w:rsidRPr="009051A8">
        <w:t xml:space="preserve"> </w:t>
      </w:r>
      <w:r w:rsidRPr="009051A8">
        <w:tab/>
        <w:t xml:space="preserve">See communication No. 968/2001, </w:t>
      </w:r>
      <w:r w:rsidRPr="009051A8">
        <w:rPr>
          <w:i/>
        </w:rPr>
        <w:t>Kim v. Republic of Korea</w:t>
      </w:r>
      <w:r w:rsidRPr="009051A8">
        <w:t>, Views adopted on 14 March 1996.</w:t>
      </w:r>
    </w:p>
  </w:footnote>
  <w:footnote w:id="84">
    <w:p w:rsidR="002F656F" w:rsidRPr="009051A8"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t xml:space="preserve">See communication No. 1180/2003, </w:t>
      </w:r>
      <w:r w:rsidRPr="009051A8">
        <w:rPr>
          <w:i/>
        </w:rPr>
        <w:t xml:space="preserve">Bodrozic v. </w:t>
      </w:r>
      <w:smartTag w:uri="urn:schemas-microsoft-com:office:smarttags" w:element="country-region">
        <w:r w:rsidRPr="009051A8">
          <w:rPr>
            <w:i/>
          </w:rPr>
          <w:t>Serbia</w:t>
        </w:r>
      </w:smartTag>
      <w:r w:rsidRPr="009051A8">
        <w:rPr>
          <w:i/>
        </w:rPr>
        <w:t xml:space="preserve"> and </w:t>
      </w:r>
      <w:smartTag w:uri="urn:schemas-microsoft-com:office:smarttags" w:element="place">
        <w:smartTag w:uri="urn:schemas-microsoft-com:office:smarttags" w:element="country-region">
          <w:r w:rsidRPr="009051A8">
            <w:rPr>
              <w:i/>
            </w:rPr>
            <w:t>Montenegro</w:t>
          </w:r>
        </w:smartTag>
      </w:smartTag>
      <w:r w:rsidRPr="009051A8">
        <w:t>, Views adopted on 31 October 2005.</w:t>
      </w:r>
    </w:p>
  </w:footnote>
  <w:footnote w:id="85">
    <w:p w:rsidR="002F656F" w:rsidRPr="009051A8" w:rsidRDefault="002F656F" w:rsidP="008A703E">
      <w:pPr>
        <w:pStyle w:val="FootnoteText"/>
        <w:jc w:val="both"/>
        <w:rPr>
          <w:lang w:val="fr-FR"/>
        </w:rPr>
      </w:pPr>
      <w:r w:rsidRPr="009051A8">
        <w:tab/>
      </w:r>
      <w:r w:rsidRPr="009051A8">
        <w:rPr>
          <w:rStyle w:val="FootnoteReference"/>
        </w:rPr>
        <w:footnoteRef/>
      </w:r>
      <w:r w:rsidRPr="009051A8">
        <w:rPr>
          <w:lang w:val="fr-FR"/>
        </w:rPr>
        <w:tab/>
        <w:t>Ibid.</w:t>
      </w:r>
    </w:p>
  </w:footnote>
  <w:footnote w:id="86">
    <w:p w:rsidR="002F656F" w:rsidRPr="009051A8" w:rsidRDefault="002F656F" w:rsidP="008A703E">
      <w:pPr>
        <w:pStyle w:val="FootnoteText"/>
        <w:jc w:val="both"/>
        <w:rPr>
          <w:lang w:val="fr-FR"/>
        </w:rPr>
      </w:pPr>
      <w:r w:rsidRPr="009051A8">
        <w:rPr>
          <w:lang w:val="fr-FR"/>
        </w:rPr>
        <w:tab/>
      </w:r>
      <w:r w:rsidRPr="009051A8">
        <w:rPr>
          <w:rStyle w:val="FootnoteReference"/>
        </w:rPr>
        <w:footnoteRef/>
      </w:r>
      <w:r w:rsidRPr="009051A8">
        <w:rPr>
          <w:lang w:val="fr-FR"/>
        </w:rPr>
        <w:t xml:space="preserve"> </w:t>
      </w:r>
      <w:r w:rsidRPr="009051A8">
        <w:rPr>
          <w:lang w:val="fr-FR"/>
        </w:rPr>
        <w:tab/>
        <w:t xml:space="preserve">See communication No. 1128/2002, </w:t>
      </w:r>
      <w:r w:rsidRPr="009051A8">
        <w:rPr>
          <w:i/>
          <w:lang w:val="fr-FR"/>
        </w:rPr>
        <w:t>Marques v. Angola</w:t>
      </w:r>
      <w:r w:rsidRPr="009051A8">
        <w:rPr>
          <w:lang w:val="fr-FR"/>
        </w:rPr>
        <w:t>.</w:t>
      </w:r>
    </w:p>
  </w:footnote>
  <w:footnote w:id="87">
    <w:p w:rsidR="002F656F" w:rsidRPr="009051A8" w:rsidRDefault="002F656F" w:rsidP="00E264E2">
      <w:pPr>
        <w:pStyle w:val="FootnoteText"/>
        <w:jc w:val="both"/>
        <w:rPr>
          <w:lang w:val="en-US"/>
        </w:rPr>
      </w:pPr>
      <w:r w:rsidRPr="009051A8">
        <w:rPr>
          <w:lang w:val="fr-FR"/>
        </w:rPr>
        <w:tab/>
      </w:r>
      <w:r w:rsidRPr="009051A8">
        <w:rPr>
          <w:rStyle w:val="FootnoteReference"/>
        </w:rPr>
        <w:footnoteRef/>
      </w:r>
      <w:r w:rsidRPr="009051A8">
        <w:rPr>
          <w:rStyle w:val="FootnoteReference"/>
        </w:rPr>
        <w:tab/>
      </w:r>
      <w:r w:rsidRPr="009051A8">
        <w:t xml:space="preserve">See communications </w:t>
      </w:r>
      <w:r w:rsidRPr="009051A8">
        <w:rPr>
          <w:lang w:val="en-US"/>
        </w:rPr>
        <w:t xml:space="preserve">Nos. 422-424/1990, </w:t>
      </w:r>
      <w:r w:rsidRPr="009051A8">
        <w:rPr>
          <w:i/>
          <w:lang w:val="en-US"/>
        </w:rPr>
        <w:t>Aduayom et al. v. Togo</w:t>
      </w:r>
      <w:r w:rsidRPr="009051A8">
        <w:rPr>
          <w:lang w:val="en-US"/>
        </w:rPr>
        <w:t xml:space="preserve">, </w:t>
      </w:r>
      <w:r w:rsidRPr="009051A8">
        <w:t>Views adopted on 30 June 1994</w:t>
      </w:r>
      <w:r w:rsidRPr="009051A8">
        <w:rPr>
          <w:lang w:val="en-US"/>
        </w:rPr>
        <w:t>.</w:t>
      </w:r>
    </w:p>
  </w:footnote>
  <w:footnote w:id="88">
    <w:p w:rsidR="002F656F" w:rsidRPr="009051A8" w:rsidRDefault="002F656F" w:rsidP="008A703E">
      <w:pPr>
        <w:pStyle w:val="FootnoteText"/>
        <w:jc w:val="both"/>
      </w:pPr>
      <w:r w:rsidRPr="009051A8">
        <w:rPr>
          <w:lang w:val="en-US"/>
        </w:rPr>
        <w:tab/>
      </w:r>
      <w:r w:rsidRPr="009051A8">
        <w:rPr>
          <w:rStyle w:val="FootnoteReference"/>
        </w:rPr>
        <w:footnoteRef/>
      </w:r>
      <w:r w:rsidRPr="009051A8">
        <w:t xml:space="preserve"> </w:t>
      </w:r>
      <w:r w:rsidRPr="009051A8">
        <w:tab/>
        <w:t xml:space="preserve">Concluding observations on the </w:t>
      </w:r>
      <w:smartTag w:uri="urn:schemas-microsoft-com:office:smarttags" w:element="place">
        <w:smartTag w:uri="urn:schemas-microsoft-com:office:smarttags" w:element="country-region">
          <w:r w:rsidRPr="009051A8">
            <w:t>Dominican Republic</w:t>
          </w:r>
        </w:smartTag>
      </w:smartTag>
      <w:r w:rsidRPr="009051A8">
        <w:t xml:space="preserve"> (CCPR/CO/71/DOM).</w:t>
      </w:r>
    </w:p>
  </w:footnote>
  <w:footnote w:id="89">
    <w:p w:rsidR="002F656F" w:rsidRPr="009051A8" w:rsidRDefault="002F656F" w:rsidP="008A703E">
      <w:pPr>
        <w:pStyle w:val="FootnoteText"/>
        <w:jc w:val="both"/>
      </w:pPr>
      <w:r w:rsidRPr="00087D95">
        <w:tab/>
      </w:r>
      <w:r w:rsidRPr="009051A8">
        <w:rPr>
          <w:rStyle w:val="FootnoteReference"/>
        </w:rPr>
        <w:footnoteRef/>
      </w:r>
      <w:r w:rsidRPr="009051A8">
        <w:rPr>
          <w:rStyle w:val="FootnoteReference"/>
        </w:rPr>
        <w:t xml:space="preserve"> </w:t>
      </w:r>
      <w:r w:rsidRPr="009051A8">
        <w:tab/>
        <w:t xml:space="preserve">Concluding observations on </w:t>
      </w:r>
      <w:smartTag w:uri="urn:schemas-microsoft-com:office:smarttags" w:element="place">
        <w:smartTag w:uri="urn:schemas-microsoft-com:office:smarttags" w:element="country-region">
          <w:r w:rsidRPr="009051A8">
            <w:t>Honduras</w:t>
          </w:r>
        </w:smartTag>
      </w:smartTag>
      <w:r w:rsidRPr="009051A8">
        <w:t xml:space="preserve"> (CCPR/C/HND/CO/1).</w:t>
      </w:r>
    </w:p>
  </w:footnote>
  <w:footnote w:id="90">
    <w:p w:rsidR="002F656F" w:rsidRPr="00087D95"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t xml:space="preserve">See concluding observations on </w:t>
      </w:r>
      <w:smartTag w:uri="urn:schemas-microsoft-com:office:smarttags" w:element="place">
        <w:smartTag w:uri="urn:schemas-microsoft-com:office:smarttags" w:element="country-region">
          <w:r w:rsidRPr="009051A8">
            <w:t>Zambia</w:t>
          </w:r>
        </w:smartTag>
      </w:smartTag>
      <w:r w:rsidRPr="009051A8">
        <w:t xml:space="preserve"> (CCPR/ZMB/CO/3), para.25.</w:t>
      </w:r>
    </w:p>
  </w:footnote>
  <w:footnote w:id="91">
    <w:p w:rsidR="002F656F" w:rsidRPr="009051A8"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t xml:space="preserve">See concluding observations on </w:t>
      </w:r>
      <w:smartTag w:uri="urn:schemas-microsoft-com:office:smarttags" w:element="place">
        <w:smartTag w:uri="urn:schemas-microsoft-com:office:smarttags" w:element="country-region">
          <w:r w:rsidRPr="009051A8">
            <w:t>Costa Rica</w:t>
          </w:r>
        </w:smartTag>
      </w:smartTag>
      <w:r w:rsidRPr="009051A8">
        <w:t xml:space="preserve"> (CCPR/C/CRI/CO/5), para. 11.</w:t>
      </w:r>
    </w:p>
  </w:footnote>
  <w:footnote w:id="92">
    <w:p w:rsidR="002F656F" w:rsidRPr="009051A8"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r>
      <w:r w:rsidRPr="00087D95">
        <w:t xml:space="preserve">Ibid., </w:t>
      </w:r>
      <w:r w:rsidRPr="009051A8">
        <w:t xml:space="preserve">and see concluding observations on </w:t>
      </w:r>
      <w:smartTag w:uri="urn:schemas-microsoft-com:office:smarttags" w:element="place">
        <w:smartTag w:uri="urn:schemas-microsoft-com:office:smarttags" w:element="country-region">
          <w:r w:rsidRPr="009051A8">
            <w:t>Tunisia</w:t>
          </w:r>
        </w:smartTag>
      </w:smartTag>
      <w:r w:rsidRPr="009051A8">
        <w:t xml:space="preserve"> (CCPR/C/TUN/CO/5), para. 91..</w:t>
      </w:r>
    </w:p>
  </w:footnote>
  <w:footnote w:id="93">
    <w:p w:rsidR="002F656F" w:rsidRPr="009051A8"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r>
      <w:r w:rsidRPr="00087D95">
        <w:t xml:space="preserve">See </w:t>
      </w:r>
      <w:r w:rsidRPr="009051A8">
        <w:t xml:space="preserve">concluding observations on </w:t>
      </w:r>
      <w:smartTag w:uri="urn:schemas-microsoft-com:office:smarttags" w:element="country-region">
        <w:smartTag w:uri="urn:schemas-microsoft-com:office:smarttags" w:element="place">
          <w:r w:rsidRPr="009051A8">
            <w:t>Viet Nam</w:t>
          </w:r>
        </w:smartTag>
      </w:smartTag>
      <w:r w:rsidRPr="009051A8">
        <w:t xml:space="preserve"> (CCPR/CO/75/VNM), para. 18, and concluding observations on </w:t>
      </w:r>
      <w:smartTag w:uri="urn:schemas-microsoft-com:office:smarttags" w:element="place">
        <w:smartTag w:uri="urn:schemas-microsoft-com:office:smarttags" w:element="country-region">
          <w:r w:rsidRPr="009051A8">
            <w:t>Lesotho</w:t>
          </w:r>
        </w:smartTag>
      </w:smartTag>
      <w:r w:rsidRPr="009051A8">
        <w:t xml:space="preserve"> (CCPR/CO/79/Add.106</w:t>
      </w:r>
      <w:r w:rsidRPr="00087D95">
        <w:t>)</w:t>
      </w:r>
      <w:r w:rsidRPr="009051A8">
        <w:t>, para. 23.</w:t>
      </w:r>
    </w:p>
  </w:footnote>
  <w:footnote w:id="94">
    <w:p w:rsidR="002F656F" w:rsidRPr="009051A8" w:rsidRDefault="002F656F" w:rsidP="008A703E">
      <w:pPr>
        <w:pStyle w:val="FootnoteText"/>
        <w:jc w:val="both"/>
      </w:pPr>
      <w:r w:rsidRPr="009051A8">
        <w:tab/>
      </w:r>
      <w:r w:rsidRPr="009051A8">
        <w:rPr>
          <w:rStyle w:val="FootnoteReference"/>
        </w:rPr>
        <w:footnoteRef/>
      </w:r>
      <w:r w:rsidRPr="009051A8">
        <w:tab/>
        <w:t xml:space="preserve">Concluding observations on </w:t>
      </w:r>
      <w:smartTag w:uri="urn:schemas-microsoft-com:office:smarttags" w:element="place">
        <w:smartTag w:uri="urn:schemas-microsoft-com:office:smarttags" w:element="country-region">
          <w:r w:rsidRPr="009051A8">
            <w:t>Gambia</w:t>
          </w:r>
        </w:smartTag>
      </w:smartTag>
      <w:r w:rsidRPr="009051A8">
        <w:t xml:space="preserve"> (CCPR/CO/75/GMB).</w:t>
      </w:r>
    </w:p>
  </w:footnote>
  <w:footnote w:id="95">
    <w:p w:rsidR="002F656F" w:rsidRPr="009051A8" w:rsidRDefault="002F656F" w:rsidP="008A703E">
      <w:pPr>
        <w:pStyle w:val="FootnoteText"/>
        <w:jc w:val="both"/>
      </w:pPr>
      <w:r w:rsidRPr="009051A8">
        <w:tab/>
      </w:r>
      <w:r w:rsidRPr="009051A8">
        <w:rPr>
          <w:rStyle w:val="FootnoteReference"/>
        </w:rPr>
        <w:footnoteRef/>
      </w:r>
      <w:r w:rsidRPr="009051A8">
        <w:tab/>
        <w:t xml:space="preserve">See concluding observations on </w:t>
      </w:r>
      <w:smartTag w:uri="urn:schemas-microsoft-com:office:smarttags" w:element="place">
        <w:smartTag w:uri="urn:schemas-microsoft-com:office:smarttags" w:element="country-region">
          <w:r w:rsidRPr="009051A8">
            <w:t>Lebanon</w:t>
          </w:r>
        </w:smartTag>
      </w:smartTag>
      <w:r w:rsidRPr="009051A8">
        <w:t xml:space="preserve"> (CCPR/CO/79/Add.78), para. 25.</w:t>
      </w:r>
    </w:p>
  </w:footnote>
  <w:footnote w:id="96">
    <w:p w:rsidR="002F656F" w:rsidRPr="009051A8" w:rsidRDefault="002F656F" w:rsidP="008A703E">
      <w:pPr>
        <w:pStyle w:val="FootnoteText"/>
        <w:jc w:val="both"/>
      </w:pPr>
      <w:r w:rsidRPr="00087D95">
        <w:tab/>
      </w:r>
      <w:r w:rsidRPr="009051A8">
        <w:rPr>
          <w:rStyle w:val="FootnoteReference"/>
        </w:rPr>
        <w:footnoteRef/>
      </w:r>
      <w:r w:rsidRPr="009051A8">
        <w:tab/>
        <w:t xml:space="preserve">Concluding observations on </w:t>
      </w:r>
      <w:smartTag w:uri="urn:schemas-microsoft-com:office:smarttags" w:element="country-region">
        <w:r w:rsidRPr="009051A8">
          <w:t>Kuwait</w:t>
        </w:r>
      </w:smartTag>
      <w:r w:rsidRPr="009051A8">
        <w:t xml:space="preserve"> (CCPR/CO/69/KWT); concluding observations on </w:t>
      </w:r>
      <w:smartTag w:uri="urn:schemas-microsoft-com:office:smarttags" w:element="place">
        <w:smartTag w:uri="urn:schemas-microsoft-com:office:smarttags" w:element="country-region">
          <w:r w:rsidRPr="009051A8">
            <w:t>Ukraine</w:t>
          </w:r>
        </w:smartTag>
      </w:smartTag>
      <w:r w:rsidRPr="009051A8">
        <w:t xml:space="preserve"> (CCPR/CO/73/UKR).</w:t>
      </w:r>
    </w:p>
  </w:footnote>
  <w:footnote w:id="97">
    <w:p w:rsidR="002F656F" w:rsidRPr="009051A8" w:rsidRDefault="002F656F" w:rsidP="008A703E">
      <w:pPr>
        <w:pStyle w:val="FootnoteText"/>
        <w:jc w:val="both"/>
      </w:pPr>
      <w:r w:rsidRPr="009051A8">
        <w:rPr>
          <w:rStyle w:val="FootnoteReference"/>
        </w:rPr>
        <w:tab/>
      </w:r>
      <w:r w:rsidRPr="009051A8">
        <w:rPr>
          <w:rStyle w:val="FootnoteReference"/>
        </w:rPr>
        <w:footnoteRef/>
      </w:r>
      <w:r w:rsidRPr="009051A8">
        <w:rPr>
          <w:rStyle w:val="FootnoteReference"/>
        </w:rPr>
        <w:t xml:space="preserve"> </w:t>
      </w:r>
      <w:r w:rsidRPr="009051A8">
        <w:tab/>
        <w:t xml:space="preserve">Concluding observations on </w:t>
      </w:r>
      <w:smartTag w:uri="urn:schemas-microsoft-com:office:smarttags" w:element="place">
        <w:smartTag w:uri="urn:schemas-microsoft-com:office:smarttags" w:element="country-region">
          <w:r w:rsidRPr="009051A8">
            <w:t>Kyrgyzstan</w:t>
          </w:r>
        </w:smartTag>
      </w:smartTag>
      <w:r w:rsidRPr="009051A8">
        <w:t xml:space="preserve"> (CCPR/CO/69/KGZ).</w:t>
      </w:r>
    </w:p>
  </w:footnote>
  <w:footnote w:id="98">
    <w:p w:rsidR="002F656F" w:rsidRPr="009051A8" w:rsidRDefault="002F656F" w:rsidP="008A703E">
      <w:pPr>
        <w:pStyle w:val="FootnoteText"/>
        <w:jc w:val="both"/>
      </w:pPr>
      <w:r w:rsidRPr="00087D95">
        <w:tab/>
      </w:r>
      <w:r w:rsidRPr="009051A8">
        <w:rPr>
          <w:rStyle w:val="FootnoteReference"/>
        </w:rPr>
        <w:footnoteRef/>
      </w:r>
      <w:r w:rsidRPr="009051A8">
        <w:t xml:space="preserve"> </w:t>
      </w:r>
      <w:r w:rsidRPr="009051A8">
        <w:tab/>
        <w:t xml:space="preserve">Concluding observations on </w:t>
      </w:r>
      <w:smartTag w:uri="urn:schemas-microsoft-com:office:smarttags" w:element="place">
        <w:smartTag w:uri="urn:schemas-microsoft-com:office:smarttags" w:element="country-region">
          <w:r w:rsidRPr="009051A8">
            <w:t>Ukraine</w:t>
          </w:r>
        </w:smartTag>
      </w:smartTag>
      <w:r w:rsidRPr="009051A8">
        <w:t xml:space="preserve"> (CCPR/CO/73/UKR).</w:t>
      </w:r>
    </w:p>
  </w:footnote>
  <w:footnote w:id="99">
    <w:p w:rsidR="002F656F" w:rsidRPr="009051A8" w:rsidRDefault="002F656F" w:rsidP="008A703E">
      <w:pPr>
        <w:pStyle w:val="FootnoteText"/>
        <w:jc w:val="both"/>
      </w:pPr>
      <w:r w:rsidRPr="009051A8">
        <w:tab/>
      </w:r>
      <w:r w:rsidRPr="009051A8">
        <w:rPr>
          <w:rStyle w:val="FootnoteReference"/>
        </w:rPr>
        <w:footnoteRef/>
      </w:r>
      <w:r w:rsidRPr="009051A8">
        <w:tab/>
        <w:t xml:space="preserve">Concluding observations on </w:t>
      </w:r>
      <w:smartTag w:uri="urn:schemas-microsoft-com:office:smarttags" w:element="place">
        <w:smartTag w:uri="urn:schemas-microsoft-com:office:smarttags" w:element="country-region">
          <w:r w:rsidRPr="009051A8">
            <w:t>Lebanon</w:t>
          </w:r>
        </w:smartTag>
      </w:smartTag>
      <w:r w:rsidRPr="009051A8">
        <w:t xml:space="preserve"> (CCPR/CO/79/Add.78).</w:t>
      </w:r>
    </w:p>
  </w:footnote>
  <w:footnote w:id="100">
    <w:p w:rsidR="002F656F" w:rsidRPr="009051A8" w:rsidRDefault="002F656F" w:rsidP="00805AB3">
      <w:pPr>
        <w:pStyle w:val="FootnoteText"/>
        <w:jc w:val="both"/>
      </w:pPr>
      <w:r w:rsidRPr="009051A8">
        <w:tab/>
      </w:r>
      <w:r w:rsidRPr="009051A8">
        <w:rPr>
          <w:rStyle w:val="FootnoteReference"/>
        </w:rPr>
        <w:footnoteRef/>
      </w:r>
      <w:r w:rsidRPr="009051A8">
        <w:t xml:space="preserve"> </w:t>
      </w:r>
      <w:r w:rsidRPr="009051A8">
        <w:tab/>
        <w:t xml:space="preserve">See concluding observations on </w:t>
      </w:r>
      <w:smartTag w:uri="urn:schemas-microsoft-com:office:smarttags" w:element="place">
        <w:smartTag w:uri="urn:schemas-microsoft-com:office:smarttags" w:element="country-region">
          <w:r w:rsidRPr="009051A8">
            <w:t>Guyana</w:t>
          </w:r>
        </w:smartTag>
      </w:smartTag>
      <w:r w:rsidRPr="009051A8">
        <w:t xml:space="preserve"> (CCPR/CO/79/Add.121), para. 19;</w:t>
      </w:r>
      <w:r w:rsidRPr="00087D95">
        <w:t xml:space="preserve"> concluding observations on the Russian Federation (CCPR/CO/79/RUS); concluding observations on Viet</w:t>
      </w:r>
      <w:r w:rsidRPr="009051A8">
        <w:t xml:space="preserve"> Nam (CCPR/CO/75/VNM); concluding observations on Italy (CCPR/C/79/Add. 37).</w:t>
      </w:r>
    </w:p>
  </w:footnote>
  <w:footnote w:id="101">
    <w:p w:rsidR="002F656F" w:rsidRPr="009051A8" w:rsidRDefault="002F656F" w:rsidP="008A703E">
      <w:pPr>
        <w:pStyle w:val="FootnoteText"/>
        <w:jc w:val="both"/>
      </w:pPr>
      <w:r w:rsidRPr="009051A8">
        <w:tab/>
      </w:r>
      <w:r w:rsidRPr="009051A8">
        <w:rPr>
          <w:rStyle w:val="FootnoteReference"/>
        </w:rPr>
        <w:footnoteRef/>
      </w:r>
      <w:r w:rsidRPr="009051A8">
        <w:t xml:space="preserve"> </w:t>
      </w:r>
      <w:r w:rsidRPr="009051A8">
        <w:tab/>
        <w:t xml:space="preserve">See concluding observations on </w:t>
      </w:r>
      <w:smartTag w:uri="urn:schemas-microsoft-com:office:smarttags" w:element="place">
        <w:smartTag w:uri="urn:schemas-microsoft-com:office:smarttags" w:element="country-region">
          <w:r w:rsidRPr="009051A8">
            <w:t>Lesotho</w:t>
          </w:r>
        </w:smartTag>
      </w:smartTag>
      <w:r w:rsidRPr="009051A8">
        <w:t xml:space="preserve"> (CCPR/CO/79/Add.106), para. 22.</w:t>
      </w:r>
    </w:p>
  </w:footnote>
  <w:footnote w:id="102">
    <w:p w:rsidR="002F656F" w:rsidRPr="009051A8" w:rsidRDefault="002F656F" w:rsidP="008A703E">
      <w:pPr>
        <w:pStyle w:val="FootnoteText"/>
        <w:jc w:val="both"/>
      </w:pPr>
      <w:r w:rsidRPr="00087D95">
        <w:tab/>
      </w:r>
      <w:r w:rsidRPr="009051A8">
        <w:rPr>
          <w:rStyle w:val="FootnoteReference"/>
        </w:rPr>
        <w:footnoteRef/>
      </w:r>
      <w:r w:rsidRPr="009051A8">
        <w:t xml:space="preserve"> </w:t>
      </w:r>
      <w:r w:rsidRPr="009051A8">
        <w:tab/>
        <w:t xml:space="preserve">Concluding observations on </w:t>
      </w:r>
      <w:smartTag w:uri="urn:schemas-microsoft-com:office:smarttags" w:element="place">
        <w:smartTag w:uri="urn:schemas-microsoft-com:office:smarttags" w:element="country-region">
          <w:r w:rsidRPr="009051A8">
            <w:t>Ukraine</w:t>
          </w:r>
        </w:smartTag>
      </w:smartTag>
      <w:r w:rsidRPr="009051A8">
        <w:t xml:space="preserve"> (CCPR/CO/73/UKR).</w:t>
      </w:r>
    </w:p>
  </w:footnote>
  <w:footnote w:id="103">
    <w:p w:rsidR="002F656F" w:rsidRPr="009051A8" w:rsidRDefault="002F656F" w:rsidP="008A703E">
      <w:pPr>
        <w:pStyle w:val="FootnoteText"/>
        <w:jc w:val="both"/>
      </w:pPr>
      <w:r w:rsidRPr="009051A8">
        <w:tab/>
      </w:r>
      <w:r w:rsidRPr="009051A8">
        <w:rPr>
          <w:rStyle w:val="FootnoteReference"/>
        </w:rPr>
        <w:footnoteRef/>
      </w:r>
      <w:r w:rsidRPr="009051A8">
        <w:t xml:space="preserve"> </w:t>
      </w:r>
      <w:r w:rsidRPr="009051A8">
        <w:tab/>
      </w:r>
      <w:r w:rsidRPr="00087D95">
        <w:t xml:space="preserve">Concluding observations on </w:t>
      </w:r>
      <w:smartTag w:uri="urn:schemas-microsoft-com:office:smarttags" w:element="country-region">
        <w:r w:rsidRPr="00087D95">
          <w:t>Sri Lanka</w:t>
        </w:r>
      </w:smartTag>
      <w:r w:rsidRPr="00087D95">
        <w:t xml:space="preserve"> (CCPR/CO/79/LKA); </w:t>
      </w:r>
      <w:r w:rsidRPr="009051A8">
        <w:t xml:space="preserve">and see concluding observations on </w:t>
      </w:r>
      <w:smartTag w:uri="urn:schemas-microsoft-com:office:smarttags" w:element="country-region">
        <w:smartTag w:uri="urn:schemas-microsoft-com:office:smarttags" w:element="place">
          <w:r w:rsidRPr="009051A8">
            <w:t>Togo</w:t>
          </w:r>
        </w:smartTag>
      </w:smartTag>
      <w:r w:rsidRPr="009051A8">
        <w:t xml:space="preserve"> (CCPR/CO/76/TGO), para. 17.</w:t>
      </w:r>
    </w:p>
  </w:footnote>
  <w:footnote w:id="104">
    <w:p w:rsidR="002F656F" w:rsidRPr="009051A8" w:rsidRDefault="002F656F" w:rsidP="008A703E">
      <w:pPr>
        <w:pStyle w:val="FootnoteText"/>
        <w:jc w:val="both"/>
      </w:pPr>
      <w:r w:rsidRPr="00087D95">
        <w:tab/>
      </w:r>
      <w:r w:rsidRPr="009051A8">
        <w:rPr>
          <w:rStyle w:val="FootnoteReference"/>
        </w:rPr>
        <w:footnoteRef/>
      </w:r>
      <w:r w:rsidRPr="009051A8">
        <w:tab/>
        <w:t xml:space="preserve">Concluding observations on </w:t>
      </w:r>
      <w:smartTag w:uri="urn:schemas-microsoft-com:office:smarttags" w:element="place">
        <w:smartTag w:uri="urn:schemas-microsoft-com:office:smarttags" w:element="country-region">
          <w:r w:rsidRPr="009051A8">
            <w:t>Peru</w:t>
          </w:r>
        </w:smartTag>
      </w:smartTag>
      <w:r w:rsidRPr="009051A8">
        <w:t xml:space="preserve"> (CCPR/CO/70/PER).</w:t>
      </w:r>
    </w:p>
  </w:footnote>
  <w:footnote w:id="105">
    <w:p w:rsidR="002F656F" w:rsidRPr="009051A8" w:rsidRDefault="002F656F" w:rsidP="008A703E">
      <w:pPr>
        <w:pStyle w:val="FootnoteText"/>
        <w:jc w:val="both"/>
      </w:pPr>
      <w:r w:rsidRPr="00087D95">
        <w:rPr>
          <w:rStyle w:val="FootnoteReference"/>
        </w:rPr>
        <w:tab/>
      </w:r>
      <w:r w:rsidRPr="009051A8">
        <w:rPr>
          <w:rStyle w:val="FootnoteReference"/>
        </w:rPr>
        <w:footnoteRef/>
      </w:r>
      <w:r w:rsidRPr="009051A8">
        <w:tab/>
        <w:t xml:space="preserve">Concluding observations on the </w:t>
      </w:r>
      <w:smartTag w:uri="urn:schemas-microsoft-com:office:smarttags" w:element="place">
        <w:smartTag w:uri="urn:schemas-microsoft-com:office:smarttags" w:element="PlaceName">
          <w:r w:rsidRPr="009051A8">
            <w:t>Syrian</w:t>
          </w:r>
        </w:smartTag>
        <w:r w:rsidRPr="009051A8">
          <w:t xml:space="preserve"> </w:t>
        </w:r>
        <w:smartTag w:uri="urn:schemas-microsoft-com:office:smarttags" w:element="PlaceName">
          <w:r w:rsidRPr="009051A8">
            <w:t>Arab</w:t>
          </w:r>
        </w:smartTag>
        <w:r w:rsidRPr="009051A8">
          <w:t xml:space="preserve"> </w:t>
        </w:r>
        <w:smartTag w:uri="urn:schemas-microsoft-com:office:smarttags" w:element="PlaceType">
          <w:r w:rsidRPr="009051A8">
            <w:t>Republic</w:t>
          </w:r>
        </w:smartTag>
      </w:smartTag>
      <w:r w:rsidRPr="009051A8">
        <w:t xml:space="preserve"> (CCPR/CO/84/SYR).</w:t>
      </w:r>
    </w:p>
  </w:footnote>
  <w:footnote w:id="106">
    <w:p w:rsidR="002F656F" w:rsidRPr="009051A8" w:rsidRDefault="002F656F" w:rsidP="00E264E2">
      <w:pPr>
        <w:pStyle w:val="FootnoteText"/>
        <w:jc w:val="both"/>
      </w:pPr>
      <w:r w:rsidRPr="00087D95">
        <w:tab/>
      </w:r>
      <w:r w:rsidRPr="009051A8">
        <w:rPr>
          <w:rStyle w:val="FootnoteReference"/>
        </w:rPr>
        <w:footnoteRef/>
      </w:r>
      <w:r w:rsidRPr="009051A8">
        <w:rPr>
          <w:rStyle w:val="FootnoteReference"/>
        </w:rPr>
        <w:t xml:space="preserve"> </w:t>
      </w:r>
      <w:r w:rsidRPr="009051A8">
        <w:tab/>
        <w:t xml:space="preserve">Concluding observations on </w:t>
      </w:r>
      <w:smartTag w:uri="urn:schemas-microsoft-com:office:smarttags" w:element="country-region">
        <w:r w:rsidRPr="009051A8">
          <w:t>Uzbekistan</w:t>
        </w:r>
      </w:smartTag>
      <w:r w:rsidRPr="009051A8">
        <w:t xml:space="preserve"> (CCPR/CO/83/UZB); concluding observations on </w:t>
      </w:r>
      <w:smartTag w:uri="urn:schemas-microsoft-com:office:smarttags" w:element="place">
        <w:smartTag w:uri="urn:schemas-microsoft-com:office:smarttags" w:element="country-region">
          <w:r w:rsidRPr="009051A8">
            <w:t>Morocco</w:t>
          </w:r>
        </w:smartTag>
      </w:smartTag>
      <w:r w:rsidRPr="009051A8">
        <w:t xml:space="preserve"> (CCPR/CO/82/MAR).</w:t>
      </w:r>
    </w:p>
  </w:footnote>
  <w:footnote w:id="107">
    <w:p w:rsidR="002F656F" w:rsidRPr="009051A8" w:rsidRDefault="002F656F" w:rsidP="00E264E2">
      <w:pPr>
        <w:pStyle w:val="FootnoteText"/>
        <w:jc w:val="both"/>
      </w:pPr>
      <w:r w:rsidRPr="00087D95">
        <w:tab/>
      </w:r>
      <w:r w:rsidRPr="009051A8">
        <w:rPr>
          <w:rStyle w:val="FootnoteReference"/>
        </w:rPr>
        <w:footnoteRef/>
      </w:r>
      <w:r w:rsidRPr="009051A8">
        <w:tab/>
        <w:t xml:space="preserve">Concluding observations on Democratic People’s </w:t>
      </w:r>
      <w:smartTag w:uri="urn:schemas-microsoft-com:office:smarttags" w:element="place">
        <w:smartTag w:uri="urn:schemas-microsoft-com:office:smarttags" w:element="PlaceType">
          <w:r w:rsidRPr="009051A8">
            <w:t>Republic</w:t>
          </w:r>
        </w:smartTag>
        <w:r w:rsidRPr="009051A8">
          <w:t xml:space="preserve"> of </w:t>
        </w:r>
        <w:smartTag w:uri="urn:schemas-microsoft-com:office:smarttags" w:element="PlaceName">
          <w:r w:rsidRPr="009051A8">
            <w:t>Korea</w:t>
          </w:r>
        </w:smartTag>
      </w:smartTag>
      <w:r w:rsidRPr="009051A8">
        <w:t xml:space="preserve"> (CCPR/CO/72/PRK).</w:t>
      </w:r>
    </w:p>
  </w:footnote>
  <w:footnote w:id="108">
    <w:p w:rsidR="002F656F" w:rsidRPr="009051A8" w:rsidRDefault="002F656F" w:rsidP="00E264E2">
      <w:pPr>
        <w:pStyle w:val="FootnoteText"/>
        <w:jc w:val="both"/>
      </w:pPr>
      <w:r w:rsidRPr="00087D95">
        <w:tab/>
      </w:r>
      <w:r w:rsidRPr="009051A8">
        <w:rPr>
          <w:rStyle w:val="FootnoteReference"/>
        </w:rPr>
        <w:footnoteRef/>
      </w:r>
      <w:r w:rsidRPr="009051A8">
        <w:rPr>
          <w:rStyle w:val="FootnoteReference"/>
        </w:rPr>
        <w:t xml:space="preserve"> </w:t>
      </w:r>
      <w:r w:rsidRPr="009051A8">
        <w:tab/>
        <w:t xml:space="preserve">Concluding observations on </w:t>
      </w:r>
      <w:smartTag w:uri="urn:schemas-microsoft-com:office:smarttags" w:element="place">
        <w:smartTag w:uri="urn:schemas-microsoft-com:office:smarttags" w:element="country-region">
          <w:r w:rsidRPr="009051A8">
            <w:t>Kuwait</w:t>
          </w:r>
        </w:smartTag>
      </w:smartTag>
      <w:r w:rsidRPr="009051A8">
        <w:t xml:space="preserve"> (CCPR/CO/69/KWT).</w:t>
      </w:r>
    </w:p>
  </w:footnote>
  <w:footnote w:id="109">
    <w:p w:rsidR="002F656F" w:rsidRPr="009051A8" w:rsidRDefault="002F656F" w:rsidP="008A703E">
      <w:pPr>
        <w:pStyle w:val="FootnoteText"/>
        <w:jc w:val="both"/>
      </w:pPr>
      <w:r w:rsidRPr="00087D95">
        <w:tab/>
      </w:r>
      <w:r w:rsidRPr="009051A8">
        <w:rPr>
          <w:rStyle w:val="FootnoteReference"/>
        </w:rPr>
        <w:footnoteRef/>
      </w:r>
      <w:r w:rsidRPr="009051A8">
        <w:rPr>
          <w:rStyle w:val="FootnoteReference"/>
        </w:rPr>
        <w:t xml:space="preserve"> </w:t>
      </w:r>
      <w:r w:rsidRPr="009051A8">
        <w:tab/>
        <w:t>Concluding observations on the United Kingdom of Great Britain and Northern Ireland (CCPR/C/GBR/CO/6).</w:t>
      </w:r>
    </w:p>
  </w:footnote>
  <w:footnote w:id="110">
    <w:p w:rsidR="002F656F" w:rsidRPr="009051A8" w:rsidRDefault="002F656F" w:rsidP="008A703E">
      <w:pPr>
        <w:pStyle w:val="FootnoteText"/>
        <w:jc w:val="both"/>
      </w:pPr>
      <w:r w:rsidRPr="00087D95">
        <w:tab/>
      </w:r>
      <w:r w:rsidRPr="009051A8">
        <w:rPr>
          <w:rStyle w:val="FootnoteReference"/>
        </w:rPr>
        <w:footnoteRef/>
      </w:r>
      <w:r w:rsidRPr="009051A8">
        <w:rPr>
          <w:rStyle w:val="FootnoteReference"/>
        </w:rPr>
        <w:t xml:space="preserve"> </w:t>
      </w:r>
      <w:r w:rsidRPr="009051A8">
        <w:tab/>
        <w:t xml:space="preserve">Concluding observations on the </w:t>
      </w:r>
      <w:smartTag w:uri="urn:schemas-microsoft-com:office:smarttags" w:element="place">
        <w:smartTag w:uri="urn:schemas-microsoft-com:office:smarttags" w:element="country-region">
          <w:r w:rsidRPr="009051A8">
            <w:t>Russian Federation</w:t>
          </w:r>
        </w:smartTag>
      </w:smartTag>
      <w:r w:rsidRPr="009051A8">
        <w:t xml:space="preserve"> (CCPR/CO/79/RUS).</w:t>
      </w:r>
    </w:p>
  </w:footnote>
  <w:footnote w:id="111">
    <w:p w:rsidR="002F656F" w:rsidRPr="009051A8" w:rsidRDefault="002F656F" w:rsidP="008A703E">
      <w:pPr>
        <w:pStyle w:val="FootnoteText"/>
        <w:jc w:val="both"/>
      </w:pPr>
      <w:r w:rsidRPr="00087D95">
        <w:tab/>
      </w:r>
      <w:r w:rsidRPr="009051A8">
        <w:rPr>
          <w:rStyle w:val="FootnoteReference"/>
        </w:rPr>
        <w:footnoteRef/>
      </w:r>
      <w:r w:rsidRPr="009051A8">
        <w:rPr>
          <w:rStyle w:val="FootnoteReference"/>
        </w:rPr>
        <w:t xml:space="preserve"> </w:t>
      </w:r>
      <w:r w:rsidRPr="009051A8">
        <w:tab/>
        <w:t>Concluding observations on the United Kingdom of Great Britain and Northern Ireland (CCPR/C/GBR/CO/6).</w:t>
      </w:r>
    </w:p>
  </w:footnote>
  <w:footnote w:id="112">
    <w:p w:rsidR="002F656F" w:rsidRPr="009051A8"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t>Ibid.</w:t>
      </w:r>
    </w:p>
  </w:footnote>
  <w:footnote w:id="113">
    <w:p w:rsidR="002F656F" w:rsidRPr="009051A8" w:rsidRDefault="002F656F" w:rsidP="008A703E">
      <w:pPr>
        <w:pStyle w:val="FootnoteText"/>
        <w:jc w:val="both"/>
      </w:pPr>
      <w:r w:rsidRPr="00087D95">
        <w:tab/>
      </w:r>
      <w:r w:rsidRPr="009051A8">
        <w:rPr>
          <w:rStyle w:val="FootnoteReference"/>
        </w:rPr>
        <w:footnoteRef/>
      </w:r>
      <w:r w:rsidRPr="009051A8">
        <w:rPr>
          <w:rStyle w:val="FootnoteReference"/>
        </w:rPr>
        <w:t xml:space="preserve"> </w:t>
      </w:r>
      <w:r w:rsidRPr="009051A8">
        <w:tab/>
        <w:t>Ibid.</w:t>
      </w:r>
    </w:p>
  </w:footnote>
  <w:footnote w:id="114">
    <w:p w:rsidR="002F656F" w:rsidRPr="009051A8" w:rsidRDefault="002F656F" w:rsidP="008A703E">
      <w:pPr>
        <w:pStyle w:val="FootnoteText"/>
        <w:jc w:val="both"/>
      </w:pPr>
      <w:r w:rsidRPr="009051A8">
        <w:tab/>
      </w:r>
      <w:r w:rsidRPr="009051A8">
        <w:rPr>
          <w:rStyle w:val="FootnoteReference"/>
        </w:rPr>
        <w:footnoteRef/>
      </w:r>
      <w:r w:rsidRPr="009051A8">
        <w:rPr>
          <w:rStyle w:val="FootnoteReference"/>
        </w:rPr>
        <w:t xml:space="preserve"> </w:t>
      </w:r>
      <w:r w:rsidRPr="009051A8">
        <w:tab/>
        <w:t xml:space="preserve">Concluding observations on </w:t>
      </w:r>
      <w:smartTag w:uri="urn:schemas-microsoft-com:office:smarttags" w:element="country-region">
        <w:r w:rsidRPr="009051A8">
          <w:t>Italy</w:t>
        </w:r>
      </w:smartTag>
      <w:r w:rsidRPr="009051A8">
        <w:t xml:space="preserve"> (CCPR/C/ITA/CO/5); concluding observations on the </w:t>
      </w:r>
      <w:smartTag w:uri="urn:schemas-microsoft-com:office:smarttags" w:element="place">
        <w:smartTag w:uri="urn:schemas-microsoft-com:office:smarttags" w:element="country-region">
          <w:r w:rsidRPr="009051A8">
            <w:t>Former Yugoslav Republic of Macedonia</w:t>
          </w:r>
        </w:smartTag>
      </w:smartTag>
      <w:r w:rsidRPr="009051A8">
        <w:t xml:space="preserve"> (CCPR/C/MKD/CO/2).</w:t>
      </w:r>
    </w:p>
  </w:footnote>
  <w:footnote w:id="115">
    <w:p w:rsidR="002F656F" w:rsidRPr="009051A8" w:rsidRDefault="002F656F" w:rsidP="008A703E">
      <w:pPr>
        <w:pStyle w:val="FootnoteText"/>
        <w:jc w:val="both"/>
        <w:rPr>
          <w:lang w:val="sv-SE"/>
        </w:rPr>
      </w:pPr>
      <w:r w:rsidRPr="00087D95">
        <w:tab/>
      </w:r>
      <w:r w:rsidRPr="009051A8">
        <w:rPr>
          <w:rStyle w:val="FootnoteReference"/>
        </w:rPr>
        <w:footnoteRef/>
      </w:r>
      <w:r w:rsidRPr="009051A8">
        <w:rPr>
          <w:rStyle w:val="FootnoteReference"/>
          <w:lang w:val="sv-SE"/>
        </w:rPr>
        <w:t xml:space="preserve"> </w:t>
      </w:r>
      <w:r w:rsidRPr="009051A8">
        <w:rPr>
          <w:lang w:val="sv-SE"/>
        </w:rPr>
        <w:tab/>
      </w:r>
      <w:r w:rsidRPr="009051A8">
        <w:t xml:space="preserve">See communication </w:t>
      </w:r>
      <w:r w:rsidRPr="009051A8">
        <w:rPr>
          <w:lang w:val="sv-SE"/>
        </w:rPr>
        <w:t xml:space="preserve">No. 909/2000, </w:t>
      </w:r>
      <w:r w:rsidRPr="009051A8">
        <w:rPr>
          <w:i/>
          <w:lang w:val="sv-SE"/>
        </w:rPr>
        <w:t>Kankanamge v. Sri Lanka</w:t>
      </w:r>
      <w:r w:rsidRPr="009051A8">
        <w:rPr>
          <w:lang w:val="sv-SE"/>
        </w:rPr>
        <w:t xml:space="preserve">, </w:t>
      </w:r>
      <w:r w:rsidRPr="009051A8">
        <w:t>Views adopted on 27 July 2004</w:t>
      </w:r>
      <w:r w:rsidRPr="009051A8">
        <w:rPr>
          <w:lang w:val="sv-SE"/>
        </w:rPr>
        <w:t>.</w:t>
      </w:r>
    </w:p>
  </w:footnote>
  <w:footnote w:id="116">
    <w:p w:rsidR="002F656F" w:rsidRPr="009051A8" w:rsidRDefault="002F656F" w:rsidP="00F64695">
      <w:pPr>
        <w:pStyle w:val="FootnoteText"/>
        <w:jc w:val="both"/>
      </w:pPr>
      <w:r w:rsidRPr="009051A8">
        <w:rPr>
          <w:lang w:val="sv-SE"/>
        </w:rPr>
        <w:tab/>
      </w:r>
      <w:r w:rsidRPr="009051A8">
        <w:rPr>
          <w:rStyle w:val="FootnoteReference"/>
        </w:rPr>
        <w:footnoteRef/>
      </w:r>
      <w:r w:rsidRPr="009051A8">
        <w:rPr>
          <w:rStyle w:val="FootnoteReference"/>
        </w:rPr>
        <w:t xml:space="preserve"> </w:t>
      </w:r>
      <w:r w:rsidRPr="009051A8">
        <w:tab/>
        <w:t xml:space="preserve">Concluding observations on the United Kingdom of Great Britain and Northern Ireland-the Crown Dependencies of Jersey, Guernsey and the </w:t>
      </w:r>
      <w:smartTag w:uri="urn:schemas-microsoft-com:office:smarttags" w:element="place">
        <w:r w:rsidRPr="009051A8">
          <w:t>Isle of Man</w:t>
        </w:r>
      </w:smartTag>
      <w:r w:rsidRPr="009051A8">
        <w:t xml:space="preserve"> (CCPR/C/79/Add.119). See also concluding observations on </w:t>
      </w:r>
      <w:smartTag w:uri="urn:schemas-microsoft-com:office:smarttags" w:element="place">
        <w:smartTag w:uri="urn:schemas-microsoft-com:office:smarttags" w:element="country-region">
          <w:r w:rsidRPr="009051A8">
            <w:t>Kuwait</w:t>
          </w:r>
        </w:smartTag>
      </w:smartTag>
      <w:r w:rsidRPr="009051A8">
        <w:t xml:space="preserve"> (CCPR/CO/69/KWT).</w:t>
      </w:r>
    </w:p>
  </w:footnote>
  <w:footnote w:id="117">
    <w:p w:rsidR="002F656F" w:rsidRPr="009051A8" w:rsidRDefault="002F656F" w:rsidP="00392E9B">
      <w:pPr>
        <w:pStyle w:val="FootnoteText"/>
        <w:jc w:val="both"/>
      </w:pPr>
      <w:r w:rsidRPr="009051A8">
        <w:tab/>
      </w:r>
      <w:r w:rsidRPr="009051A8">
        <w:rPr>
          <w:rStyle w:val="FootnoteReference"/>
        </w:rPr>
        <w:footnoteRef/>
      </w:r>
      <w:r w:rsidRPr="009051A8">
        <w:t xml:space="preserve"> </w:t>
      </w:r>
      <w:r w:rsidRPr="009051A8">
        <w:tab/>
        <w:t xml:space="preserve">So called “memory-laws”, see communication No. , No. 550/93, </w:t>
      </w:r>
      <w:r w:rsidRPr="009051A8">
        <w:rPr>
          <w:i/>
        </w:rPr>
        <w:t xml:space="preserve">Faurisson v. </w:t>
      </w:r>
      <w:smartTag w:uri="urn:schemas-microsoft-com:office:smarttags" w:element="country-region">
        <w:smartTag w:uri="urn:schemas-microsoft-com:office:smarttags" w:element="place">
          <w:r w:rsidRPr="009051A8">
            <w:rPr>
              <w:i/>
            </w:rPr>
            <w:t>France</w:t>
          </w:r>
        </w:smartTag>
      </w:smartTag>
      <w:r w:rsidRPr="009051A8">
        <w:t xml:space="preserve">. See also concluding observations on </w:t>
      </w:r>
      <w:smartTag w:uri="urn:schemas-microsoft-com:office:smarttags" w:element="country-region">
        <w:smartTag w:uri="urn:schemas-microsoft-com:office:smarttags" w:element="place">
          <w:r w:rsidRPr="009051A8">
            <w:t>Hungary</w:t>
          </w:r>
        </w:smartTag>
      </w:smartTag>
      <w:r w:rsidRPr="009051A8">
        <w:t xml:space="preserve"> (CCPR/C/HUN/CO/5) paragraph 19.</w:t>
      </w:r>
    </w:p>
  </w:footnote>
  <w:footnote w:id="118">
    <w:p w:rsidR="002F656F" w:rsidRPr="00DD68D0" w:rsidRDefault="002F656F" w:rsidP="008A703E">
      <w:pPr>
        <w:pStyle w:val="FootnoteText"/>
        <w:jc w:val="both"/>
      </w:pPr>
      <w:r w:rsidRPr="009051A8">
        <w:rPr>
          <w:rStyle w:val="FootnoteReference"/>
        </w:rPr>
        <w:tab/>
      </w:r>
      <w:r w:rsidRPr="009051A8">
        <w:rPr>
          <w:rStyle w:val="FootnoteReference"/>
        </w:rPr>
        <w:footnoteRef/>
      </w:r>
      <w:r w:rsidRPr="009051A8">
        <w:t xml:space="preserve"> </w:t>
      </w:r>
      <w:r w:rsidRPr="009051A8">
        <w:tab/>
        <w:t xml:space="preserve">See communication No. 736/1997, </w:t>
      </w:r>
      <w:r w:rsidRPr="009051A8">
        <w:rPr>
          <w:i/>
        </w:rPr>
        <w:t>Ross v. Canada</w:t>
      </w:r>
      <w:r w:rsidRPr="009051A8">
        <w:t>, Views adopted on 18 October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6F" w:rsidRPr="001F7F4C" w:rsidRDefault="002F656F">
    <w:pPr>
      <w:pStyle w:val="Header"/>
    </w:pPr>
    <w:r>
      <w:t>CCPR/C/GC/34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6F" w:rsidRPr="001F7F4C" w:rsidRDefault="002F656F" w:rsidP="0090313F">
    <w:pPr>
      <w:pStyle w:val="Header"/>
      <w:jc w:val="right"/>
    </w:pPr>
    <w:r>
      <w:t>CCPR/C/GC/34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43F" w:rsidRDefault="008664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5B3C4B"/>
    <w:multiLevelType w:val="hybridMultilevel"/>
    <w:tmpl w:val="DA4051FC"/>
    <w:lvl w:ilvl="0" w:tplc="995E3B50">
      <w:start w:val="50"/>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4A2949B5"/>
    <w:multiLevelType w:val="hybridMultilevel"/>
    <w:tmpl w:val="3782CE94"/>
    <w:lvl w:ilvl="0" w:tplc="0809000F">
      <w:start w:val="1"/>
      <w:numFmt w:val="decimal"/>
      <w:lvlText w:val="%1."/>
      <w:lvlJc w:val="left"/>
      <w:pPr>
        <w:ind w:left="470" w:hanging="360"/>
      </w:pPr>
      <w:rPr>
        <w:rFonts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7F4C"/>
    <w:rsid w:val="000163CA"/>
    <w:rsid w:val="0002126C"/>
    <w:rsid w:val="000233BB"/>
    <w:rsid w:val="000272B3"/>
    <w:rsid w:val="00027DB1"/>
    <w:rsid w:val="00030CBA"/>
    <w:rsid w:val="00035DDB"/>
    <w:rsid w:val="0004184E"/>
    <w:rsid w:val="000479BD"/>
    <w:rsid w:val="00050D26"/>
    <w:rsid w:val="00050F6B"/>
    <w:rsid w:val="00054EB4"/>
    <w:rsid w:val="00057E97"/>
    <w:rsid w:val="00060C3A"/>
    <w:rsid w:val="00065FE2"/>
    <w:rsid w:val="0007292A"/>
    <w:rsid w:val="00072C8C"/>
    <w:rsid w:val="000733B5"/>
    <w:rsid w:val="00074D97"/>
    <w:rsid w:val="00081815"/>
    <w:rsid w:val="00087D95"/>
    <w:rsid w:val="00092BE8"/>
    <w:rsid w:val="00092DB5"/>
    <w:rsid w:val="000931C0"/>
    <w:rsid w:val="00096F4E"/>
    <w:rsid w:val="000A4817"/>
    <w:rsid w:val="000A5B50"/>
    <w:rsid w:val="000B175B"/>
    <w:rsid w:val="000B3A0F"/>
    <w:rsid w:val="000B42BE"/>
    <w:rsid w:val="000B4EF7"/>
    <w:rsid w:val="000B6D0E"/>
    <w:rsid w:val="000C257A"/>
    <w:rsid w:val="000C2C03"/>
    <w:rsid w:val="000C2D2E"/>
    <w:rsid w:val="000D7CFC"/>
    <w:rsid w:val="000E0415"/>
    <w:rsid w:val="000F11D4"/>
    <w:rsid w:val="000F3A6C"/>
    <w:rsid w:val="000F447B"/>
    <w:rsid w:val="000F4A00"/>
    <w:rsid w:val="000F551D"/>
    <w:rsid w:val="000F56E1"/>
    <w:rsid w:val="00104280"/>
    <w:rsid w:val="00105F34"/>
    <w:rsid w:val="001103AA"/>
    <w:rsid w:val="001169DF"/>
    <w:rsid w:val="00117CE4"/>
    <w:rsid w:val="00117CEB"/>
    <w:rsid w:val="00127EFD"/>
    <w:rsid w:val="00132353"/>
    <w:rsid w:val="0013529F"/>
    <w:rsid w:val="00140CED"/>
    <w:rsid w:val="0014741A"/>
    <w:rsid w:val="0014753A"/>
    <w:rsid w:val="00151691"/>
    <w:rsid w:val="00155B1C"/>
    <w:rsid w:val="00165F3A"/>
    <w:rsid w:val="00176059"/>
    <w:rsid w:val="00176241"/>
    <w:rsid w:val="00183968"/>
    <w:rsid w:val="00185F3D"/>
    <w:rsid w:val="00190844"/>
    <w:rsid w:val="00197540"/>
    <w:rsid w:val="001A5253"/>
    <w:rsid w:val="001A6686"/>
    <w:rsid w:val="001B4B04"/>
    <w:rsid w:val="001B5D78"/>
    <w:rsid w:val="001C2817"/>
    <w:rsid w:val="001C48A0"/>
    <w:rsid w:val="001C6663"/>
    <w:rsid w:val="001C7895"/>
    <w:rsid w:val="001D0C8C"/>
    <w:rsid w:val="001D1482"/>
    <w:rsid w:val="001D26DF"/>
    <w:rsid w:val="001D3A03"/>
    <w:rsid w:val="001D70B2"/>
    <w:rsid w:val="001E4523"/>
    <w:rsid w:val="001E4F5F"/>
    <w:rsid w:val="001F42C9"/>
    <w:rsid w:val="001F436B"/>
    <w:rsid w:val="001F6658"/>
    <w:rsid w:val="001F7F4C"/>
    <w:rsid w:val="00202DA8"/>
    <w:rsid w:val="00203907"/>
    <w:rsid w:val="00211E0B"/>
    <w:rsid w:val="00217CD2"/>
    <w:rsid w:val="00225AEF"/>
    <w:rsid w:val="0023210C"/>
    <w:rsid w:val="00233743"/>
    <w:rsid w:val="00235FDB"/>
    <w:rsid w:val="002446EE"/>
    <w:rsid w:val="00260860"/>
    <w:rsid w:val="00265993"/>
    <w:rsid w:val="00267F5F"/>
    <w:rsid w:val="00270605"/>
    <w:rsid w:val="00270F30"/>
    <w:rsid w:val="00272758"/>
    <w:rsid w:val="002760CF"/>
    <w:rsid w:val="00280893"/>
    <w:rsid w:val="00286B4D"/>
    <w:rsid w:val="00292ED6"/>
    <w:rsid w:val="002A49B7"/>
    <w:rsid w:val="002B0428"/>
    <w:rsid w:val="002B19F6"/>
    <w:rsid w:val="002B67C0"/>
    <w:rsid w:val="002C4B9F"/>
    <w:rsid w:val="002D14BD"/>
    <w:rsid w:val="002D29EC"/>
    <w:rsid w:val="002D3B12"/>
    <w:rsid w:val="002D4B08"/>
    <w:rsid w:val="002E10E9"/>
    <w:rsid w:val="002F0D5F"/>
    <w:rsid w:val="002F175C"/>
    <w:rsid w:val="002F4AA1"/>
    <w:rsid w:val="002F656F"/>
    <w:rsid w:val="00300895"/>
    <w:rsid w:val="00312B24"/>
    <w:rsid w:val="003146B1"/>
    <w:rsid w:val="00317847"/>
    <w:rsid w:val="003229D8"/>
    <w:rsid w:val="00330D7F"/>
    <w:rsid w:val="00331275"/>
    <w:rsid w:val="003332E4"/>
    <w:rsid w:val="00344273"/>
    <w:rsid w:val="00352258"/>
    <w:rsid w:val="00352709"/>
    <w:rsid w:val="00367567"/>
    <w:rsid w:val="00370CF7"/>
    <w:rsid w:val="00371178"/>
    <w:rsid w:val="003806CF"/>
    <w:rsid w:val="0038336C"/>
    <w:rsid w:val="00383B48"/>
    <w:rsid w:val="003852C1"/>
    <w:rsid w:val="00392E9B"/>
    <w:rsid w:val="00396E0D"/>
    <w:rsid w:val="0039752D"/>
    <w:rsid w:val="003A0ACD"/>
    <w:rsid w:val="003A0E39"/>
    <w:rsid w:val="003A6810"/>
    <w:rsid w:val="003A7E46"/>
    <w:rsid w:val="003B1A25"/>
    <w:rsid w:val="003B46AC"/>
    <w:rsid w:val="003C1148"/>
    <w:rsid w:val="003C17F7"/>
    <w:rsid w:val="003C2080"/>
    <w:rsid w:val="003C24CB"/>
    <w:rsid w:val="003C2CC4"/>
    <w:rsid w:val="003C6947"/>
    <w:rsid w:val="003D4B23"/>
    <w:rsid w:val="003D7E32"/>
    <w:rsid w:val="003E10FE"/>
    <w:rsid w:val="003E367A"/>
    <w:rsid w:val="003F7573"/>
    <w:rsid w:val="004002A9"/>
    <w:rsid w:val="00410C89"/>
    <w:rsid w:val="00412677"/>
    <w:rsid w:val="00423415"/>
    <w:rsid w:val="00426290"/>
    <w:rsid w:val="00426B9B"/>
    <w:rsid w:val="00426C1C"/>
    <w:rsid w:val="00430E06"/>
    <w:rsid w:val="004325CB"/>
    <w:rsid w:val="00434824"/>
    <w:rsid w:val="00436B33"/>
    <w:rsid w:val="00442A83"/>
    <w:rsid w:val="00443A0A"/>
    <w:rsid w:val="004469F8"/>
    <w:rsid w:val="00446BDD"/>
    <w:rsid w:val="00452EA5"/>
    <w:rsid w:val="0045495B"/>
    <w:rsid w:val="004570A1"/>
    <w:rsid w:val="004578A1"/>
    <w:rsid w:val="0046053C"/>
    <w:rsid w:val="0046511D"/>
    <w:rsid w:val="00466D35"/>
    <w:rsid w:val="00475BE7"/>
    <w:rsid w:val="00475E0D"/>
    <w:rsid w:val="004845BB"/>
    <w:rsid w:val="004861D6"/>
    <w:rsid w:val="00487488"/>
    <w:rsid w:val="00490164"/>
    <w:rsid w:val="0049462D"/>
    <w:rsid w:val="004A7D47"/>
    <w:rsid w:val="004B5851"/>
    <w:rsid w:val="004C1188"/>
    <w:rsid w:val="004C3E2A"/>
    <w:rsid w:val="004C5123"/>
    <w:rsid w:val="004C6414"/>
    <w:rsid w:val="004D0595"/>
    <w:rsid w:val="004D1367"/>
    <w:rsid w:val="004D7FA3"/>
    <w:rsid w:val="004E25C2"/>
    <w:rsid w:val="004E3422"/>
    <w:rsid w:val="004E6500"/>
    <w:rsid w:val="004E7017"/>
    <w:rsid w:val="004F05B8"/>
    <w:rsid w:val="004F6E60"/>
    <w:rsid w:val="005001DE"/>
    <w:rsid w:val="00501BA0"/>
    <w:rsid w:val="00502663"/>
    <w:rsid w:val="005134BD"/>
    <w:rsid w:val="00517B87"/>
    <w:rsid w:val="0052136D"/>
    <w:rsid w:val="0052775E"/>
    <w:rsid w:val="00540C44"/>
    <w:rsid w:val="005420F2"/>
    <w:rsid w:val="00542DBD"/>
    <w:rsid w:val="005472EF"/>
    <w:rsid w:val="00557AEB"/>
    <w:rsid w:val="005625AD"/>
    <w:rsid w:val="005628B6"/>
    <w:rsid w:val="00565D26"/>
    <w:rsid w:val="00580708"/>
    <w:rsid w:val="0058367A"/>
    <w:rsid w:val="005848B3"/>
    <w:rsid w:val="005950DB"/>
    <w:rsid w:val="005976CF"/>
    <w:rsid w:val="005A3F53"/>
    <w:rsid w:val="005A49BB"/>
    <w:rsid w:val="005A5517"/>
    <w:rsid w:val="005B3DB3"/>
    <w:rsid w:val="005B7D65"/>
    <w:rsid w:val="005C4E90"/>
    <w:rsid w:val="005D06B6"/>
    <w:rsid w:val="005E6CA1"/>
    <w:rsid w:val="005F0853"/>
    <w:rsid w:val="005F311D"/>
    <w:rsid w:val="005F4D7D"/>
    <w:rsid w:val="005F6BF4"/>
    <w:rsid w:val="005F7717"/>
    <w:rsid w:val="005F7B75"/>
    <w:rsid w:val="006001EE"/>
    <w:rsid w:val="00605042"/>
    <w:rsid w:val="00606941"/>
    <w:rsid w:val="00611FC4"/>
    <w:rsid w:val="00613739"/>
    <w:rsid w:val="00617134"/>
    <w:rsid w:val="006176FB"/>
    <w:rsid w:val="00621566"/>
    <w:rsid w:val="00622B6E"/>
    <w:rsid w:val="00635202"/>
    <w:rsid w:val="00637F46"/>
    <w:rsid w:val="00640B26"/>
    <w:rsid w:val="00640CBD"/>
    <w:rsid w:val="006420B0"/>
    <w:rsid w:val="006450D0"/>
    <w:rsid w:val="00652D0A"/>
    <w:rsid w:val="00656038"/>
    <w:rsid w:val="00662BB6"/>
    <w:rsid w:val="00667A1B"/>
    <w:rsid w:val="006778E6"/>
    <w:rsid w:val="00680D85"/>
    <w:rsid w:val="00684869"/>
    <w:rsid w:val="00684C21"/>
    <w:rsid w:val="00686097"/>
    <w:rsid w:val="00696649"/>
    <w:rsid w:val="006A7A71"/>
    <w:rsid w:val="006B109E"/>
    <w:rsid w:val="006B17E0"/>
    <w:rsid w:val="006B518E"/>
    <w:rsid w:val="006B53E9"/>
    <w:rsid w:val="006B692B"/>
    <w:rsid w:val="006D1545"/>
    <w:rsid w:val="006D37AF"/>
    <w:rsid w:val="006D51D0"/>
    <w:rsid w:val="006E283F"/>
    <w:rsid w:val="006E409A"/>
    <w:rsid w:val="006E564B"/>
    <w:rsid w:val="006E7191"/>
    <w:rsid w:val="006E73A1"/>
    <w:rsid w:val="006E7AF1"/>
    <w:rsid w:val="006F210A"/>
    <w:rsid w:val="00701527"/>
    <w:rsid w:val="00703577"/>
    <w:rsid w:val="00713BC7"/>
    <w:rsid w:val="00720DD4"/>
    <w:rsid w:val="007237EB"/>
    <w:rsid w:val="0072632A"/>
    <w:rsid w:val="007327D5"/>
    <w:rsid w:val="00750F04"/>
    <w:rsid w:val="0075772F"/>
    <w:rsid w:val="007629C8"/>
    <w:rsid w:val="0076399F"/>
    <w:rsid w:val="00773CD2"/>
    <w:rsid w:val="00775867"/>
    <w:rsid w:val="0077687F"/>
    <w:rsid w:val="007854E4"/>
    <w:rsid w:val="00787C2D"/>
    <w:rsid w:val="00794FDB"/>
    <w:rsid w:val="00795BA3"/>
    <w:rsid w:val="00797424"/>
    <w:rsid w:val="007A16F6"/>
    <w:rsid w:val="007A7906"/>
    <w:rsid w:val="007A7B96"/>
    <w:rsid w:val="007B6BA5"/>
    <w:rsid w:val="007C3390"/>
    <w:rsid w:val="007C4F4B"/>
    <w:rsid w:val="007C784F"/>
    <w:rsid w:val="007D4D08"/>
    <w:rsid w:val="007E0B2D"/>
    <w:rsid w:val="007F3631"/>
    <w:rsid w:val="007F6611"/>
    <w:rsid w:val="00803855"/>
    <w:rsid w:val="00805AB3"/>
    <w:rsid w:val="0080637C"/>
    <w:rsid w:val="008105B8"/>
    <w:rsid w:val="00812DC8"/>
    <w:rsid w:val="008221B7"/>
    <w:rsid w:val="00823979"/>
    <w:rsid w:val="008242D7"/>
    <w:rsid w:val="008257B1"/>
    <w:rsid w:val="00833194"/>
    <w:rsid w:val="00842388"/>
    <w:rsid w:val="0084295D"/>
    <w:rsid w:val="00843767"/>
    <w:rsid w:val="00843939"/>
    <w:rsid w:val="0084405E"/>
    <w:rsid w:val="00845AD7"/>
    <w:rsid w:val="008469A1"/>
    <w:rsid w:val="0085159E"/>
    <w:rsid w:val="0085354B"/>
    <w:rsid w:val="00854236"/>
    <w:rsid w:val="00854308"/>
    <w:rsid w:val="00854C11"/>
    <w:rsid w:val="0086643F"/>
    <w:rsid w:val="00866756"/>
    <w:rsid w:val="00866BD4"/>
    <w:rsid w:val="008679D9"/>
    <w:rsid w:val="00894A8E"/>
    <w:rsid w:val="0089584A"/>
    <w:rsid w:val="008979B1"/>
    <w:rsid w:val="008A1DB2"/>
    <w:rsid w:val="008A66B2"/>
    <w:rsid w:val="008A6B25"/>
    <w:rsid w:val="008A6C4F"/>
    <w:rsid w:val="008A703E"/>
    <w:rsid w:val="008B2335"/>
    <w:rsid w:val="008B65ED"/>
    <w:rsid w:val="008B7E2E"/>
    <w:rsid w:val="008C2A97"/>
    <w:rsid w:val="008C7529"/>
    <w:rsid w:val="008D1868"/>
    <w:rsid w:val="008E0678"/>
    <w:rsid w:val="008E49F0"/>
    <w:rsid w:val="008E61A4"/>
    <w:rsid w:val="008E6634"/>
    <w:rsid w:val="008E76FA"/>
    <w:rsid w:val="008F5E19"/>
    <w:rsid w:val="008F5E7A"/>
    <w:rsid w:val="00901808"/>
    <w:rsid w:val="0090313F"/>
    <w:rsid w:val="009051A8"/>
    <w:rsid w:val="009072B6"/>
    <w:rsid w:val="00910F40"/>
    <w:rsid w:val="00912C08"/>
    <w:rsid w:val="00916087"/>
    <w:rsid w:val="009223CA"/>
    <w:rsid w:val="00935D78"/>
    <w:rsid w:val="00940F93"/>
    <w:rsid w:val="009450B8"/>
    <w:rsid w:val="00947986"/>
    <w:rsid w:val="00950D83"/>
    <w:rsid w:val="0095347F"/>
    <w:rsid w:val="0096229A"/>
    <w:rsid w:val="00963CF1"/>
    <w:rsid w:val="0096656A"/>
    <w:rsid w:val="0096728E"/>
    <w:rsid w:val="00974DAB"/>
    <w:rsid w:val="009760F3"/>
    <w:rsid w:val="00976CA9"/>
    <w:rsid w:val="0098363A"/>
    <w:rsid w:val="00987DAD"/>
    <w:rsid w:val="009909F5"/>
    <w:rsid w:val="00991587"/>
    <w:rsid w:val="00992253"/>
    <w:rsid w:val="0099360E"/>
    <w:rsid w:val="009A0E8D"/>
    <w:rsid w:val="009A43DF"/>
    <w:rsid w:val="009A73B9"/>
    <w:rsid w:val="009B0790"/>
    <w:rsid w:val="009B26E7"/>
    <w:rsid w:val="009B765B"/>
    <w:rsid w:val="009C3D43"/>
    <w:rsid w:val="009C4287"/>
    <w:rsid w:val="009C6176"/>
    <w:rsid w:val="009D3D1F"/>
    <w:rsid w:val="009E1889"/>
    <w:rsid w:val="009E2FA1"/>
    <w:rsid w:val="009F2BBF"/>
    <w:rsid w:val="009F386C"/>
    <w:rsid w:val="00A00A3F"/>
    <w:rsid w:val="00A01489"/>
    <w:rsid w:val="00A03F70"/>
    <w:rsid w:val="00A04BF2"/>
    <w:rsid w:val="00A04C7B"/>
    <w:rsid w:val="00A056EE"/>
    <w:rsid w:val="00A1199C"/>
    <w:rsid w:val="00A14285"/>
    <w:rsid w:val="00A24071"/>
    <w:rsid w:val="00A30E57"/>
    <w:rsid w:val="00A338F1"/>
    <w:rsid w:val="00A34294"/>
    <w:rsid w:val="00A36E1B"/>
    <w:rsid w:val="00A440CE"/>
    <w:rsid w:val="00A44615"/>
    <w:rsid w:val="00A4768E"/>
    <w:rsid w:val="00A5448B"/>
    <w:rsid w:val="00A6432E"/>
    <w:rsid w:val="00A64DD1"/>
    <w:rsid w:val="00A67C25"/>
    <w:rsid w:val="00A72F22"/>
    <w:rsid w:val="00A7360F"/>
    <w:rsid w:val="00A748A6"/>
    <w:rsid w:val="00A75703"/>
    <w:rsid w:val="00A759CB"/>
    <w:rsid w:val="00A769F4"/>
    <w:rsid w:val="00A776B4"/>
    <w:rsid w:val="00A80EDC"/>
    <w:rsid w:val="00A81E9F"/>
    <w:rsid w:val="00A832C7"/>
    <w:rsid w:val="00A842C5"/>
    <w:rsid w:val="00A94361"/>
    <w:rsid w:val="00A9620F"/>
    <w:rsid w:val="00AA0F1A"/>
    <w:rsid w:val="00AA293C"/>
    <w:rsid w:val="00AB0596"/>
    <w:rsid w:val="00AB74D1"/>
    <w:rsid w:val="00AC0FCB"/>
    <w:rsid w:val="00AC6F1C"/>
    <w:rsid w:val="00AC738F"/>
    <w:rsid w:val="00AC79B6"/>
    <w:rsid w:val="00AC79CE"/>
    <w:rsid w:val="00AD0F30"/>
    <w:rsid w:val="00AD50A1"/>
    <w:rsid w:val="00AD6F52"/>
    <w:rsid w:val="00AE33DD"/>
    <w:rsid w:val="00AE542B"/>
    <w:rsid w:val="00AE73CF"/>
    <w:rsid w:val="00AF0745"/>
    <w:rsid w:val="00AF1249"/>
    <w:rsid w:val="00B10A34"/>
    <w:rsid w:val="00B13E9B"/>
    <w:rsid w:val="00B1519A"/>
    <w:rsid w:val="00B17EB4"/>
    <w:rsid w:val="00B20124"/>
    <w:rsid w:val="00B213F5"/>
    <w:rsid w:val="00B2371C"/>
    <w:rsid w:val="00B265ED"/>
    <w:rsid w:val="00B279AA"/>
    <w:rsid w:val="00B30179"/>
    <w:rsid w:val="00B3228F"/>
    <w:rsid w:val="00B339A7"/>
    <w:rsid w:val="00B40FA8"/>
    <w:rsid w:val="00B411BA"/>
    <w:rsid w:val="00B45BA6"/>
    <w:rsid w:val="00B4781B"/>
    <w:rsid w:val="00B54E74"/>
    <w:rsid w:val="00B555BF"/>
    <w:rsid w:val="00B56E4A"/>
    <w:rsid w:val="00B56E9C"/>
    <w:rsid w:val="00B64B1F"/>
    <w:rsid w:val="00B6553F"/>
    <w:rsid w:val="00B66E5E"/>
    <w:rsid w:val="00B70A85"/>
    <w:rsid w:val="00B71F69"/>
    <w:rsid w:val="00B77D05"/>
    <w:rsid w:val="00B81206"/>
    <w:rsid w:val="00B81E12"/>
    <w:rsid w:val="00B9067B"/>
    <w:rsid w:val="00BA6FD0"/>
    <w:rsid w:val="00BC2C23"/>
    <w:rsid w:val="00BC74E9"/>
    <w:rsid w:val="00BD10E6"/>
    <w:rsid w:val="00BD4DE8"/>
    <w:rsid w:val="00BE65C7"/>
    <w:rsid w:val="00BF0BCF"/>
    <w:rsid w:val="00BF3CCD"/>
    <w:rsid w:val="00BF6761"/>
    <w:rsid w:val="00BF68A8"/>
    <w:rsid w:val="00BF6CAA"/>
    <w:rsid w:val="00C01075"/>
    <w:rsid w:val="00C06698"/>
    <w:rsid w:val="00C11A03"/>
    <w:rsid w:val="00C23309"/>
    <w:rsid w:val="00C23E2C"/>
    <w:rsid w:val="00C308F5"/>
    <w:rsid w:val="00C34BDD"/>
    <w:rsid w:val="00C35B1D"/>
    <w:rsid w:val="00C463DD"/>
    <w:rsid w:val="00C4688B"/>
    <w:rsid w:val="00C4724C"/>
    <w:rsid w:val="00C47B49"/>
    <w:rsid w:val="00C50E74"/>
    <w:rsid w:val="00C536AA"/>
    <w:rsid w:val="00C54ABB"/>
    <w:rsid w:val="00C629A0"/>
    <w:rsid w:val="00C71EF0"/>
    <w:rsid w:val="00C7281D"/>
    <w:rsid w:val="00C745C3"/>
    <w:rsid w:val="00C77F6C"/>
    <w:rsid w:val="00C82B7B"/>
    <w:rsid w:val="00C83571"/>
    <w:rsid w:val="00C84429"/>
    <w:rsid w:val="00C85C41"/>
    <w:rsid w:val="00C868BD"/>
    <w:rsid w:val="00C9125D"/>
    <w:rsid w:val="00C95742"/>
    <w:rsid w:val="00C957E2"/>
    <w:rsid w:val="00CA3E36"/>
    <w:rsid w:val="00CA4E30"/>
    <w:rsid w:val="00CA5362"/>
    <w:rsid w:val="00CB65DF"/>
    <w:rsid w:val="00CC0368"/>
    <w:rsid w:val="00CC612F"/>
    <w:rsid w:val="00CD12BE"/>
    <w:rsid w:val="00CE4A8F"/>
    <w:rsid w:val="00CE5617"/>
    <w:rsid w:val="00CF10CB"/>
    <w:rsid w:val="00CF2E76"/>
    <w:rsid w:val="00CF41A1"/>
    <w:rsid w:val="00D02E3B"/>
    <w:rsid w:val="00D037EF"/>
    <w:rsid w:val="00D10E15"/>
    <w:rsid w:val="00D124F7"/>
    <w:rsid w:val="00D1687F"/>
    <w:rsid w:val="00D2031B"/>
    <w:rsid w:val="00D25BA4"/>
    <w:rsid w:val="00D25FE2"/>
    <w:rsid w:val="00D27E8A"/>
    <w:rsid w:val="00D377CB"/>
    <w:rsid w:val="00D43252"/>
    <w:rsid w:val="00D451E1"/>
    <w:rsid w:val="00D47EEA"/>
    <w:rsid w:val="00D517A3"/>
    <w:rsid w:val="00D57055"/>
    <w:rsid w:val="00D57246"/>
    <w:rsid w:val="00D7087A"/>
    <w:rsid w:val="00D740FC"/>
    <w:rsid w:val="00D751CD"/>
    <w:rsid w:val="00D806E5"/>
    <w:rsid w:val="00D936C5"/>
    <w:rsid w:val="00D95303"/>
    <w:rsid w:val="00D978C6"/>
    <w:rsid w:val="00DA174C"/>
    <w:rsid w:val="00DA1CD9"/>
    <w:rsid w:val="00DA3111"/>
    <w:rsid w:val="00DA3C1C"/>
    <w:rsid w:val="00DA70DC"/>
    <w:rsid w:val="00DB0249"/>
    <w:rsid w:val="00DB0C79"/>
    <w:rsid w:val="00DB3E98"/>
    <w:rsid w:val="00DC11FA"/>
    <w:rsid w:val="00DC53C2"/>
    <w:rsid w:val="00DD68D0"/>
    <w:rsid w:val="00E03185"/>
    <w:rsid w:val="00E12403"/>
    <w:rsid w:val="00E12732"/>
    <w:rsid w:val="00E12844"/>
    <w:rsid w:val="00E26206"/>
    <w:rsid w:val="00E264E2"/>
    <w:rsid w:val="00E27346"/>
    <w:rsid w:val="00E31923"/>
    <w:rsid w:val="00E36063"/>
    <w:rsid w:val="00E360AE"/>
    <w:rsid w:val="00E52427"/>
    <w:rsid w:val="00E55450"/>
    <w:rsid w:val="00E56310"/>
    <w:rsid w:val="00E570E9"/>
    <w:rsid w:val="00E5726A"/>
    <w:rsid w:val="00E61596"/>
    <w:rsid w:val="00E63216"/>
    <w:rsid w:val="00E67B16"/>
    <w:rsid w:val="00E67D0D"/>
    <w:rsid w:val="00E71BC8"/>
    <w:rsid w:val="00E7260F"/>
    <w:rsid w:val="00E779FC"/>
    <w:rsid w:val="00E821AC"/>
    <w:rsid w:val="00E83EB6"/>
    <w:rsid w:val="00E86693"/>
    <w:rsid w:val="00E93564"/>
    <w:rsid w:val="00E96630"/>
    <w:rsid w:val="00EA3D3F"/>
    <w:rsid w:val="00EA516E"/>
    <w:rsid w:val="00EA7FED"/>
    <w:rsid w:val="00EB09F8"/>
    <w:rsid w:val="00EB19E6"/>
    <w:rsid w:val="00EB2581"/>
    <w:rsid w:val="00EB637C"/>
    <w:rsid w:val="00EB7BC2"/>
    <w:rsid w:val="00ED6FD3"/>
    <w:rsid w:val="00ED7A2A"/>
    <w:rsid w:val="00EE08B6"/>
    <w:rsid w:val="00EE70D8"/>
    <w:rsid w:val="00EF1D7F"/>
    <w:rsid w:val="00EF3155"/>
    <w:rsid w:val="00EF3AFB"/>
    <w:rsid w:val="00EF6ADD"/>
    <w:rsid w:val="00F052C2"/>
    <w:rsid w:val="00F20C3D"/>
    <w:rsid w:val="00F234BF"/>
    <w:rsid w:val="00F23D13"/>
    <w:rsid w:val="00F366F5"/>
    <w:rsid w:val="00F40669"/>
    <w:rsid w:val="00F43E9E"/>
    <w:rsid w:val="00F44107"/>
    <w:rsid w:val="00F53CDF"/>
    <w:rsid w:val="00F57933"/>
    <w:rsid w:val="00F64695"/>
    <w:rsid w:val="00F72B70"/>
    <w:rsid w:val="00F750BE"/>
    <w:rsid w:val="00F810FA"/>
    <w:rsid w:val="00F84294"/>
    <w:rsid w:val="00F86572"/>
    <w:rsid w:val="00F9057C"/>
    <w:rsid w:val="00F906D7"/>
    <w:rsid w:val="00F93781"/>
    <w:rsid w:val="00F94F46"/>
    <w:rsid w:val="00FA6F61"/>
    <w:rsid w:val="00FB0140"/>
    <w:rsid w:val="00FB1FF8"/>
    <w:rsid w:val="00FB4B21"/>
    <w:rsid w:val="00FB613B"/>
    <w:rsid w:val="00FB6309"/>
    <w:rsid w:val="00FC222C"/>
    <w:rsid w:val="00FC3924"/>
    <w:rsid w:val="00FC68B7"/>
    <w:rsid w:val="00FD25FA"/>
    <w:rsid w:val="00FD34AB"/>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ListParagraph">
    <w:name w:val="List Paragraph"/>
    <w:basedOn w:val="Normal"/>
    <w:qFormat/>
    <w:rsid w:val="001F7F4C"/>
    <w:pPr>
      <w:suppressAutoHyphens w:val="0"/>
      <w:spacing w:after="200" w:line="276" w:lineRule="auto"/>
      <w:ind w:left="720"/>
      <w:contextualSpacing/>
    </w:pPr>
    <w:rPr>
      <w:rFonts w:ascii="Calibri" w:eastAsia="Calibri" w:hAnsi="Calibri"/>
      <w:sz w:val="22"/>
      <w:szCs w:val="22"/>
    </w:rPr>
  </w:style>
  <w:style w:type="character" w:customStyle="1" w:styleId="FootnoteTextChar">
    <w:name w:val="Footnote Text Char"/>
    <w:aliases w:val="5_G Char"/>
    <w:link w:val="FootnoteText"/>
    <w:semiHidden/>
    <w:rsid w:val="001F7F4C"/>
    <w:rPr>
      <w:sz w:val="18"/>
      <w:lang w:val="en-GB" w:eastAsia="en-US" w:bidi="ar-SA"/>
    </w:rPr>
  </w:style>
  <w:style w:type="paragraph" w:styleId="Subtitle">
    <w:name w:val="Subtitle"/>
    <w:basedOn w:val="Normal"/>
    <w:next w:val="Normal"/>
    <w:link w:val="SubtitleChar"/>
    <w:qFormat/>
    <w:rsid w:val="001F7F4C"/>
    <w:pPr>
      <w:numPr>
        <w:ilvl w:val="1"/>
      </w:numPr>
      <w:suppressAutoHyphens w:val="0"/>
      <w:spacing w:after="200" w:line="276" w:lineRule="auto"/>
    </w:pPr>
    <w:rPr>
      <w:rFonts w:ascii="Cambria" w:hAnsi="Cambria"/>
      <w:i/>
      <w:iCs/>
      <w:color w:val="4F81BD"/>
      <w:spacing w:val="15"/>
      <w:sz w:val="24"/>
      <w:szCs w:val="24"/>
    </w:rPr>
  </w:style>
  <w:style w:type="character" w:customStyle="1" w:styleId="SubtitleChar">
    <w:name w:val="Subtitle Char"/>
    <w:link w:val="Subtitle"/>
    <w:rsid w:val="001F7F4C"/>
    <w:rPr>
      <w:rFonts w:ascii="Cambria" w:hAnsi="Cambria"/>
      <w:i/>
      <w:iCs/>
      <w:color w:val="4F81BD"/>
      <w:spacing w:val="15"/>
      <w:sz w:val="24"/>
      <w:szCs w:val="24"/>
      <w:lang w:val="en-GB" w:eastAsia="en-US" w:bidi="ar-SA"/>
    </w:rPr>
  </w:style>
  <w:style w:type="character" w:customStyle="1" w:styleId="Heading3Char">
    <w:name w:val="Heading 3 Char"/>
    <w:link w:val="Heading3"/>
    <w:rsid w:val="001F7F4C"/>
    <w:rPr>
      <w:lang w:val="en-GB" w:eastAsia="en-US" w:bidi="ar-SA"/>
    </w:rPr>
  </w:style>
  <w:style w:type="character" w:customStyle="1" w:styleId="H1GChar">
    <w:name w:val="_ H_1_G Char"/>
    <w:link w:val="H1G"/>
    <w:rsid w:val="00F750BE"/>
    <w:rPr>
      <w:b/>
      <w:sz w:val="24"/>
      <w:lang w:val="en-GB" w:eastAsia="en-US" w:bidi="ar-SA"/>
    </w:rPr>
  </w:style>
  <w:style w:type="paragraph" w:styleId="BalloonText">
    <w:name w:val="Balloon Text"/>
    <w:basedOn w:val="Normal"/>
    <w:semiHidden/>
    <w:rsid w:val="00FC222C"/>
    <w:rPr>
      <w:rFonts w:ascii="Tahoma" w:hAnsi="Tahoma" w:cs="Tahoma"/>
      <w:sz w:val="16"/>
      <w:szCs w:val="16"/>
    </w:rPr>
  </w:style>
  <w:style w:type="character" w:styleId="CommentReference">
    <w:name w:val="annotation reference"/>
    <w:semiHidden/>
    <w:rsid w:val="00B1519A"/>
    <w:rPr>
      <w:sz w:val="16"/>
      <w:szCs w:val="16"/>
    </w:rPr>
  </w:style>
  <w:style w:type="paragraph" w:styleId="CommentText">
    <w:name w:val="annotation text"/>
    <w:basedOn w:val="Normal"/>
    <w:semiHidden/>
    <w:rsid w:val="00B1519A"/>
  </w:style>
  <w:style w:type="paragraph" w:styleId="CommentSubject">
    <w:name w:val="annotation subject"/>
    <w:basedOn w:val="CommentText"/>
    <w:next w:val="CommentText"/>
    <w:semiHidden/>
    <w:rsid w:val="00B151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256225">
      <w:bodyDiv w:val="1"/>
      <w:marLeft w:val="0"/>
      <w:marRight w:val="0"/>
      <w:marTop w:val="0"/>
      <w:marBottom w:val="0"/>
      <w:divBdr>
        <w:top w:val="none" w:sz="0" w:space="0" w:color="auto"/>
        <w:left w:val="none" w:sz="0" w:space="0" w:color="auto"/>
        <w:bottom w:val="none" w:sz="0" w:space="0" w:color="auto"/>
        <w:right w:val="none" w:sz="0" w:space="0" w:color="auto"/>
      </w:divBdr>
      <w:divsChild>
        <w:div w:id="1717925937">
          <w:marLeft w:val="0"/>
          <w:marRight w:val="0"/>
          <w:marTop w:val="0"/>
          <w:marBottom w:val="0"/>
          <w:divBdr>
            <w:top w:val="none" w:sz="0" w:space="0" w:color="auto"/>
            <w:left w:val="none" w:sz="0" w:space="0" w:color="auto"/>
            <w:bottom w:val="none" w:sz="0" w:space="0" w:color="auto"/>
            <w:right w:val="none" w:sz="0" w:space="0" w:color="auto"/>
          </w:divBdr>
          <w:divsChild>
            <w:div w:id="808935293">
              <w:marLeft w:val="0"/>
              <w:marRight w:val="0"/>
              <w:marTop w:val="0"/>
              <w:marBottom w:val="0"/>
              <w:divBdr>
                <w:top w:val="none" w:sz="0" w:space="0" w:color="auto"/>
                <w:left w:val="none" w:sz="0" w:space="0" w:color="auto"/>
                <w:bottom w:val="none" w:sz="0" w:space="0" w:color="auto"/>
                <w:right w:val="none" w:sz="0" w:space="0" w:color="auto"/>
              </w:divBdr>
              <w:divsChild>
                <w:div w:id="868682547">
                  <w:marLeft w:val="0"/>
                  <w:marRight w:val="0"/>
                  <w:marTop w:val="0"/>
                  <w:marBottom w:val="0"/>
                  <w:divBdr>
                    <w:top w:val="none" w:sz="0" w:space="0" w:color="auto"/>
                    <w:left w:val="none" w:sz="0" w:space="0" w:color="auto"/>
                    <w:bottom w:val="none" w:sz="0" w:space="0" w:color="auto"/>
                    <w:right w:val="none" w:sz="0" w:space="0" w:color="auto"/>
                  </w:divBdr>
                  <w:divsChild>
                    <w:div w:id="578709055">
                      <w:marLeft w:val="0"/>
                      <w:marRight w:val="0"/>
                      <w:marTop w:val="0"/>
                      <w:marBottom w:val="0"/>
                      <w:divBdr>
                        <w:top w:val="none" w:sz="0" w:space="0" w:color="auto"/>
                        <w:left w:val="none" w:sz="0" w:space="0" w:color="auto"/>
                        <w:bottom w:val="none" w:sz="0" w:space="0" w:color="auto"/>
                        <w:right w:val="none" w:sz="0" w:space="0" w:color="auto"/>
                      </w:divBdr>
                      <w:divsChild>
                        <w:div w:id="1555432889">
                          <w:marLeft w:val="0"/>
                          <w:marRight w:val="0"/>
                          <w:marTop w:val="0"/>
                          <w:marBottom w:val="0"/>
                          <w:divBdr>
                            <w:top w:val="none" w:sz="0" w:space="0" w:color="auto"/>
                            <w:left w:val="none" w:sz="0" w:space="0" w:color="auto"/>
                            <w:bottom w:val="none" w:sz="0" w:space="0" w:color="auto"/>
                            <w:right w:val="none" w:sz="0" w:space="0" w:color="auto"/>
                          </w:divBdr>
                          <w:divsChild>
                            <w:div w:id="188410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5365</Words>
  <Characters>28548</Characters>
  <Application>Microsoft Office Word</Application>
  <DocSecurity>4</DocSecurity>
  <Lines>4078</Lines>
  <Paragraphs>2119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2011-09-12T14:19:00Z</cp:lastPrinted>
  <dcterms:created xsi:type="dcterms:W3CDTF">2011-09-13T14:33:00Z</dcterms:created>
  <dcterms:modified xsi:type="dcterms:W3CDTF">2011-09-13T14:33:00Z</dcterms:modified>
</cp:coreProperties>
</file>