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2328" w:rsidRDefault="00672328">
      <w:pPr>
        <w:spacing w:line="60" w:lineRule="exact"/>
        <w:rPr>
          <w:sz w:val="6"/>
        </w:rPr>
        <w:sectPr w:rsidR="00672328">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672328" w:rsidRDefault="00672328">
      <w:pPr>
        <w:spacing w:line="60" w:lineRule="exact"/>
        <w:rPr>
          <w:sz w:val="6"/>
        </w:rPr>
      </w:pPr>
    </w:p>
    <w:p w:rsidR="00672328" w:rsidRDefault="00672328">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1264"/>
        <w:jc w:val="both"/>
        <w:rPr>
          <w:rFonts w:hint="eastAsia"/>
        </w:rPr>
      </w:pPr>
      <w:r>
        <w:rPr>
          <w:rFonts w:hint="eastAsia"/>
        </w:rPr>
        <w:t>消除对妇女歧视委员会</w:t>
      </w:r>
    </w:p>
    <w:p w:rsidR="00672328" w:rsidRDefault="00672328">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1264"/>
        <w:jc w:val="both"/>
        <w:rPr>
          <w:rFonts w:hint="eastAsia"/>
        </w:rPr>
      </w:pPr>
      <w:r>
        <w:rPr>
          <w:rFonts w:hint="eastAsia"/>
        </w:rPr>
        <w:t>第三十三届会议</w:t>
      </w:r>
    </w:p>
    <w:p w:rsidR="00672328" w:rsidRDefault="00672328">
      <w:pPr>
        <w:pStyle w:val="SingleTxt"/>
        <w:spacing w:after="80"/>
        <w:ind w:left="0"/>
        <w:rPr>
          <w:rFonts w:hint="eastAsia"/>
        </w:rPr>
      </w:pPr>
      <w:r>
        <w:rPr>
          <w:rFonts w:hint="eastAsia"/>
        </w:rPr>
        <w:t>2005年7月5日至22日</w:t>
      </w:r>
    </w:p>
    <w:p w:rsidR="00672328" w:rsidRDefault="00672328">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672328" w:rsidRDefault="00672328">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672328" w:rsidRDefault="00672328">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结论意见：以色列</w:t>
      </w:r>
    </w:p>
    <w:p w:rsidR="00672328" w:rsidRDefault="00672328">
      <w:pPr>
        <w:pStyle w:val="SingleTxt"/>
        <w:spacing w:after="0" w:line="120" w:lineRule="exact"/>
        <w:rPr>
          <w:rFonts w:hint="eastAsia"/>
          <w:sz w:val="10"/>
        </w:rPr>
      </w:pPr>
    </w:p>
    <w:p w:rsidR="00672328" w:rsidRDefault="00672328">
      <w:pPr>
        <w:pStyle w:val="SingleTxt"/>
        <w:spacing w:after="0" w:line="120" w:lineRule="exact"/>
        <w:rPr>
          <w:rFonts w:hint="eastAsia"/>
          <w:sz w:val="10"/>
        </w:rPr>
      </w:pPr>
    </w:p>
    <w:p w:rsidR="00672328" w:rsidRDefault="00672328">
      <w:pPr>
        <w:pStyle w:val="SingleTxt"/>
        <w:rPr>
          <w:rFonts w:hint="eastAsia"/>
        </w:rPr>
      </w:pPr>
      <w:r>
        <w:rPr>
          <w:rFonts w:hint="eastAsia"/>
        </w:rPr>
        <w:t>1.</w:t>
      </w:r>
      <w:r>
        <w:tab/>
      </w:r>
      <w:r>
        <w:rPr>
          <w:rFonts w:hint="eastAsia"/>
        </w:rPr>
        <w:t>委员会在2005年7月6日第685和第686次会议上审议了以色列的第三次定期报告（CEDAW/C/ISR/3）。</w:t>
      </w:r>
    </w:p>
    <w:p w:rsidR="00672328" w:rsidRDefault="00672328">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缔约国的介绍</w:t>
      </w:r>
    </w:p>
    <w:p w:rsidR="00672328" w:rsidRDefault="00672328">
      <w:pPr>
        <w:pStyle w:val="SingleTxt"/>
        <w:spacing w:after="0" w:line="120" w:lineRule="exact"/>
        <w:rPr>
          <w:rFonts w:hint="eastAsia"/>
          <w:sz w:val="10"/>
        </w:rPr>
      </w:pPr>
    </w:p>
    <w:p w:rsidR="00672328" w:rsidRDefault="00672328">
      <w:pPr>
        <w:pStyle w:val="SingleTxt"/>
        <w:rPr>
          <w:rFonts w:hint="eastAsia"/>
        </w:rPr>
      </w:pPr>
      <w:r>
        <w:rPr>
          <w:rFonts w:hint="eastAsia"/>
        </w:rPr>
        <w:t>2.</w:t>
      </w:r>
      <w:r>
        <w:tab/>
      </w:r>
      <w:r>
        <w:rPr>
          <w:rFonts w:hint="eastAsia"/>
        </w:rPr>
        <w:t>以色列代表在介绍报告和补充资料时表示，这些都是政府各机构共同努力的结果，其中非政府组织也提供了意见。实现妇女平等、促进妇女权利对于政府和社会来说至关重要。以色列代表强调，以色列妇女在社会各阶层是一个充满活力、意见不容忽视的总体部分，她们作为每个专业的成员，打造并参与了社会的各个方面。这位代表提请注意在很多领域取得的进展，并指出了仍需弥补的差距。自从提交上一份报告以来，已根据《消除对妇女一切形式歧视公约》的各项条款，协调一致地努力促进犹太人和非犹太人各族裔及不同宗教背景的男女平等。这位代表强调，以色列妇女正在等待着那一天的到来，届时她们能够同特别是在巴勒斯坦新领导人带领下的巴勒斯坦妇女一起不再遭受任何失去的苦痛，而是共同享有平等、建设和进步。</w:t>
      </w:r>
    </w:p>
    <w:p w:rsidR="00672328" w:rsidRDefault="00672328">
      <w:pPr>
        <w:pStyle w:val="SingleTxt"/>
        <w:rPr>
          <w:rFonts w:hint="eastAsia"/>
        </w:rPr>
      </w:pPr>
      <w:r>
        <w:rPr>
          <w:rFonts w:hint="eastAsia"/>
        </w:rPr>
        <w:t>3.</w:t>
      </w:r>
      <w:r>
        <w:tab/>
      </w:r>
      <w:r>
        <w:rPr>
          <w:rFonts w:hint="eastAsia"/>
        </w:rPr>
        <w:t>为消除对妇女的歧视在立法领域作出了广泛努力。最近的法律相互补充，代表了“为妇女立法”的新方法。这些法律涉及广泛问题，包括妇女的平等权利、性骚扰、跟踪、政府促进两性平等的责任、妇女受害者权利、私营部门对歧视的防范。这些法律为社会变革和两性权力和关系的彻底转变提供了广泛的视野。还为保障执行采取了措施。</w:t>
      </w:r>
    </w:p>
    <w:p w:rsidR="00672328" w:rsidRDefault="00672328">
      <w:pPr>
        <w:pStyle w:val="SingleTxt"/>
        <w:rPr>
          <w:rFonts w:hint="eastAsia"/>
        </w:rPr>
      </w:pPr>
      <w:r>
        <w:rPr>
          <w:rFonts w:hint="eastAsia"/>
        </w:rPr>
        <w:t>4.</w:t>
      </w:r>
      <w:r>
        <w:tab/>
      </w:r>
      <w:r>
        <w:rPr>
          <w:rFonts w:hint="eastAsia"/>
        </w:rPr>
        <w:t>政府已为消除对妇女的歧视采取步骤，包括采取肯定行动，例如支持单亲母亲加入劳工市场。法院在促进妇女权利方面继续发挥重大作用。最近的裁决批准了政府赞助妇女体育活动的肯定行动措施；确保妇女享有平等的退休权利；对于被殴打的妻子所受的虐待给予惩罚性赔偿。</w:t>
      </w:r>
    </w:p>
    <w:p w:rsidR="00672328" w:rsidRDefault="00672328">
      <w:pPr>
        <w:pStyle w:val="SingleTxt"/>
        <w:spacing w:line="340" w:lineRule="exact"/>
        <w:rPr>
          <w:rFonts w:hint="eastAsia"/>
        </w:rPr>
      </w:pPr>
      <w:r>
        <w:rPr>
          <w:rFonts w:hint="eastAsia"/>
        </w:rPr>
        <w:t>5.</w:t>
      </w:r>
      <w:r>
        <w:tab/>
      </w:r>
      <w:r>
        <w:rPr>
          <w:rFonts w:hint="eastAsia"/>
        </w:rPr>
        <w:t>这位代表强调，必须协作努力，才能消除对妇女的歧视，通过立法、司法、行政部门同民间社会合作，共同采取行动，打击为性剥削贩运妇女，便说明了这一点。这中间包括修订《刑法》，将禁止为卖淫目的贩运妇女列入其中，接着又设立了议会贩运人口调查委员会。该委员会同受害者相互配合，对政府机构行使监督职能。通过委员会的工作，在司法方面取得了进一步进展，包括对违法行为作出强制性最低监禁规定及扩大受害者权利。此外，还设立了一个建议采取措施的部内委员会，已经为更有效打击贩运而采取和执行了这些措施。以加大执法力度和加强对贩运者的起诉。根据有关国际条约的精神，法院的判决更加严厉，对法律的解释也更加严格。总检察长颁布的打击贩运业务准则已得到贯彻。收容所向贩运受害者提供医疗和心理社会治疗及免费法律援助。为安排受害者安全返回原籍国和启动复原进程作出了合作安排，包括与国际移徙组织和非政府组织也作了共同安排。</w:t>
      </w:r>
    </w:p>
    <w:p w:rsidR="00672328" w:rsidRDefault="00672328">
      <w:pPr>
        <w:pStyle w:val="SingleTxt"/>
        <w:spacing w:line="340" w:lineRule="exact"/>
        <w:rPr>
          <w:rFonts w:hint="eastAsia"/>
        </w:rPr>
      </w:pPr>
      <w:r>
        <w:rPr>
          <w:rFonts w:hint="eastAsia"/>
        </w:rPr>
        <w:t>6.</w:t>
      </w:r>
      <w:r>
        <w:tab/>
      </w:r>
      <w:r>
        <w:rPr>
          <w:rFonts w:hint="eastAsia"/>
        </w:rPr>
        <w:t>关于为答复委员会在其前一次结论意见中所表达的某些关切而采取的措施，这位代表指出越来越多的妇女在以色列国防部队中担任有声望的职务，1998年还按法定规定设立了提高妇女地位管理局。以色列议会妇女地位委员会也在妇女问题方面发挥关键作用。妇女在参与政治生活的人数方面取得进展，在议会中有18名成员，即占15％——这是从未有过的最高比例，另有3名部长、4名副部长和5名部办公厅主任。</w:t>
      </w:r>
    </w:p>
    <w:p w:rsidR="00672328" w:rsidRDefault="00672328">
      <w:pPr>
        <w:pStyle w:val="SingleTxt"/>
        <w:spacing w:line="340" w:lineRule="exact"/>
        <w:rPr>
          <w:rFonts w:hint="eastAsia"/>
        </w:rPr>
      </w:pPr>
      <w:r>
        <w:rPr>
          <w:rFonts w:hint="eastAsia"/>
        </w:rPr>
        <w:t>7.</w:t>
      </w:r>
      <w:r>
        <w:tab/>
      </w:r>
      <w:r>
        <w:rPr>
          <w:rFonts w:hint="eastAsia"/>
        </w:rPr>
        <w:t>在答复委员会其他关切时，这位代表提请注意贝都因学生参加入学考试和获得学士学位的人数大幅增加。贝都因妇女攻读学士学位的人数超过男子。正在采取步骤增加贝都因妇女被医学院录取的人数。教育、文化和体育部为贝都因学生颁发奖学金，还采取步骤增加上学率、防止辍学。</w:t>
      </w:r>
    </w:p>
    <w:p w:rsidR="00672328" w:rsidRDefault="00672328">
      <w:pPr>
        <w:pStyle w:val="SingleTxt"/>
        <w:spacing w:line="340" w:lineRule="exact"/>
        <w:rPr>
          <w:rFonts w:hint="eastAsia"/>
        </w:rPr>
      </w:pPr>
      <w:r>
        <w:rPr>
          <w:rFonts w:hint="eastAsia"/>
        </w:rPr>
        <w:t>8.</w:t>
      </w:r>
      <w:r>
        <w:tab/>
      </w:r>
      <w:r>
        <w:rPr>
          <w:rFonts w:hint="eastAsia"/>
        </w:rPr>
        <w:t>最后这位代表强调，由相关部委高级官员组成的代表团随时准备就《公约》的执行情况同委员会进行建设性和富有成果的对话。</w:t>
      </w:r>
    </w:p>
    <w:p w:rsidR="00672328" w:rsidRDefault="00672328">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672328" w:rsidRDefault="00672328">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委员会的结论意见</w:t>
      </w:r>
    </w:p>
    <w:p w:rsidR="00672328" w:rsidRDefault="00672328">
      <w:pPr>
        <w:pStyle w:val="SingleTxt"/>
        <w:spacing w:after="0" w:line="120" w:lineRule="exact"/>
        <w:rPr>
          <w:rFonts w:ascii="SimHei" w:eastAsia="SimHei" w:hint="eastAsia"/>
          <w:color w:val="FF0000"/>
          <w:sz w:val="10"/>
        </w:rPr>
      </w:pPr>
    </w:p>
    <w:p w:rsidR="00672328" w:rsidRDefault="00672328">
      <w:pPr>
        <w:pStyle w:val="SingleTxt"/>
        <w:rPr>
          <w:rFonts w:ascii="SimHei" w:eastAsia="SimHei" w:hint="eastAsia"/>
          <w:color w:val="FF0000"/>
        </w:rPr>
      </w:pPr>
      <w:r>
        <w:rPr>
          <w:rFonts w:ascii="SimHei" w:eastAsia="SimHei" w:hint="eastAsia"/>
          <w:color w:val="FF0000"/>
        </w:rPr>
        <w:t>导言</w:t>
      </w:r>
    </w:p>
    <w:p w:rsidR="00672328" w:rsidRDefault="00672328">
      <w:pPr>
        <w:pStyle w:val="SingleTxt"/>
        <w:spacing w:line="340" w:lineRule="exact"/>
        <w:rPr>
          <w:rFonts w:hint="eastAsia"/>
        </w:rPr>
      </w:pPr>
      <w:r>
        <w:rPr>
          <w:rFonts w:hint="eastAsia"/>
        </w:rPr>
        <w:t>9.</w:t>
      </w:r>
      <w:r>
        <w:tab/>
      </w:r>
      <w:r>
        <w:rPr>
          <w:rFonts w:hint="eastAsia"/>
        </w:rPr>
        <w:t>委员会对缔约国提出的第三次定期报告表示赞赏，认为报告遵守了委员会关于编制定期报告的准则。委员会建议缔约国对会前工作组提出的议题和问题清单作出书面答复并进行口头情况介绍。</w:t>
      </w:r>
    </w:p>
    <w:p w:rsidR="00672328" w:rsidRDefault="00672328">
      <w:pPr>
        <w:pStyle w:val="SingleTxt"/>
      </w:pPr>
      <w:r>
        <w:rPr>
          <w:rFonts w:hint="eastAsia"/>
        </w:rPr>
        <w:t>10.</w:t>
      </w:r>
      <w:r>
        <w:tab/>
      </w:r>
      <w:r>
        <w:rPr>
          <w:rFonts w:hint="eastAsia"/>
        </w:rPr>
        <w:t>委员会赞扬缔约国的代表团由负责《公约》若干领域的不同部委代表组成。</w:t>
      </w:r>
    </w:p>
    <w:p w:rsidR="00672328" w:rsidRDefault="00672328">
      <w:pPr>
        <w:pStyle w:val="SingleTxt"/>
        <w:rPr>
          <w:rFonts w:hint="eastAsia"/>
        </w:rPr>
      </w:pPr>
      <w:r>
        <w:t>11.</w:t>
      </w:r>
      <w:r>
        <w:tab/>
      </w:r>
      <w:r>
        <w:rPr>
          <w:rFonts w:hint="eastAsia"/>
        </w:rPr>
        <w:t>委员会注意到，以色列继续对《公约》第7条</w:t>
      </w:r>
      <w:r>
        <w:t>(b)</w:t>
      </w:r>
      <w:r>
        <w:rPr>
          <w:rFonts w:hint="eastAsia"/>
        </w:rPr>
        <w:t>款和16条持有保留。</w:t>
      </w:r>
    </w:p>
    <w:p w:rsidR="00672328" w:rsidRDefault="00672328">
      <w:pPr>
        <w:pStyle w:val="SingleTxt"/>
        <w:rPr>
          <w:rFonts w:ascii="SimHei" w:eastAsia="SimHei" w:hint="eastAsia"/>
          <w:color w:val="FF0000"/>
        </w:rPr>
      </w:pPr>
      <w:r>
        <w:rPr>
          <w:rFonts w:ascii="SimHei" w:eastAsia="SimHei" w:hint="eastAsia"/>
          <w:color w:val="FF0000"/>
        </w:rPr>
        <w:t>积极方面</w:t>
      </w:r>
    </w:p>
    <w:p w:rsidR="00672328" w:rsidRDefault="00672328">
      <w:pPr>
        <w:pStyle w:val="SingleTxt"/>
        <w:rPr>
          <w:rFonts w:hint="eastAsia"/>
        </w:rPr>
      </w:pPr>
      <w:r>
        <w:rPr>
          <w:rFonts w:hint="eastAsia"/>
        </w:rPr>
        <w:t>12.</w:t>
      </w:r>
      <w:r>
        <w:tab/>
      </w:r>
      <w:r>
        <w:rPr>
          <w:rFonts w:hint="eastAsia"/>
        </w:rPr>
        <w:t>委员会赞赏地注意到，自从1997年审议了以色列初次和第二次合并报告（CEDAW/C/ISR/1-2）以来，进行了重大的法律改革，目的是促进两性平等和消除对妇女的歧视；履行《公约》规定的义务，包括修订《妇女平等权利法》、《妇女就业法》（第19次修正）、《预防家庭暴力法》和《公务员制度法》（任命）；颁布了《防止性骚扰法》（1998年）、《犯罪受害者权利法》（2001年）、《预防跟踪法》（2001年）和《地方理事会法》（妇女地位咨询人员）（2000年）。</w:t>
      </w:r>
    </w:p>
    <w:p w:rsidR="00672328" w:rsidRDefault="00672328">
      <w:pPr>
        <w:pStyle w:val="SingleTxt"/>
        <w:rPr>
          <w:rFonts w:hint="eastAsia"/>
        </w:rPr>
      </w:pPr>
      <w:r>
        <w:rPr>
          <w:rFonts w:hint="eastAsia"/>
        </w:rPr>
        <w:t>13.</w:t>
      </w:r>
      <w:r>
        <w:tab/>
      </w:r>
      <w:r>
        <w:rPr>
          <w:rFonts w:hint="eastAsia"/>
        </w:rPr>
        <w:t>委员会欢迎1998年设立了提高妇女地位管理局。</w:t>
      </w:r>
    </w:p>
    <w:p w:rsidR="00672328" w:rsidRDefault="00672328">
      <w:pPr>
        <w:pStyle w:val="SingleTxt"/>
        <w:rPr>
          <w:rFonts w:ascii="SimHei" w:eastAsia="SimHei" w:hint="eastAsia"/>
          <w:color w:val="FF0000"/>
        </w:rPr>
      </w:pPr>
      <w:r>
        <w:rPr>
          <w:rFonts w:ascii="SimHei" w:eastAsia="SimHei" w:hint="eastAsia"/>
          <w:color w:val="FF0000"/>
        </w:rPr>
        <w:t>主要关切的领域和各项建议</w:t>
      </w:r>
    </w:p>
    <w:p w:rsidR="00672328" w:rsidRDefault="00672328">
      <w:pPr>
        <w:pStyle w:val="SingleTxt"/>
        <w:rPr>
          <w:rFonts w:hint="eastAsia"/>
        </w:rPr>
      </w:pPr>
      <w:r>
        <w:rPr>
          <w:rFonts w:ascii="SimHei" w:eastAsia="SimHei" w:hint="eastAsia"/>
          <w:color w:val="FF0000"/>
        </w:rPr>
        <w:t>14.</w:t>
      </w:r>
      <w:r>
        <w:rPr>
          <w:rFonts w:ascii="SimHei" w:eastAsia="SimHei"/>
          <w:color w:val="FF0000"/>
        </w:rPr>
        <w:tab/>
      </w:r>
      <w:r>
        <w:rPr>
          <w:rFonts w:ascii="SimHei" w:eastAsia="SimHei" w:hint="eastAsia"/>
          <w:color w:val="FF0000"/>
        </w:rPr>
        <w:t>委员会注意到缔约国履行了系统和持续执行《公约》各项规定的义务。同时，委员会也认为，本结论意见中所列的关切和建议需要缔约国从现在起到提交下一次定期报告的这段时间予以优先注意。因此，委员会呼吁缔约国在执行活动中将重点放在这些领域，并在其下一次定期报告中报告已采取的行动和取得的成果。它呼吁缔约国将本结论意见送交各有关部委和以色列议会，以确保全面执行。</w:t>
      </w:r>
    </w:p>
    <w:p w:rsidR="00672328" w:rsidRDefault="00672328">
      <w:pPr>
        <w:pStyle w:val="SingleTxt"/>
        <w:rPr>
          <w:rFonts w:hint="eastAsia"/>
        </w:rPr>
      </w:pPr>
      <w:r>
        <w:rPr>
          <w:rFonts w:hint="eastAsia"/>
        </w:rPr>
        <w:t>15.</w:t>
      </w:r>
      <w:r>
        <w:tab/>
      </w:r>
      <w:r>
        <w:rPr>
          <w:rFonts w:hint="eastAsia"/>
        </w:rPr>
        <w:t>委员会关切的是，缔约国没有采取适当步骤执行委员会就其1997年通过的前一次结论意见（A/52/38/R</w:t>
      </w:r>
      <w:r>
        <w:t>ev.1</w:t>
      </w:r>
      <w:r>
        <w:rPr>
          <w:rFonts w:hint="eastAsia"/>
        </w:rPr>
        <w:t>）中的某些关切问题提出的各项建议。特别是，委员会发现它在第170、171和173段中表示的关切没有得到充分重视。</w:t>
      </w:r>
    </w:p>
    <w:p w:rsidR="00672328" w:rsidRDefault="00672328">
      <w:pPr>
        <w:pStyle w:val="SingleTxt"/>
        <w:rPr>
          <w:rFonts w:ascii="SimHei" w:eastAsia="SimHei" w:hint="eastAsia"/>
          <w:color w:val="FF0000"/>
        </w:rPr>
      </w:pPr>
      <w:r>
        <w:rPr>
          <w:rFonts w:ascii="SimHei" w:eastAsia="SimHei" w:hint="eastAsia"/>
          <w:color w:val="FF0000"/>
        </w:rPr>
        <w:t>1</w:t>
      </w:r>
      <w:r>
        <w:rPr>
          <w:rFonts w:ascii="SimHei" w:eastAsia="SimHei"/>
          <w:color w:val="FF0000"/>
        </w:rPr>
        <w:t>6</w:t>
      </w:r>
      <w:r>
        <w:rPr>
          <w:rFonts w:ascii="SimHei" w:eastAsia="SimHei" w:hint="eastAsia"/>
          <w:color w:val="FF0000"/>
        </w:rPr>
        <w:t>.</w:t>
      </w:r>
      <w:r>
        <w:rPr>
          <w:rFonts w:ascii="SimHei" w:eastAsia="SimHei"/>
          <w:color w:val="FF0000"/>
        </w:rPr>
        <w:tab/>
      </w:r>
      <w:r>
        <w:rPr>
          <w:rFonts w:ascii="SimHei" w:eastAsia="SimHei" w:hint="eastAsia"/>
          <w:color w:val="FF0000"/>
        </w:rPr>
        <w:t>委员会重申这些关切和建议，敦请缔约国不再拖延，立即开始执行。</w:t>
      </w:r>
    </w:p>
    <w:p w:rsidR="00672328" w:rsidRDefault="00672328">
      <w:pPr>
        <w:pStyle w:val="SingleTxt"/>
        <w:rPr>
          <w:rFonts w:hint="eastAsia"/>
        </w:rPr>
      </w:pPr>
      <w:r>
        <w:rPr>
          <w:rFonts w:hint="eastAsia"/>
        </w:rPr>
        <w:t>1</w:t>
      </w:r>
      <w:r>
        <w:t>7</w:t>
      </w:r>
      <w:r>
        <w:rPr>
          <w:rFonts w:hint="eastAsia"/>
        </w:rPr>
        <w:t>.</w:t>
      </w:r>
      <w:r>
        <w:tab/>
      </w:r>
      <w:r>
        <w:rPr>
          <w:rFonts w:hint="eastAsia"/>
        </w:rPr>
        <w:t>委员会关切的是,没有在《宪法》或基本法中列入男女享有平等权利和禁止对妇女直接和间接歧视的条款。</w:t>
      </w:r>
    </w:p>
    <w:p w:rsidR="00672328" w:rsidRDefault="00672328">
      <w:pPr>
        <w:pStyle w:val="SingleTxt"/>
        <w:rPr>
          <w:rFonts w:ascii="SimHei" w:eastAsia="SimHei" w:hint="eastAsia"/>
          <w:color w:val="FF0000"/>
        </w:rPr>
      </w:pPr>
      <w:r>
        <w:rPr>
          <w:rFonts w:ascii="SimHei" w:eastAsia="SimHei" w:hint="eastAsia"/>
          <w:color w:val="FF0000"/>
        </w:rPr>
        <w:t>1</w:t>
      </w:r>
      <w:r>
        <w:rPr>
          <w:rFonts w:ascii="SimHei" w:eastAsia="SimHei"/>
          <w:color w:val="FF0000"/>
        </w:rPr>
        <w:t>8</w:t>
      </w:r>
      <w:r>
        <w:rPr>
          <w:rFonts w:ascii="SimHei" w:eastAsia="SimHei" w:hint="eastAsia"/>
          <w:color w:val="FF0000"/>
        </w:rPr>
        <w:t>.</w:t>
      </w:r>
      <w:r>
        <w:rPr>
          <w:rFonts w:ascii="SimHei" w:eastAsia="SimHei"/>
          <w:color w:val="FF0000"/>
        </w:rPr>
        <w:tab/>
      </w:r>
      <w:r>
        <w:rPr>
          <w:rFonts w:ascii="SimHei" w:eastAsia="SimHei" w:hint="eastAsia"/>
          <w:color w:val="FF0000"/>
        </w:rPr>
        <w:t>委员会建议在正在起草的新宪法或基本法中纳入按照《公约》第1条确定的歧视定义以及按照《公约》第2</w:t>
      </w:r>
      <w:r>
        <w:rPr>
          <w:rFonts w:ascii="SimHei" w:eastAsia="SimHei"/>
          <w:color w:val="FF0000"/>
        </w:rPr>
        <w:t>(</w:t>
      </w:r>
      <w:r>
        <w:rPr>
          <w:rFonts w:ascii="SimHei" w:eastAsia="SimHei" w:hint="eastAsia"/>
          <w:color w:val="FF0000"/>
        </w:rPr>
        <w:t>a</w:t>
      </w:r>
      <w:r>
        <w:rPr>
          <w:rFonts w:ascii="SimHei" w:eastAsia="SimHei"/>
          <w:color w:val="FF0000"/>
        </w:rPr>
        <w:t>)</w:t>
      </w:r>
      <w:r>
        <w:rPr>
          <w:rFonts w:ascii="SimHei" w:eastAsia="SimHei" w:hint="eastAsia"/>
          <w:color w:val="FF0000"/>
        </w:rPr>
        <w:t>条规定的妇女平等权利条款。</w:t>
      </w:r>
    </w:p>
    <w:p w:rsidR="00672328" w:rsidRDefault="00672328">
      <w:pPr>
        <w:pStyle w:val="SingleTxt"/>
        <w:rPr>
          <w:rFonts w:hint="eastAsia"/>
        </w:rPr>
      </w:pPr>
      <w:r>
        <w:rPr>
          <w:rFonts w:hint="eastAsia"/>
        </w:rPr>
        <w:t>1</w:t>
      </w:r>
      <w:r>
        <w:t>9</w:t>
      </w:r>
      <w:r>
        <w:rPr>
          <w:rFonts w:hint="eastAsia"/>
        </w:rPr>
        <w:t>.</w:t>
      </w:r>
      <w:r>
        <w:tab/>
      </w:r>
      <w:r>
        <w:rPr>
          <w:rFonts w:hint="eastAsia"/>
        </w:rPr>
        <w:t>委员会对《公约》中只有某些条款被纳入国内法律秩序表示关切。委员会还对没有建立机制监督和确保国内法符合缔约国根据《公约》应履行的义务表示关切。</w:t>
      </w:r>
    </w:p>
    <w:p w:rsidR="00672328" w:rsidRDefault="00672328">
      <w:pPr>
        <w:pStyle w:val="SingleTxt"/>
        <w:rPr>
          <w:rFonts w:ascii="SimHei" w:eastAsia="SimHei" w:hint="eastAsia"/>
          <w:color w:val="FF0000"/>
        </w:rPr>
      </w:pPr>
      <w:r>
        <w:rPr>
          <w:rFonts w:ascii="SimHei" w:eastAsia="SimHei"/>
          <w:color w:val="FF0000"/>
        </w:rPr>
        <w:t>20</w:t>
      </w:r>
      <w:r>
        <w:rPr>
          <w:rFonts w:ascii="SimHei" w:eastAsia="SimHei" w:hint="eastAsia"/>
          <w:color w:val="FF0000"/>
        </w:rPr>
        <w:t>.</w:t>
      </w:r>
      <w:r>
        <w:rPr>
          <w:rFonts w:ascii="SimHei" w:eastAsia="SimHei"/>
          <w:color w:val="FF0000"/>
        </w:rPr>
        <w:tab/>
      </w:r>
      <w:r>
        <w:rPr>
          <w:rFonts w:ascii="SimHei" w:eastAsia="SimHei" w:hint="eastAsia"/>
          <w:color w:val="FF0000"/>
        </w:rPr>
        <w:t>委员会敦请缔约国将《公约》的各项条款全面纳入国家的法律秩序，定期评估国内法是否符合缔约国根据《公约》应承担的各项义务。委员会建议缔约国执行培训和提高认识方案，让法官、检察官和法律专业的其他成员熟悉《公约》的各项条款。</w:t>
      </w:r>
    </w:p>
    <w:p w:rsidR="00672328" w:rsidRDefault="00672328">
      <w:pPr>
        <w:pStyle w:val="SingleTxt"/>
        <w:rPr>
          <w:rFonts w:hint="eastAsia"/>
        </w:rPr>
      </w:pPr>
      <w:r>
        <w:rPr>
          <w:rFonts w:hint="eastAsia"/>
        </w:rPr>
        <w:t>2</w:t>
      </w:r>
      <w:r>
        <w:t>1</w:t>
      </w:r>
      <w:r>
        <w:rPr>
          <w:rFonts w:hint="eastAsia"/>
        </w:rPr>
        <w:t>.</w:t>
      </w:r>
      <w:r>
        <w:tab/>
      </w:r>
      <w:r>
        <w:rPr>
          <w:rFonts w:hint="eastAsia"/>
        </w:rPr>
        <w:t>委员会了解到持续的冲突和暴力阻碍了《公约》的全面执行，注意到最近已采取措施解决这一问题。在这方面，委员会欢迎关于妇女参与促成和平的法律草案，其中将要求25％的妇女参与促进和平进程。</w:t>
      </w:r>
    </w:p>
    <w:p w:rsidR="00672328" w:rsidRDefault="00672328">
      <w:pPr>
        <w:pStyle w:val="SingleTxt"/>
        <w:rPr>
          <w:rFonts w:ascii="SimHei" w:eastAsia="SimHei" w:hint="eastAsia"/>
          <w:color w:val="FF0000"/>
        </w:rPr>
      </w:pPr>
      <w:r>
        <w:rPr>
          <w:rFonts w:ascii="SimHei" w:eastAsia="SimHei" w:hint="eastAsia"/>
          <w:color w:val="FF0000"/>
        </w:rPr>
        <w:t>22.</w:t>
      </w:r>
      <w:r>
        <w:rPr>
          <w:rFonts w:ascii="SimHei" w:eastAsia="SimHei"/>
          <w:color w:val="FF0000"/>
        </w:rPr>
        <w:tab/>
      </w:r>
      <w:r>
        <w:rPr>
          <w:rFonts w:ascii="SimHei" w:eastAsia="SimHei" w:hint="eastAsia"/>
          <w:color w:val="FF0000"/>
        </w:rPr>
        <w:t>委员会鼓励缔约国继续努力解决冲突，让所有有关妇女充分参与和平过程的各个阶段。</w:t>
      </w:r>
    </w:p>
    <w:p w:rsidR="00672328" w:rsidRDefault="00672328">
      <w:pPr>
        <w:pStyle w:val="SingleTxt"/>
        <w:rPr>
          <w:rFonts w:hint="eastAsia"/>
        </w:rPr>
      </w:pPr>
      <w:r>
        <w:rPr>
          <w:rFonts w:hint="eastAsia"/>
        </w:rPr>
        <w:t>23.</w:t>
      </w:r>
      <w:r>
        <w:tab/>
      </w:r>
      <w:r>
        <w:rPr>
          <w:rFonts w:hint="eastAsia"/>
        </w:rPr>
        <w:t>委员会感到遗憾的是，缔约国坚持《公约》只在其本国领土适用的立场，因此拒绝报告《公约》在被占领土的执行情况，尽管该国代表团承认缔约国负有某些责任。委员会还对代表团没有答复委员会提出的关于被占领土妇女情况的问题表示遗憾。委员会指出，缔约国关于《公约》不适用于被占领土的看法同委员会和其他条约机构，包括人权事务委员会、经济、社会和文化权利委员会和禁止酷刑委员会的看法是不一致的，同国际法院的看法也不一致，它们都指出，根据国际人权公约以及人道主义法承担的义务适用于属于一个缔约国管辖范围或有效管制下的所有人。它们还强调缔约国根据国际人权公约承担的义务适用于被占领土。</w:t>
      </w:r>
    </w:p>
    <w:p w:rsidR="00672328" w:rsidRDefault="00672328">
      <w:pPr>
        <w:pStyle w:val="SingleTxt"/>
        <w:rPr>
          <w:rFonts w:ascii="SimHei" w:eastAsia="SimHei" w:hint="eastAsia"/>
          <w:color w:val="FF0000"/>
        </w:rPr>
      </w:pPr>
      <w:r>
        <w:rPr>
          <w:rFonts w:ascii="SimHei" w:eastAsia="SimHei" w:hint="eastAsia"/>
          <w:color w:val="FF0000"/>
        </w:rPr>
        <w:t>24.</w:t>
      </w:r>
      <w:r>
        <w:rPr>
          <w:rFonts w:ascii="SimHei" w:eastAsia="SimHei"/>
          <w:color w:val="FF0000"/>
        </w:rPr>
        <w:tab/>
      </w:r>
      <w:r>
        <w:rPr>
          <w:rFonts w:ascii="SimHei" w:eastAsia="SimHei" w:hint="eastAsia"/>
          <w:color w:val="FF0000"/>
        </w:rPr>
        <w:t>委员会敦请缔约国重新考虑其立场，全面履行它根据《公约》对其管辖范围内的所有人，包括被占领土的妇女承担的各项义务，并在其下一次定期报告中提供详细资料，说明所有妇女，包括（如果仍然相关）生活在被占领土上的妇女享有《公约》赋予的各项权利的情况。</w:t>
      </w:r>
    </w:p>
    <w:p w:rsidR="00672328" w:rsidRDefault="00672328">
      <w:pPr>
        <w:pStyle w:val="SingleTxt"/>
        <w:rPr>
          <w:rFonts w:hint="eastAsia"/>
        </w:rPr>
      </w:pPr>
      <w:r>
        <w:rPr>
          <w:rFonts w:hint="eastAsia"/>
        </w:rPr>
        <w:t>25.</w:t>
      </w:r>
      <w:r>
        <w:tab/>
      </w:r>
      <w:r>
        <w:rPr>
          <w:rFonts w:hint="eastAsia"/>
        </w:rPr>
        <w:t>委员会对缔约国仍然维持对《公约》第7</w:t>
      </w:r>
      <w:r>
        <w:t>(</w:t>
      </w:r>
      <w:r>
        <w:rPr>
          <w:rFonts w:hint="eastAsia"/>
        </w:rPr>
        <w:t>b</w:t>
      </w:r>
      <w:r>
        <w:t>)</w:t>
      </w:r>
      <w:r>
        <w:rPr>
          <w:rFonts w:hint="eastAsia"/>
        </w:rPr>
        <w:t>和第16条的保留表示关切。委员会特别关切的是，缔约国声明这样的保留“在此刻是不可避免的”并坚持根据宗教价值制定的法律是不能改革的立场。</w:t>
      </w:r>
    </w:p>
    <w:p w:rsidR="00672328" w:rsidRDefault="00672328">
      <w:pPr>
        <w:pStyle w:val="SingleTxt"/>
        <w:rPr>
          <w:rFonts w:ascii="SimHei" w:eastAsia="SimHei" w:hint="eastAsia"/>
          <w:color w:val="FF0000"/>
        </w:rPr>
      </w:pPr>
      <w:r>
        <w:rPr>
          <w:rFonts w:ascii="SimHei" w:eastAsia="SimHei" w:hint="eastAsia"/>
          <w:color w:val="FF0000"/>
        </w:rPr>
        <w:t>26.</w:t>
      </w:r>
      <w:r>
        <w:rPr>
          <w:rFonts w:ascii="SimHei" w:eastAsia="SimHei"/>
          <w:color w:val="FF0000"/>
        </w:rPr>
        <w:tab/>
      </w:r>
      <w:r>
        <w:rPr>
          <w:rFonts w:ascii="SimHei" w:eastAsia="SimHei" w:hint="eastAsia"/>
          <w:color w:val="FF0000"/>
        </w:rPr>
        <w:t>委员会敦请缔约国考虑撤销对《公约》第7</w:t>
      </w:r>
      <w:r>
        <w:rPr>
          <w:rFonts w:ascii="SimHei" w:eastAsia="SimHei"/>
          <w:color w:val="FF0000"/>
        </w:rPr>
        <w:t>(</w:t>
      </w:r>
      <w:r>
        <w:rPr>
          <w:rFonts w:ascii="SimHei" w:eastAsia="SimHei" w:hint="eastAsia"/>
          <w:color w:val="FF0000"/>
        </w:rPr>
        <w:t>b</w:t>
      </w:r>
      <w:r>
        <w:rPr>
          <w:rFonts w:ascii="SimHei" w:eastAsia="SimHei"/>
          <w:color w:val="FF0000"/>
        </w:rPr>
        <w:t>)</w:t>
      </w:r>
      <w:r>
        <w:rPr>
          <w:rFonts w:ascii="SimHei" w:eastAsia="SimHei" w:hint="eastAsia"/>
          <w:color w:val="FF0000"/>
        </w:rPr>
        <w:t>和第16条的保留，因为它们违反了《公约》的目标和宗旨。</w:t>
      </w:r>
    </w:p>
    <w:p w:rsidR="00672328" w:rsidRDefault="00672328">
      <w:pPr>
        <w:pStyle w:val="SingleTxt"/>
        <w:rPr>
          <w:rFonts w:hint="eastAsia"/>
        </w:rPr>
      </w:pPr>
      <w:r>
        <w:rPr>
          <w:rFonts w:hint="eastAsia"/>
        </w:rPr>
        <w:t>27.</w:t>
      </w:r>
      <w:r>
        <w:tab/>
      </w:r>
      <w:r>
        <w:rPr>
          <w:rFonts w:hint="eastAsia"/>
        </w:rPr>
        <w:t>委员会欢迎设立提高妇女地位管理局，认为这是加强提高妇女地位国家机制的一项重要措施，但是委员会担心管理局可能没有足够的权力、知名度及人力和财力资源来有效促进提高妇女地位和两性平等。</w:t>
      </w:r>
    </w:p>
    <w:p w:rsidR="00672328" w:rsidRDefault="00672328">
      <w:pPr>
        <w:pStyle w:val="SingleTxt"/>
        <w:rPr>
          <w:rFonts w:ascii="SimHei" w:eastAsia="SimHei" w:hint="eastAsia"/>
          <w:color w:val="FF0000"/>
        </w:rPr>
      </w:pPr>
      <w:r>
        <w:rPr>
          <w:rFonts w:ascii="SimHei" w:eastAsia="SimHei" w:hint="eastAsia"/>
          <w:color w:val="FF0000"/>
        </w:rPr>
        <w:t>28.</w:t>
      </w:r>
      <w:r>
        <w:rPr>
          <w:rFonts w:ascii="SimHei" w:eastAsia="SimHei"/>
          <w:color w:val="FF0000"/>
        </w:rPr>
        <w:tab/>
      </w:r>
      <w:r>
        <w:rPr>
          <w:rFonts w:ascii="SimHei" w:eastAsia="SimHei" w:hint="eastAsia"/>
          <w:color w:val="FF0000"/>
        </w:rPr>
        <w:t>委员会呼吁缔约国加强提高妇女地位管理局。它尤其呼吁缔约国确保向管理局提供权力，在政府执行部门安置地方及提供必要的人力和财力资源，使其能够在政府各部门有效促进提高妇女地位和两性平等。</w:t>
      </w:r>
    </w:p>
    <w:p w:rsidR="00672328" w:rsidRDefault="00672328">
      <w:pPr>
        <w:pStyle w:val="SingleTxt"/>
        <w:rPr>
          <w:rFonts w:hint="eastAsia"/>
        </w:rPr>
      </w:pPr>
      <w:r>
        <w:rPr>
          <w:rFonts w:hint="eastAsia"/>
        </w:rPr>
        <w:t>29.</w:t>
      </w:r>
      <w:r>
        <w:tab/>
      </w:r>
      <w:r>
        <w:rPr>
          <w:rFonts w:hint="eastAsia"/>
        </w:rPr>
        <w:t>委员会赞扬缔约国努力应付贩运妇女和女孩的问题，包括批准2000年《联合国打击跨国有组织犯罪公约》、2001年《联合国打击跨国有组织犯罪公约关于预防、禁止和惩治贩运人口特别是妇女和儿童行为的议定书》和修订《禁止贩运刑法》，不过委员会对没有使国内立法与国际义务保持一致表示关注。委员会注意到正在拟定一项扩大贩运定义的法案，不过感到关切的是，《刑法》中关于贩运的现有定义只涉及为使妇女卖淫和奴役而贩运，没有涉及为了进行其他形式剥削而贩运。委员会还对没有制定全面计划防止和消除贩运妇女现象和保护受害者以及对此现象没有系统地收集数据表示关切。</w:t>
      </w:r>
    </w:p>
    <w:p w:rsidR="00672328" w:rsidRDefault="00672328">
      <w:pPr>
        <w:pStyle w:val="SingleTxt"/>
        <w:rPr>
          <w:rFonts w:ascii="SimHei" w:eastAsia="SimHei" w:hint="eastAsia"/>
          <w:color w:val="FF0000"/>
        </w:rPr>
      </w:pPr>
      <w:r>
        <w:rPr>
          <w:rFonts w:ascii="SimHei" w:eastAsia="SimHei" w:hint="eastAsia"/>
          <w:color w:val="FF0000"/>
        </w:rPr>
        <w:t>30.</w:t>
      </w:r>
      <w:r>
        <w:rPr>
          <w:rFonts w:ascii="SimHei" w:eastAsia="SimHei"/>
          <w:color w:val="FF0000"/>
        </w:rPr>
        <w:tab/>
      </w:r>
      <w:r>
        <w:rPr>
          <w:rFonts w:ascii="SimHei" w:eastAsia="SimHei" w:hint="eastAsia"/>
          <w:color w:val="FF0000"/>
        </w:rPr>
        <w:t>委员会敦请缔约国加紧努力打击一切形式的贩卖妇女和女孩行为，包括扩充《刑法》的条款内容，使其符合《关于预防、禁止和惩治贩运人口特别是妇女和儿童行为的议定书》中的定义。委员会还敦请缔约国加强与来源国和过境国在国际、区域和双边各级的合作，以便更有效地消除贩运的根源，通过信息交流进一步预防贩运。委员会敦请缔约国继续收集和分析从警方和国际来源获取的数据，起诉和惩罚贩运者，确保被贩运妇女和女孩的人权得到保护。委员会还呼吁缔约国采取一切适当措施，打击意图营利使妇女卖淫，包括阻止男性嫖娼。委员会呼吁缔约国确保被贩运妇女和女孩得到适当支助，以便能够指证贩运她们的人贩子。</w:t>
      </w:r>
    </w:p>
    <w:p w:rsidR="00672328" w:rsidRDefault="00672328">
      <w:pPr>
        <w:pStyle w:val="SingleTxt"/>
        <w:rPr>
          <w:rFonts w:hint="eastAsia"/>
        </w:rPr>
      </w:pPr>
      <w:r>
        <w:rPr>
          <w:rFonts w:hint="eastAsia"/>
        </w:rPr>
        <w:t>31.</w:t>
      </w:r>
      <w:r>
        <w:tab/>
      </w:r>
      <w:r>
        <w:rPr>
          <w:rFonts w:hint="eastAsia"/>
        </w:rPr>
        <w:t>委员会注意到妇女在议会中的人数增加，但是对妇女在地方权力机构中担任决策职务的人数较少仍然表示关注。它还对妇女在公务员制度和外交事务中担任高级职务的人数较少表示关注。委员会对以籍阿拉伯妇女在这些领域的人数较少也表示关注。</w:t>
      </w:r>
    </w:p>
    <w:p w:rsidR="00672328" w:rsidRDefault="00672328">
      <w:pPr>
        <w:pStyle w:val="SingleTxt"/>
        <w:rPr>
          <w:rFonts w:ascii="SimHei" w:eastAsia="SimHei" w:hint="eastAsia"/>
          <w:color w:val="FF0000"/>
        </w:rPr>
      </w:pPr>
      <w:r>
        <w:rPr>
          <w:rFonts w:ascii="SimHei" w:eastAsia="SimHei" w:hint="eastAsia"/>
          <w:color w:val="FF0000"/>
        </w:rPr>
        <w:t>32.</w:t>
      </w:r>
      <w:r>
        <w:rPr>
          <w:rFonts w:ascii="SimHei" w:eastAsia="SimHei"/>
          <w:color w:val="FF0000"/>
        </w:rPr>
        <w:tab/>
      </w:r>
      <w:r>
        <w:rPr>
          <w:rFonts w:ascii="SimHei" w:eastAsia="SimHei" w:hint="eastAsia"/>
          <w:color w:val="FF0000"/>
        </w:rPr>
        <w:t>委员会鼓励缔约国采取持续措施，包括根据《公约》第4条第1款和委员会一般性建议25采取临时特别措施，确定具体目标和时间表，加快增加妇女，包括增加以籍阿拉伯妇女在公共生活各领域经选举和任命产生的机构中的人数。</w:t>
      </w:r>
    </w:p>
    <w:p w:rsidR="00672328" w:rsidRDefault="00672328">
      <w:pPr>
        <w:pStyle w:val="SingleTxt"/>
        <w:rPr>
          <w:rFonts w:hint="eastAsia"/>
        </w:rPr>
      </w:pPr>
      <w:r>
        <w:rPr>
          <w:rFonts w:hint="eastAsia"/>
        </w:rPr>
        <w:t>33.</w:t>
      </w:r>
      <w:r>
        <w:tab/>
      </w:r>
      <w:r>
        <w:rPr>
          <w:rFonts w:hint="eastAsia"/>
        </w:rPr>
        <w:t>委员会对缔约国2002年5月的暂行中止令表示关切，此法令于2003年7月31日变成一项法律，成为《国籍和以色列入境法》（暂行令），该法除了有限的和主观决定的例外以外，取消了家庭团聚的可能性，特别是对以色列公民与居住在被占领土的人联姻而言。委员会关切地注意到，目前已被延长到2005年8月底为止的中止令已经对以籍阿拉伯女公民和被占领土的巴勒斯坦妇女的婚姻和家庭生活产生不利影响。</w:t>
      </w:r>
    </w:p>
    <w:p w:rsidR="00672328" w:rsidRDefault="00672328">
      <w:pPr>
        <w:pStyle w:val="SingleTxt"/>
        <w:rPr>
          <w:rFonts w:ascii="SimHei" w:eastAsia="SimHei" w:hint="eastAsia"/>
          <w:color w:val="FF0000"/>
        </w:rPr>
      </w:pPr>
      <w:r>
        <w:rPr>
          <w:rFonts w:ascii="SimHei" w:eastAsia="SimHei" w:hint="eastAsia"/>
          <w:color w:val="FF0000"/>
        </w:rPr>
        <w:t>34.</w:t>
      </w:r>
      <w:r>
        <w:rPr>
          <w:rFonts w:ascii="SimHei" w:eastAsia="SimHei"/>
          <w:color w:val="FF0000"/>
        </w:rPr>
        <w:tab/>
      </w:r>
      <w:r>
        <w:rPr>
          <w:rFonts w:ascii="SimHei" w:eastAsia="SimHei" w:hint="eastAsia"/>
          <w:color w:val="FF0000"/>
        </w:rPr>
        <w:t>委员会呼吁缔约国兼顾国家的安全利益和受这些政策影响的人的人权，重新审议这些政策，以便有利于所有公民和常住居民的家庭团聚。它呼吁缔约国确保2003年7月31日的《国籍和以色列入境法》（暂行令）符合《公约》第9和第16条。它要求缔约国在其下一次定期报告中就此法令对受影响妇女所产生的短期和长期影响提供详细统计资料和分析。</w:t>
      </w:r>
    </w:p>
    <w:p w:rsidR="00672328" w:rsidRDefault="00672328">
      <w:pPr>
        <w:pStyle w:val="SingleTxt"/>
        <w:rPr>
          <w:rFonts w:hint="eastAsia"/>
        </w:rPr>
      </w:pPr>
      <w:r>
        <w:rPr>
          <w:rFonts w:hint="eastAsia"/>
        </w:rPr>
        <w:t>35.</w:t>
      </w:r>
      <w:r>
        <w:tab/>
      </w:r>
      <w:r>
        <w:rPr>
          <w:rFonts w:hint="eastAsia"/>
        </w:rPr>
        <w:t>委员会对妇女在教育和卫生领域取得的进展表示赞赏，但是对以籍阿拉伯妇女特别是在教育和卫生领域仍处于弱势和边缘化地位表示关切。尽管已在努力删除教科书中的性别定型观念，但是委员会对这一情况在阿拉伯教育系统中继续存在表示关切。</w:t>
      </w:r>
    </w:p>
    <w:p w:rsidR="00672328" w:rsidRDefault="00672328">
      <w:pPr>
        <w:pStyle w:val="SingleTxt"/>
        <w:rPr>
          <w:rFonts w:ascii="SimHei" w:eastAsia="SimHei" w:hint="eastAsia"/>
          <w:color w:val="FF0000"/>
        </w:rPr>
      </w:pPr>
      <w:r>
        <w:rPr>
          <w:rFonts w:ascii="SimHei" w:eastAsia="SimHei" w:hint="eastAsia"/>
          <w:color w:val="FF0000"/>
        </w:rPr>
        <w:t>36.</w:t>
      </w:r>
      <w:r>
        <w:rPr>
          <w:rFonts w:ascii="SimHei" w:eastAsia="SimHei"/>
          <w:color w:val="FF0000"/>
        </w:rPr>
        <w:tab/>
      </w:r>
      <w:r>
        <w:rPr>
          <w:rFonts w:ascii="SimHei" w:eastAsia="SimHei" w:hint="eastAsia"/>
          <w:color w:val="FF0000"/>
        </w:rPr>
        <w:t>委员会建议缔约国采取紧急措施，包括根据《公约》第4条第1款和委员会一般性建议25采取临时特别措施，减少以籍阿拉伯女孩的辍学率，增加以籍阿拉伯妇女接受高等教育的人数。委员会还敦请缔约国审查和修订阿拉伯教育系统中的教科书，以便消除性别定型观念。委员会建议缔约国拨出充分资源改进以籍阿拉伯妇女的卫生状况，特别是减少婴儿死亡率，并在其下一次定期报告中全面说明以籍阿拉伯妇女的情况。</w:t>
      </w:r>
    </w:p>
    <w:p w:rsidR="00672328" w:rsidRDefault="00672328">
      <w:pPr>
        <w:pStyle w:val="SingleTxt"/>
        <w:rPr>
          <w:rFonts w:hint="eastAsia"/>
        </w:rPr>
      </w:pPr>
      <w:r>
        <w:rPr>
          <w:rFonts w:hint="eastAsia"/>
        </w:rPr>
        <w:t>37.</w:t>
      </w:r>
      <w:r>
        <w:tab/>
      </w:r>
      <w:r>
        <w:rPr>
          <w:rFonts w:hint="eastAsia"/>
        </w:rPr>
        <w:t>委员会对以色列检查站发生的一些事件表示关切，这些事件对巴勒斯坦妇女的权利，包括孕妇获得保健服务的权利产生不利影响。</w:t>
      </w:r>
    </w:p>
    <w:p w:rsidR="00672328" w:rsidRDefault="00672328">
      <w:pPr>
        <w:pStyle w:val="SingleTxt"/>
        <w:rPr>
          <w:rFonts w:ascii="SimHei" w:eastAsia="SimHei" w:hint="eastAsia"/>
          <w:color w:val="FF0000"/>
        </w:rPr>
      </w:pPr>
      <w:r>
        <w:rPr>
          <w:rFonts w:ascii="SimHei" w:eastAsia="SimHei" w:hint="eastAsia"/>
          <w:color w:val="FF0000"/>
        </w:rPr>
        <w:t>38.</w:t>
      </w:r>
      <w:r>
        <w:rPr>
          <w:rFonts w:ascii="SimHei" w:eastAsia="SimHei"/>
          <w:color w:val="FF0000"/>
        </w:rPr>
        <w:tab/>
      </w:r>
      <w:r>
        <w:rPr>
          <w:rFonts w:ascii="SimHei" w:eastAsia="SimHei" w:hint="eastAsia"/>
          <w:color w:val="FF0000"/>
        </w:rPr>
        <w:t>委员会呼吁缔约国确保指示检查站的以色列当局，在保护国家安全的同时，确保孕妇能够获得保健服务。</w:t>
      </w:r>
    </w:p>
    <w:p w:rsidR="00672328" w:rsidRDefault="00672328">
      <w:pPr>
        <w:pStyle w:val="SingleTxt"/>
        <w:rPr>
          <w:rFonts w:hint="eastAsia"/>
        </w:rPr>
      </w:pPr>
      <w:r>
        <w:rPr>
          <w:rFonts w:hint="eastAsia"/>
        </w:rPr>
        <w:t>39.</w:t>
      </w:r>
      <w:r>
        <w:tab/>
      </w:r>
      <w:r>
        <w:rPr>
          <w:rFonts w:hint="eastAsia"/>
        </w:rPr>
        <w:t>委员会对生活在内盖夫沙漠的贝都因妇女特别是在教育、就业和卫生领域仍然处于弱势和边缘化地位表示关切。委员会特别关切一些贝都因妇女的情况，她们居住在无人知晓的村庄，住房条件差，得不到或只有有限的水电和环卫。</w:t>
      </w:r>
    </w:p>
    <w:p w:rsidR="00672328" w:rsidRDefault="00672328">
      <w:pPr>
        <w:pStyle w:val="SingleTxt"/>
        <w:rPr>
          <w:rFonts w:ascii="SimHei" w:eastAsia="SimHei" w:hint="eastAsia"/>
          <w:color w:val="FF0000"/>
        </w:rPr>
      </w:pPr>
      <w:r>
        <w:rPr>
          <w:rFonts w:ascii="SimHei" w:eastAsia="SimHei" w:hint="eastAsia"/>
          <w:color w:val="FF0000"/>
        </w:rPr>
        <w:t>40.</w:t>
      </w:r>
      <w:r>
        <w:rPr>
          <w:rFonts w:ascii="SimHei" w:eastAsia="SimHei"/>
          <w:color w:val="FF0000"/>
        </w:rPr>
        <w:tab/>
      </w:r>
      <w:r>
        <w:rPr>
          <w:rFonts w:ascii="SimHei" w:eastAsia="SimHei" w:hint="eastAsia"/>
          <w:color w:val="FF0000"/>
        </w:rPr>
        <w:t>委员会敦请缔约国采取有效措施，包括根据《公约》第4条第1款和委员会一般性建议25，在教育、就业和卫生领域采取临时特别措施，消除对贝都因妇女的歧视，通过采取有效和积极主动的措施，进一步尊重她们的人权。委员会呼吁缔约国在其下一次定期报告中全面说明贝都因妇女和女孩的情况，关于她们的教育机会、取得的成就、能否获得就业和保健服务，并对她们直接受影响的这些领域的政策影响进行评估。</w:t>
      </w:r>
    </w:p>
    <w:p w:rsidR="00672328" w:rsidRDefault="00672328">
      <w:pPr>
        <w:pStyle w:val="SingleTxt"/>
        <w:rPr>
          <w:rFonts w:hint="eastAsia"/>
        </w:rPr>
      </w:pPr>
      <w:r>
        <w:rPr>
          <w:rFonts w:hint="eastAsia"/>
        </w:rPr>
        <w:t>41.</w:t>
      </w:r>
      <w:r>
        <w:tab/>
      </w:r>
      <w:r>
        <w:rPr>
          <w:rFonts w:hint="eastAsia"/>
        </w:rPr>
        <w:t>委员会感到关切的是，缔约国声称它不能够执行禁止一夫多妻的法律，也不能推行最低结婚年龄，原因是需要尊重从事这类行为的人的隐私权。委员会还感到关切的是，不足法定年龄的女孩结婚的请求一般都予以获准。</w:t>
      </w:r>
    </w:p>
    <w:p w:rsidR="00672328" w:rsidRDefault="00672328">
      <w:pPr>
        <w:pStyle w:val="SingleTxt"/>
        <w:rPr>
          <w:rFonts w:ascii="SimHei" w:eastAsia="SimHei" w:hint="eastAsia"/>
          <w:color w:val="FF0000"/>
        </w:rPr>
      </w:pPr>
      <w:r>
        <w:rPr>
          <w:rFonts w:ascii="SimHei" w:eastAsia="SimHei" w:hint="eastAsia"/>
          <w:color w:val="FF0000"/>
        </w:rPr>
        <w:t>42.</w:t>
      </w:r>
      <w:r>
        <w:rPr>
          <w:rFonts w:ascii="SimHei" w:eastAsia="SimHei"/>
          <w:color w:val="FF0000"/>
        </w:rPr>
        <w:tab/>
      </w:r>
      <w:r>
        <w:rPr>
          <w:rFonts w:ascii="SimHei" w:eastAsia="SimHei" w:hint="eastAsia"/>
          <w:color w:val="FF0000"/>
        </w:rPr>
        <w:t>委员会敦请缔约国采取积极措施，禁止一夫多妻、遵守最低结婚年龄。委员会建议缔约国采取全面和有效措施，包括开展提高公众认识运动，以便取消一夫多妻和早婚做法。</w:t>
      </w:r>
    </w:p>
    <w:p w:rsidR="00672328" w:rsidRDefault="00672328">
      <w:pPr>
        <w:pStyle w:val="SingleTxt"/>
        <w:rPr>
          <w:rFonts w:ascii="SimHei" w:eastAsia="SimHei" w:hint="eastAsia"/>
          <w:color w:val="FF0000"/>
        </w:rPr>
      </w:pPr>
      <w:r>
        <w:rPr>
          <w:rFonts w:ascii="SimHei" w:eastAsia="SimHei" w:hint="eastAsia"/>
          <w:color w:val="FF0000"/>
        </w:rPr>
        <w:t>43.</w:t>
      </w:r>
      <w:r>
        <w:rPr>
          <w:rFonts w:ascii="SimHei" w:eastAsia="SimHei"/>
          <w:color w:val="FF0000"/>
        </w:rPr>
        <w:tab/>
      </w:r>
      <w:r>
        <w:rPr>
          <w:rFonts w:ascii="SimHei" w:eastAsia="SimHei" w:hint="eastAsia"/>
          <w:color w:val="FF0000"/>
        </w:rPr>
        <w:t>委员会鼓励缔约国批准《公约任择议定书》，尽快接受有关委员会开会时间的《公约》第20条第1款的修正案。</w:t>
      </w:r>
    </w:p>
    <w:p w:rsidR="00672328" w:rsidRDefault="00672328">
      <w:pPr>
        <w:pStyle w:val="SingleTxt"/>
        <w:rPr>
          <w:rFonts w:ascii="SimHei" w:eastAsia="SimHei" w:hint="eastAsia"/>
          <w:color w:val="FF0000"/>
        </w:rPr>
      </w:pPr>
      <w:r>
        <w:rPr>
          <w:rFonts w:ascii="SimHei" w:eastAsia="SimHei" w:hint="eastAsia"/>
          <w:color w:val="FF0000"/>
        </w:rPr>
        <w:t>44.</w:t>
      </w:r>
      <w:r>
        <w:rPr>
          <w:rFonts w:ascii="SimHei" w:eastAsia="SimHei"/>
          <w:color w:val="FF0000"/>
        </w:rPr>
        <w:tab/>
      </w:r>
      <w:r>
        <w:rPr>
          <w:rFonts w:ascii="SimHei" w:eastAsia="SimHei" w:hint="eastAsia"/>
          <w:color w:val="FF0000"/>
        </w:rPr>
        <w:t>委员会敦促缔约国在履行《公约》规定的义务时充分利用《北京宣言》和《行动纲要》，这两项文件加强了《公约》的各项规定：并请缔约国在下一次定期报告中说明这方面情况。</w:t>
      </w:r>
    </w:p>
    <w:p w:rsidR="00672328" w:rsidRDefault="00672328">
      <w:pPr>
        <w:pStyle w:val="SingleTxt"/>
        <w:rPr>
          <w:rFonts w:ascii="SimHei" w:eastAsia="SimHei" w:hint="eastAsia"/>
          <w:color w:val="FF0000"/>
        </w:rPr>
      </w:pPr>
      <w:r>
        <w:rPr>
          <w:rFonts w:ascii="SimHei" w:eastAsia="SimHei" w:hint="eastAsia"/>
          <w:color w:val="FF0000"/>
        </w:rPr>
        <w:t>45.</w:t>
      </w:r>
      <w:r>
        <w:rPr>
          <w:rFonts w:ascii="SimHei" w:eastAsia="SimHei"/>
          <w:color w:val="FF0000"/>
        </w:rPr>
        <w:tab/>
      </w:r>
      <w:r>
        <w:rPr>
          <w:rFonts w:ascii="SimHei" w:eastAsia="SimHei" w:hint="eastAsia"/>
          <w:color w:val="FF0000"/>
        </w:rPr>
        <w:t>委员会还强调，全面有效地实施《公约》对实现各项千年发展目标必不可少。委员会呼吁将两性平等纳入旨在实现千年发展目标的所有努力，并在这方面努力中明确体现《公约》的各项规定；并请缔约国在下一次定期报告中说明这方面的情况。</w:t>
      </w:r>
    </w:p>
    <w:p w:rsidR="00672328" w:rsidRDefault="00672328">
      <w:pPr>
        <w:pStyle w:val="SingleTxt"/>
        <w:rPr>
          <w:rFonts w:ascii="SimHei" w:eastAsia="SimHei" w:hint="eastAsia"/>
          <w:color w:val="FF0000"/>
        </w:rPr>
      </w:pPr>
      <w:r>
        <w:rPr>
          <w:rFonts w:ascii="SimHei" w:eastAsia="SimHei" w:hint="eastAsia"/>
          <w:color w:val="FF0000"/>
        </w:rPr>
        <w:t>46.</w:t>
      </w:r>
      <w:r>
        <w:rPr>
          <w:rFonts w:ascii="SimHei" w:eastAsia="SimHei"/>
          <w:color w:val="FF0000"/>
        </w:rPr>
        <w:tab/>
      </w:r>
      <w:r>
        <w:rPr>
          <w:rFonts w:ascii="SimHei" w:eastAsia="SimHei" w:hint="eastAsia"/>
          <w:color w:val="FF0000"/>
        </w:rPr>
        <w:t>委员会注意到缔约国遵守了七项主要国际人权文书，</w:t>
      </w:r>
      <w:r>
        <w:rPr>
          <w:rFonts w:ascii="SimHei" w:eastAsia="SimHei" w:hint="eastAsia"/>
          <w:color w:val="FF0000"/>
          <w:vertAlign w:val="superscript"/>
        </w:rPr>
        <w:t>1</w:t>
      </w:r>
      <w:r>
        <w:rPr>
          <w:rFonts w:ascii="SimHei" w:eastAsia="SimHei"/>
          <w:color w:val="FF0000"/>
        </w:rPr>
        <w:t xml:space="preserve"> </w:t>
      </w:r>
      <w:r>
        <w:rPr>
          <w:rFonts w:ascii="SimHei" w:eastAsia="SimHei" w:hint="eastAsia"/>
          <w:color w:val="FF0000"/>
        </w:rPr>
        <w:t>使妇女在生活的各个方面进一步享有人权和基本自由。因此，委员会鼓励以色列政府考虑批准尚未加入为缔约方的条约，即《保护所有移徙工人及其家庭成员权利国际公约》。</w:t>
      </w:r>
    </w:p>
    <w:p w:rsidR="00672328" w:rsidRDefault="00672328">
      <w:pPr>
        <w:pStyle w:val="SingleTxt"/>
        <w:rPr>
          <w:rFonts w:ascii="SimHei" w:eastAsia="SimHei" w:hint="eastAsia"/>
          <w:color w:val="FF0000"/>
        </w:rPr>
      </w:pPr>
      <w:r>
        <w:rPr>
          <w:rFonts w:ascii="SimHei" w:eastAsia="SimHei" w:hint="eastAsia"/>
          <w:color w:val="FF0000"/>
        </w:rPr>
        <w:t>47.</w:t>
      </w:r>
      <w:r>
        <w:rPr>
          <w:rFonts w:ascii="SimHei" w:eastAsia="SimHei"/>
          <w:color w:val="FF0000"/>
        </w:rPr>
        <w:tab/>
      </w:r>
      <w:r>
        <w:rPr>
          <w:rFonts w:ascii="SimHei" w:eastAsia="SimHei" w:hint="eastAsia"/>
          <w:color w:val="FF0000"/>
        </w:rPr>
        <w:t>委员会要求广泛传播本结论意见，使所有人，包括政府官员、政治家、议会成员以及妇女组织和人权组织了解为确保妇女在法律上和事实上平等已经采取的步骤，以及在这方面需要采取的进一步步骤。委员会还请缔约国继续广泛传播《公约》及其《任择议定书》、委员会的一般性建议、《北京宣言》和《行动纲要》以及题为“2000年妇女：二十一世纪两性平等、发展与和平”的大会第二十三届特别会议的成果，特别是向妇女组织和人权组织广为传播。</w:t>
      </w:r>
    </w:p>
    <w:p w:rsidR="00672328" w:rsidRDefault="00672328">
      <w:pPr>
        <w:pStyle w:val="SingleTxt"/>
        <w:rPr>
          <w:rFonts w:hint="eastAsia"/>
        </w:rPr>
      </w:pPr>
      <w:r>
        <w:rPr>
          <w:rFonts w:ascii="SimHei" w:eastAsia="SimHei" w:hint="eastAsia"/>
          <w:color w:val="FF0000"/>
        </w:rPr>
        <w:t>48.</w:t>
      </w:r>
      <w:r>
        <w:rPr>
          <w:rFonts w:ascii="SimHei" w:eastAsia="SimHei"/>
          <w:color w:val="FF0000"/>
        </w:rPr>
        <w:tab/>
      </w:r>
      <w:r>
        <w:rPr>
          <w:rFonts w:ascii="SimHei" w:eastAsia="SimHei" w:hint="eastAsia"/>
          <w:color w:val="FF0000"/>
        </w:rPr>
        <w:t>委员会敦请缔约国在定于2009年根据《公约》第18条提交的下一次定期报告中对本结论意见中表示的关切作出答复。</w:t>
      </w:r>
    </w:p>
    <w:p w:rsidR="00672328" w:rsidRDefault="00672328">
      <w:pPr>
        <w:pStyle w:val="SingleTxt"/>
        <w:spacing w:after="0" w:line="120" w:lineRule="exact"/>
        <w:rPr>
          <w:sz w:val="10"/>
        </w:rPr>
      </w:pPr>
    </w:p>
    <w:p w:rsidR="00672328" w:rsidRDefault="00672328">
      <w:pPr>
        <w:pStyle w:val="SingleTxt"/>
        <w:tabs>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right" w:pos="1264"/>
        </w:tabs>
        <w:spacing w:after="240"/>
        <w:ind w:left="0"/>
        <w:rPr>
          <w:rFonts w:eastAsia="KaiTi_GB2312" w:hint="eastAsia"/>
          <w:color w:val="0000FF"/>
        </w:rPr>
      </w:pPr>
      <w:r>
        <w:rPr>
          <w:rFonts w:eastAsia="KaiTi_GB2312" w:hint="eastAsia"/>
          <w:color w:val="0000FF"/>
        </w:rPr>
        <w:tab/>
      </w:r>
      <w:r>
        <w:rPr>
          <w:rFonts w:eastAsia="KaiTi_GB2312" w:hint="eastAsia"/>
          <w:color w:val="0000FF"/>
        </w:rPr>
        <w:t>注</w:t>
      </w:r>
    </w:p>
    <w:p w:rsidR="00672328" w:rsidRDefault="00672328">
      <w:pPr>
        <w:pStyle w:val="End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576"/>
        <w:jc w:val="both"/>
        <w:rPr>
          <w:vertAlign w:val="superscript"/>
        </w:rPr>
      </w:pPr>
      <w:r>
        <w:tab/>
      </w:r>
      <w:r>
        <w:rPr>
          <w:rFonts w:hint="eastAsia"/>
          <w:vertAlign w:val="superscript"/>
        </w:rPr>
        <w:t>1</w:t>
      </w:r>
      <w:r>
        <w:tab/>
      </w:r>
      <w:r>
        <w:rPr>
          <w:rFonts w:hint="eastAsia"/>
        </w:rPr>
        <w:t>《经济、社会、文化权利国际盟约》、《公民及政治权利国际盟约》、《消除一切形式种族歧视国际公约》、《</w:t>
      </w:r>
      <w:r>
        <w:rPr>
          <w:rFonts w:cs="SimSun" w:hint="eastAsia"/>
        </w:rPr>
        <w:t>消除对妇女一切形式歧视公约》、《禁止酷刑和其他残忍、不人道或有辱人格的待遇或处罚公约》、《儿童权利公约》和《保护所有移徙工人及其家庭成员权利国际公约》。</w:t>
      </w:r>
    </w:p>
    <w:p w:rsidR="00672328" w:rsidRDefault="00672328">
      <w:pPr>
        <w:pStyle w:val="SingleTxt"/>
        <w:spacing w:after="0" w:line="240" w:lineRule="auto"/>
        <w:rPr>
          <w:sz w:val="20"/>
        </w:rPr>
      </w:pPr>
      <w:r>
        <w:rPr>
          <w:noProof/>
          <w:sz w:val="20"/>
        </w:rPr>
        <w:pict>
          <v:line id="_x0000_s2050" style="position:absolute;left:0;text-align:left;z-index:1;mso-position-horizontal:center" from="0,30pt" to="1in,30pt" strokeweight=".25pt">
            <w10:wrap type="topAndBottom"/>
          </v:line>
        </w:pict>
      </w:r>
    </w:p>
    <w:p w:rsidR="00672328" w:rsidRDefault="00672328">
      <w:pPr>
        <w:pStyle w:val="SingleTxt"/>
      </w:pPr>
    </w:p>
    <w:sectPr w:rsidR="00672328">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672328" w:rsidRDefault="00672328">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NO&gt;&gt;N0545041C&lt;&lt;ODS JOB NO&gt;&gt;</w:t>
      </w:r>
    </w:p>
    <w:p w:rsidR="00672328" w:rsidRDefault="00672328">
      <w:pPr>
        <w:pStyle w:val="CommentText"/>
      </w:pPr>
      <w:r>
        <w:t>&lt;&lt;ODS DOC SYMBOL1&gt;&gt;CEDAW/C/ISR/CO/3&lt;&lt;ODS DOC SYMBOL1&gt;&gt;</w:t>
      </w:r>
    </w:p>
    <w:p w:rsidR="00672328" w:rsidRDefault="0067232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2328" w:rsidRDefault="00672328">
      <w:r>
        <w:separator/>
      </w:r>
    </w:p>
  </w:endnote>
  <w:endnote w:type="continuationSeparator" w:id="0">
    <w:p w:rsidR="00672328" w:rsidRDefault="006723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672328">
      <w:tblPrEx>
        <w:tblCellMar>
          <w:top w:w="0" w:type="dxa"/>
          <w:bottom w:w="0" w:type="dxa"/>
        </w:tblCellMar>
      </w:tblPrEx>
      <w:tc>
        <w:tcPr>
          <w:tcW w:w="5034" w:type="dxa"/>
          <w:vAlign w:val="bottom"/>
        </w:tcPr>
        <w:p w:rsidR="00672328" w:rsidRDefault="00672328">
          <w:pPr>
            <w:pStyle w:val="Footer"/>
          </w:pPr>
          <w:r>
            <w:fldChar w:fldCharType="begin"/>
          </w:r>
          <w:r>
            <w:instrText xml:space="preserve"> PAGE  \* MERGEFORMAT </w:instrText>
          </w:r>
          <w:r>
            <w:fldChar w:fldCharType="separate"/>
          </w:r>
          <w:r>
            <w:t>6</w:t>
          </w:r>
          <w:r>
            <w:fldChar w:fldCharType="end"/>
          </w:r>
        </w:p>
      </w:tc>
      <w:tc>
        <w:tcPr>
          <w:tcW w:w="5034" w:type="dxa"/>
          <w:vAlign w:val="bottom"/>
        </w:tcPr>
        <w:p w:rsidR="00672328" w:rsidRDefault="00672328">
          <w:pPr>
            <w:pStyle w:val="Footer"/>
            <w:jc w:val="right"/>
          </w:pPr>
        </w:p>
      </w:tc>
    </w:tr>
  </w:tbl>
  <w:p w:rsidR="00672328" w:rsidRDefault="0067232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672328">
      <w:tblPrEx>
        <w:tblCellMar>
          <w:top w:w="0" w:type="dxa"/>
          <w:bottom w:w="0" w:type="dxa"/>
        </w:tblCellMar>
      </w:tblPrEx>
      <w:tc>
        <w:tcPr>
          <w:tcW w:w="5034" w:type="dxa"/>
          <w:vAlign w:val="bottom"/>
        </w:tcPr>
        <w:p w:rsidR="00672328" w:rsidRDefault="00672328">
          <w:pPr>
            <w:pStyle w:val="Footer"/>
          </w:pPr>
        </w:p>
      </w:tc>
      <w:tc>
        <w:tcPr>
          <w:tcW w:w="5034" w:type="dxa"/>
          <w:vAlign w:val="bottom"/>
        </w:tcPr>
        <w:p w:rsidR="00672328" w:rsidRDefault="00672328">
          <w:pPr>
            <w:pStyle w:val="Footer"/>
            <w:jc w:val="right"/>
          </w:pPr>
          <w:r>
            <w:fldChar w:fldCharType="begin"/>
          </w:r>
          <w:r>
            <w:instrText xml:space="preserve"> PAGE  \* MERGEFORMAT </w:instrText>
          </w:r>
          <w:r>
            <w:fldChar w:fldCharType="separate"/>
          </w:r>
          <w:r>
            <w:t>7</w:t>
          </w:r>
          <w:r>
            <w:fldChar w:fldCharType="end"/>
          </w:r>
        </w:p>
      </w:tc>
    </w:tr>
  </w:tbl>
  <w:p w:rsidR="00672328" w:rsidRDefault="0067232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2328" w:rsidRDefault="00672328">
    <w:pPr>
      <w:pStyle w:val="Footer"/>
      <w:rPr>
        <w:b w:val="0"/>
        <w:sz w:val="21"/>
      </w:rPr>
    </w:pPr>
    <w:r>
      <w:rPr>
        <w:b w:val="0"/>
        <w:sz w:val="21"/>
      </w:rPr>
      <w:t>05-45041 (C)</w:t>
    </w:r>
  </w:p>
  <w:p w:rsidR="00672328" w:rsidRDefault="00672328">
    <w:pPr>
      <w:spacing w:before="60" w:line="200" w:lineRule="exact"/>
      <w:rPr>
        <w:rFonts w:ascii="Barcode 3 of 9 by request" w:hAnsi="Barcode 3 of 9 by request"/>
        <w:b/>
      </w:rPr>
    </w:pPr>
    <w:r>
      <w:rPr>
        <w:rFonts w:ascii="Barcode 3 of 9 by request" w:hAnsi="Barcode 3 of 9 by request"/>
        <w:b/>
      </w:rPr>
      <w:t>*0545041*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2328" w:rsidRDefault="00672328">
      <w:r>
        <w:separator/>
      </w:r>
    </w:p>
  </w:footnote>
  <w:footnote w:type="continuationSeparator" w:id="0">
    <w:p w:rsidR="00672328" w:rsidRDefault="006723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2328" w:rsidRDefault="00672328">
    <w:pPr>
      <w:pStyle w:val="Header"/>
    </w:pPr>
    <w:r>
      <w:rPr>
        <w:sz w:val="20"/>
      </w:rPr>
      <w:pict>
        <v:shapetype id="_x0000_t202" coordsize="21600,21600" o:spt="202" path="m,l,21600r21600,l21600,xe">
          <v:stroke joinstyle="miter"/>
          <v:path gradientshapeok="t" o:connecttype="rect"/>
        </v:shapetype>
        <v:shape id="_x0000_s1028"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672328">
                  <w:tblPrEx>
                    <w:tblCellMar>
                      <w:top w:w="0" w:type="dxa"/>
                      <w:bottom w:w="0" w:type="dxa"/>
                    </w:tblCellMar>
                  </w:tblPrEx>
                  <w:trPr>
                    <w:trHeight w:hRule="exact" w:val="864"/>
                  </w:trPr>
                  <w:tc>
                    <w:tcPr>
                      <w:tcW w:w="4838" w:type="dxa"/>
                      <w:vAlign w:val="bottom"/>
                    </w:tcPr>
                    <w:p w:rsidR="00672328" w:rsidRDefault="00672328">
                      <w:pPr>
                        <w:pStyle w:val="Header"/>
                        <w:spacing w:after="80"/>
                        <w:rPr>
                          <w:b/>
                          <w:sz w:val="17"/>
                        </w:rPr>
                      </w:pPr>
                      <w:r>
                        <w:rPr>
                          <w:b/>
                          <w:sz w:val="17"/>
                        </w:rPr>
                        <w:t>CEDAW/C/ISR/CO/3</w:t>
                      </w:r>
                    </w:p>
                  </w:tc>
                  <w:tc>
                    <w:tcPr>
                      <w:tcW w:w="5048" w:type="dxa"/>
                      <w:vAlign w:val="bottom"/>
                    </w:tcPr>
                    <w:p w:rsidR="00672328" w:rsidRDefault="00672328">
                      <w:pPr>
                        <w:pStyle w:val="Header"/>
                      </w:pPr>
                    </w:p>
                  </w:tc>
                </w:tr>
              </w:tbl>
              <w:p w:rsidR="00672328" w:rsidRDefault="00672328"/>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2328" w:rsidRDefault="00672328">
    <w:pPr>
      <w:pStyle w:val="Header"/>
    </w:pPr>
    <w:r>
      <w:rPr>
        <w:sz w:val="20"/>
      </w:rPr>
      <w:pict>
        <v:shapetype id="_x0000_t202" coordsize="21600,21600" o:spt="202" path="m,l,21600r21600,l21600,xe">
          <v:stroke joinstyle="miter"/>
          <v:path gradientshapeok="t" o:connecttype="rect"/>
        </v:shapetype>
        <v:shape id="_x0000_s1027"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672328">
                  <w:tblPrEx>
                    <w:tblCellMar>
                      <w:top w:w="0" w:type="dxa"/>
                      <w:bottom w:w="0" w:type="dxa"/>
                    </w:tblCellMar>
                  </w:tblPrEx>
                  <w:trPr>
                    <w:trHeight w:hRule="exact" w:val="864"/>
                  </w:trPr>
                  <w:tc>
                    <w:tcPr>
                      <w:tcW w:w="4838" w:type="dxa"/>
                      <w:vAlign w:val="bottom"/>
                    </w:tcPr>
                    <w:p w:rsidR="00672328" w:rsidRDefault="00672328">
                      <w:pPr>
                        <w:pStyle w:val="Header"/>
                      </w:pPr>
                    </w:p>
                  </w:tc>
                  <w:tc>
                    <w:tcPr>
                      <w:tcW w:w="5048" w:type="dxa"/>
                      <w:vAlign w:val="bottom"/>
                    </w:tcPr>
                    <w:p w:rsidR="00672328" w:rsidRDefault="00672328">
                      <w:pPr>
                        <w:pStyle w:val="Header"/>
                        <w:spacing w:after="80"/>
                        <w:jc w:val="right"/>
                        <w:rPr>
                          <w:b/>
                          <w:sz w:val="17"/>
                        </w:rPr>
                      </w:pPr>
                      <w:r>
                        <w:rPr>
                          <w:b/>
                          <w:sz w:val="17"/>
                        </w:rPr>
                        <w:t>CEDAW/C/ISR/CO/3</w:t>
                      </w:r>
                    </w:p>
                  </w:tc>
                </w:tr>
              </w:tbl>
              <w:p w:rsidR="00672328" w:rsidRDefault="00672328"/>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672328">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672328" w:rsidRDefault="00672328">
          <w:pPr>
            <w:pStyle w:val="Header"/>
            <w:spacing w:after="120"/>
          </w:pPr>
        </w:p>
      </w:tc>
      <w:tc>
        <w:tcPr>
          <w:tcW w:w="1872" w:type="dxa"/>
          <w:tcBorders>
            <w:top w:val="nil"/>
            <w:left w:val="nil"/>
            <w:bottom w:val="single" w:sz="4" w:space="0" w:color="auto"/>
            <w:right w:val="nil"/>
          </w:tcBorders>
          <w:vAlign w:val="bottom"/>
        </w:tcPr>
        <w:p w:rsidR="00672328" w:rsidRDefault="00672328">
          <w:pPr>
            <w:pStyle w:val="Header"/>
            <w:spacing w:after="120"/>
          </w:pPr>
        </w:p>
      </w:tc>
      <w:tc>
        <w:tcPr>
          <w:tcW w:w="245" w:type="dxa"/>
          <w:tcBorders>
            <w:top w:val="nil"/>
            <w:left w:val="nil"/>
            <w:bottom w:val="single" w:sz="4" w:space="0" w:color="auto"/>
            <w:right w:val="nil"/>
          </w:tcBorders>
          <w:vAlign w:val="bottom"/>
        </w:tcPr>
        <w:p w:rsidR="00672328" w:rsidRDefault="00672328">
          <w:pPr>
            <w:pStyle w:val="Header"/>
            <w:spacing w:after="120"/>
          </w:pPr>
        </w:p>
      </w:tc>
      <w:tc>
        <w:tcPr>
          <w:tcW w:w="6523" w:type="dxa"/>
          <w:gridSpan w:val="3"/>
          <w:tcBorders>
            <w:top w:val="nil"/>
            <w:left w:val="nil"/>
            <w:bottom w:val="single" w:sz="4" w:space="0" w:color="auto"/>
            <w:right w:val="nil"/>
          </w:tcBorders>
          <w:vAlign w:val="bottom"/>
        </w:tcPr>
        <w:p w:rsidR="00672328" w:rsidRDefault="00672328">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/C/ISR/CO/3</w:t>
          </w:r>
        </w:p>
      </w:tc>
    </w:tr>
    <w:tr w:rsidR="00672328">
      <w:tblPrEx>
        <w:tblCellMar>
          <w:top w:w="0" w:type="dxa"/>
          <w:bottom w:w="0" w:type="dxa"/>
        </w:tblCellMar>
      </w:tblPrEx>
      <w:trPr>
        <w:trHeight w:hRule="exact" w:val="2880"/>
      </w:trPr>
      <w:tc>
        <w:tcPr>
          <w:tcW w:w="1267" w:type="dxa"/>
          <w:tcBorders>
            <w:left w:val="nil"/>
            <w:bottom w:val="single" w:sz="12" w:space="0" w:color="auto"/>
            <w:right w:val="nil"/>
          </w:tcBorders>
        </w:tcPr>
        <w:p w:rsidR="00672328" w:rsidRDefault="00672328">
          <w:pPr>
            <w:pStyle w:val="Header"/>
            <w:spacing w:before="109"/>
          </w:pPr>
          <w:r>
            <w:t xml:space="preserve"> </w:t>
          </w:r>
        </w:p>
      </w:tc>
      <w:tc>
        <w:tcPr>
          <w:tcW w:w="5227" w:type="dxa"/>
          <w:gridSpan w:val="3"/>
          <w:tcBorders>
            <w:left w:val="nil"/>
            <w:bottom w:val="single" w:sz="12" w:space="0" w:color="auto"/>
            <w:right w:val="nil"/>
          </w:tcBorders>
        </w:tcPr>
        <w:p w:rsidR="00672328" w:rsidRDefault="00672328">
          <w:pPr>
            <w:pStyle w:val="Header"/>
            <w:spacing w:before="109"/>
          </w:pPr>
        </w:p>
      </w:tc>
      <w:tc>
        <w:tcPr>
          <w:tcW w:w="245" w:type="dxa"/>
          <w:tcBorders>
            <w:left w:val="nil"/>
            <w:bottom w:val="single" w:sz="12" w:space="0" w:color="auto"/>
            <w:right w:val="nil"/>
          </w:tcBorders>
        </w:tcPr>
        <w:p w:rsidR="00672328" w:rsidRDefault="00672328">
          <w:pPr>
            <w:pStyle w:val="Header"/>
            <w:spacing w:before="109"/>
          </w:pPr>
        </w:p>
      </w:tc>
      <w:tc>
        <w:tcPr>
          <w:tcW w:w="3180" w:type="dxa"/>
          <w:gridSpan w:val="2"/>
          <w:tcBorders>
            <w:left w:val="nil"/>
            <w:bottom w:val="single" w:sz="12" w:space="0" w:color="auto"/>
            <w:right w:val="nil"/>
          </w:tcBorders>
        </w:tcPr>
        <w:p w:rsidR="00672328" w:rsidRDefault="00672328">
          <w:pPr>
            <w:spacing w:before="240" w:line="240" w:lineRule="exact"/>
            <w:rPr>
              <w:rFonts w:ascii="Times New Roman"/>
            </w:rPr>
          </w:pPr>
        </w:p>
        <w:p w:rsidR="00672328" w:rsidRDefault="00672328">
          <w:pPr>
            <w:spacing w:line="240" w:lineRule="exact"/>
            <w:rPr>
              <w:rFonts w:ascii="Times New Roman"/>
            </w:rPr>
          </w:pPr>
          <w:r>
            <w:rPr>
              <w:rFonts w:ascii="Times New Roman"/>
            </w:rPr>
            <w:t>22 July 2005</w:t>
          </w:r>
        </w:p>
        <w:p w:rsidR="00672328" w:rsidRDefault="00672328">
          <w:pPr>
            <w:spacing w:line="240" w:lineRule="exact"/>
            <w:rPr>
              <w:rFonts w:ascii="Times New Roman"/>
            </w:rPr>
          </w:pPr>
          <w:r>
            <w:rPr>
              <w:rFonts w:ascii="Times New Roman"/>
            </w:rPr>
            <w:t>Chinese</w:t>
          </w:r>
        </w:p>
        <w:p w:rsidR="00672328" w:rsidRDefault="00672328">
          <w:pPr>
            <w:spacing w:line="240" w:lineRule="exact"/>
            <w:rPr>
              <w:rFonts w:ascii="Times New Roman"/>
            </w:rPr>
          </w:pPr>
          <w:r>
            <w:rPr>
              <w:rFonts w:ascii="Times New Roman"/>
            </w:rPr>
            <w:t>Original: English</w:t>
          </w:r>
        </w:p>
      </w:tc>
    </w:tr>
  </w:tbl>
  <w:p w:rsidR="00672328" w:rsidRDefault="0067232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8/08/2005 9:09: PM"/>
    <w:docVar w:name="DocCategory" w:val="PlainDoc"/>
    <w:docVar w:name="DocType" w:val="Final"/>
    <w:docVar w:name="JobNo" w:val="0545041C"/>
    <w:docVar w:name="OandT" w:val=" "/>
    <w:docVar w:name="Symbol1" w:val="CEDAW/C/ISR/CO/3"/>
    <w:docVar w:name="Symbol2" w:val="-"/>
  </w:docVars>
  <w:rsids>
    <w:rsidRoot w:val="00672328"/>
    <w:rsid w:val="006723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eastAsia="zh-CN"/>
    </w:rPr>
  </w:style>
  <w:style w:type="paragraph" w:styleId="Footer">
    <w:name w:val="footer"/>
    <w:pPr>
      <w:tabs>
        <w:tab w:val="center" w:pos="4320"/>
        <w:tab w:val="right" w:pos="8640"/>
      </w:tabs>
    </w:pPr>
    <w:rPr>
      <w:b/>
      <w:noProof/>
      <w:sz w:val="17"/>
      <w:lang w:eastAsia="zh-CN"/>
    </w:rPr>
  </w:style>
  <w:style w:type="paragraph" w:styleId="CommentText">
    <w:name w:val="annotation text"/>
    <w:basedOn w:val="Normal"/>
    <w:semiHidden/>
  </w:style>
  <w:style w:type="paragraph" w:styleId="BalloonText">
    <w:name w:val="Balloon Text"/>
    <w:basedOn w:val="Normal"/>
    <w:semiHidden/>
    <w:rsid w:val="00672328"/>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52</TotalTime>
  <Pages>1</Pages>
  <Words>934</Words>
  <Characters>5330</Characters>
  <Application>Microsoft Office Word</Application>
  <DocSecurity>4</DocSecurity>
  <Lines>44</Lines>
  <Paragraphs>12</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6252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Xiusheng.Zhang</dc:creator>
  <cp:keywords/>
  <dc:description/>
  <cp:lastModifiedBy>ctpu1</cp:lastModifiedBy>
  <cp:revision>16</cp:revision>
  <cp:lastPrinted>2005-08-08T21:30:00Z</cp:lastPrinted>
  <dcterms:created xsi:type="dcterms:W3CDTF">2005-08-08T20:09:00Z</dcterms:created>
  <dcterms:modified xsi:type="dcterms:W3CDTF">2008-03-07T09:27:00Z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0545041</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Symbol1">
    <vt:lpwstr>CEDAW/C/ISR/CO/3</vt:lpwstr>
  </property>
</Properties>
</file>