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1FBA71C" w14:textId="77777777" w:rsidTr="00AC12E2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B5B89C5" w14:textId="77777777" w:rsidR="002D5AAC" w:rsidRDefault="002D5AAC" w:rsidP="00AC12E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1C10E13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7645E1FD" w14:textId="6581CB75" w:rsidR="002D5AAC" w:rsidRDefault="00AC12E2" w:rsidP="00AC12E2">
            <w:pPr>
              <w:jc w:val="right"/>
            </w:pPr>
            <w:r w:rsidRPr="00AC12E2">
              <w:rPr>
                <w:sz w:val="40"/>
              </w:rPr>
              <w:t>CERD</w:t>
            </w:r>
            <w:r>
              <w:t>/C/CYP/Q/25</w:t>
            </w:r>
          </w:p>
        </w:tc>
      </w:tr>
      <w:tr w:rsidR="002D5AAC" w14:paraId="0AB72278" w14:textId="77777777" w:rsidTr="00AC12E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5E46D548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0246045B" wp14:editId="5321D8D8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E710B96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EFF0FDF" w14:textId="77777777" w:rsidR="002D5AAC" w:rsidRDefault="00AC12E2" w:rsidP="00213632">
            <w:pPr>
              <w:spacing w:before="240"/>
            </w:pPr>
            <w:r>
              <w:t>Distr. general</w:t>
            </w:r>
          </w:p>
          <w:p w14:paraId="580E40A4" w14:textId="77777777" w:rsidR="00AC12E2" w:rsidRDefault="00AC12E2" w:rsidP="00AC12E2">
            <w:pPr>
              <w:spacing w:line="240" w:lineRule="exact"/>
            </w:pPr>
            <w:r>
              <w:t>25 de marzo de 2026</w:t>
            </w:r>
          </w:p>
          <w:p w14:paraId="2DB62DE4" w14:textId="77777777" w:rsidR="00AC12E2" w:rsidRDefault="00AC12E2" w:rsidP="00AC12E2">
            <w:pPr>
              <w:spacing w:line="240" w:lineRule="exact"/>
            </w:pPr>
            <w:r>
              <w:t>Español</w:t>
            </w:r>
          </w:p>
          <w:p w14:paraId="19948F4A" w14:textId="77777777" w:rsidR="00AC12E2" w:rsidRDefault="00AC12E2" w:rsidP="00AC12E2">
            <w:pPr>
              <w:spacing w:line="240" w:lineRule="exact"/>
            </w:pPr>
            <w:r>
              <w:t>Original: inglés</w:t>
            </w:r>
          </w:p>
          <w:p w14:paraId="31D670EE" w14:textId="37B20BB7" w:rsidR="00AC12E2" w:rsidRDefault="00AC12E2" w:rsidP="00AC12E2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33610C36" w14:textId="77777777" w:rsidR="00AC12E2" w:rsidRPr="00AC12E2" w:rsidRDefault="00AC12E2" w:rsidP="00AC12E2">
      <w:pPr>
        <w:spacing w:before="120"/>
        <w:rPr>
          <w:b/>
          <w:bCs/>
          <w:sz w:val="24"/>
          <w:szCs w:val="24"/>
        </w:rPr>
      </w:pPr>
      <w:r w:rsidRPr="00AC12E2">
        <w:rPr>
          <w:b/>
          <w:bCs/>
          <w:sz w:val="24"/>
          <w:szCs w:val="24"/>
        </w:rPr>
        <w:t>Comité para la Eliminación de la Discriminación Racial</w:t>
      </w:r>
    </w:p>
    <w:p w14:paraId="2D1E315C" w14:textId="77777777" w:rsidR="00AC12E2" w:rsidRPr="00AC12E2" w:rsidRDefault="00AC12E2" w:rsidP="00AC12E2">
      <w:pPr>
        <w:rPr>
          <w:b/>
          <w:bCs/>
        </w:rPr>
      </w:pPr>
      <w:r w:rsidRPr="00AC12E2">
        <w:rPr>
          <w:b/>
          <w:bCs/>
        </w:rPr>
        <w:t>117º período de sesiones</w:t>
      </w:r>
    </w:p>
    <w:p w14:paraId="7A586F2C" w14:textId="77777777" w:rsidR="00AC12E2" w:rsidRPr="00AC12E2" w:rsidRDefault="00AC12E2" w:rsidP="00AC12E2">
      <w:r w:rsidRPr="00AC12E2">
        <w:t>Ginebra, 13 de abril a 1 de mayo de 2026</w:t>
      </w:r>
    </w:p>
    <w:p w14:paraId="2DADDDE3" w14:textId="77777777" w:rsidR="00AC12E2" w:rsidRPr="00AC12E2" w:rsidRDefault="00AC12E2" w:rsidP="00AC12E2">
      <w:r w:rsidRPr="00AC12E2">
        <w:t>Tema 6 del programa provisional</w:t>
      </w:r>
    </w:p>
    <w:p w14:paraId="0226291B" w14:textId="77777777" w:rsidR="00AC12E2" w:rsidRPr="00AC12E2" w:rsidRDefault="00AC12E2" w:rsidP="00AC12E2">
      <w:pPr>
        <w:rPr>
          <w:b/>
          <w:bCs/>
        </w:rPr>
      </w:pPr>
      <w:r w:rsidRPr="00AC12E2">
        <w:rPr>
          <w:b/>
          <w:bCs/>
        </w:rPr>
        <w:t>Examen de los informes, las observaciones y la información presentados</w:t>
      </w:r>
    </w:p>
    <w:p w14:paraId="0D03A9E8" w14:textId="77777777" w:rsidR="00AC12E2" w:rsidRPr="00AC12E2" w:rsidRDefault="00AC12E2" w:rsidP="00AC12E2">
      <w:pPr>
        <w:rPr>
          <w:b/>
          <w:bCs/>
        </w:rPr>
      </w:pPr>
      <w:r w:rsidRPr="00AC12E2">
        <w:rPr>
          <w:b/>
          <w:bCs/>
        </w:rPr>
        <w:t>por los Estados Partes en virtud del artículo 9 de la Convención</w:t>
      </w:r>
    </w:p>
    <w:p w14:paraId="6099EC7E" w14:textId="0BB95CB8" w:rsidR="00AC12E2" w:rsidRPr="00AC12E2" w:rsidRDefault="00AC12E2" w:rsidP="00AC12E2">
      <w:pPr>
        <w:pStyle w:val="HChG"/>
      </w:pPr>
      <w:r>
        <w:tab/>
      </w:r>
      <w:r w:rsidRPr="00AC12E2">
        <w:tab/>
        <w:t>Lista de temas relativa al 25º informe periódico</w:t>
      </w:r>
      <w:r>
        <w:br/>
      </w:r>
      <w:r w:rsidRPr="00AC12E2">
        <w:t>de Chipre</w:t>
      </w:r>
    </w:p>
    <w:p w14:paraId="0C128BFD" w14:textId="262B31D3" w:rsidR="00AC12E2" w:rsidRPr="00AC12E2" w:rsidRDefault="00AC12E2" w:rsidP="00AC12E2">
      <w:pPr>
        <w:pStyle w:val="H1G"/>
      </w:pPr>
      <w:r>
        <w:tab/>
      </w:r>
      <w:r w:rsidRPr="00AC12E2">
        <w:tab/>
        <w:t>Nota de la Relatoría para el país</w:t>
      </w:r>
      <w:r w:rsidRPr="00AC12E2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3E911485" w14:textId="77777777" w:rsidR="00AC12E2" w:rsidRPr="00AC12E2" w:rsidRDefault="00AC12E2" w:rsidP="00AC12E2">
      <w:pPr>
        <w:pStyle w:val="SingleTxtG"/>
      </w:pPr>
      <w:r w:rsidRPr="00AC12E2">
        <w:t>1.</w:t>
      </w:r>
      <w:r w:rsidRPr="00AC12E2">
        <w:tab/>
        <w:t>El Comité para la Eliminación de la Discriminación Racial decidió en su 76º período de sesiones</w:t>
      </w:r>
      <w:r w:rsidRPr="00AC12E2">
        <w:rPr>
          <w:sz w:val="18"/>
          <w:szCs w:val="18"/>
          <w:vertAlign w:val="superscript"/>
        </w:rPr>
        <w:footnoteReference w:id="2"/>
      </w:r>
      <w:r w:rsidRPr="00AC12E2">
        <w:t xml:space="preserve"> que la Relatoría para el país enviaría al Estado Parte en cuestión una breve lista de temas con miras a orientar y centrar el diálogo entre la delegación del Estado Parte y el Comité durante el examen del informe del Estado Parte. El presente documento contiene una lista de temas con esa finalidad. La lista no es exhaustiva; durante el diálogo con el Estado Parte podrán abordarse otros asuntos. No se requieren respuestas por escrito.</w:t>
      </w:r>
    </w:p>
    <w:p w14:paraId="5ECD0137" w14:textId="7C0E7CE2" w:rsidR="00AC12E2" w:rsidRPr="00AC12E2" w:rsidRDefault="00AC12E2" w:rsidP="00AC12E2">
      <w:pPr>
        <w:pStyle w:val="H23G"/>
      </w:pPr>
      <w:r>
        <w:tab/>
      </w:r>
      <w:r w:rsidRPr="00AC12E2">
        <w:tab/>
        <w:t>La Convención en el derecho interno y el marco institucional y normativo</w:t>
      </w:r>
      <w:r>
        <w:br/>
      </w:r>
      <w:r w:rsidRPr="00AC12E2">
        <w:t>para su aplicación (arts. 1, 2, 4 y 6)</w:t>
      </w:r>
    </w:p>
    <w:p w14:paraId="79B47F15" w14:textId="586AC6DD" w:rsidR="00AC12E2" w:rsidRPr="00AC12E2" w:rsidRDefault="00AC12E2" w:rsidP="00FD0524">
      <w:pPr>
        <w:pStyle w:val="SingleTxtG"/>
        <w:spacing w:after="130"/>
      </w:pPr>
      <w:r w:rsidRPr="00AC12E2">
        <w:t>2.</w:t>
      </w:r>
      <w:r w:rsidRPr="00AC12E2">
        <w:tab/>
        <w:t>Datos demográficos actualizados sobre la composición étnica de la población. Información sobre el disfrute por los grupos étnicos de sus derechos económicos y sociales y sobre la representación de las minorías étnicas en la administración y los servicios públicos</w:t>
      </w:r>
      <w:r w:rsidRPr="00AC12E2">
        <w:rPr>
          <w:sz w:val="18"/>
          <w:szCs w:val="18"/>
          <w:vertAlign w:val="superscript"/>
        </w:rPr>
        <w:footnoteReference w:id="3"/>
      </w:r>
      <w:r w:rsidRPr="00AC12E2">
        <w:t>.</w:t>
      </w:r>
    </w:p>
    <w:p w14:paraId="1C7C3C3F" w14:textId="2FB5D9A9" w:rsidR="00AC12E2" w:rsidRPr="00AC12E2" w:rsidRDefault="00AC12E2" w:rsidP="00FD0524">
      <w:pPr>
        <w:pStyle w:val="SingleTxtG"/>
        <w:spacing w:after="130"/>
      </w:pPr>
      <w:r w:rsidRPr="00AC12E2">
        <w:t>3.</w:t>
      </w:r>
      <w:r w:rsidRPr="00AC12E2">
        <w:tab/>
        <w:t>Información sobre las medidas adoptadas para que la definición de discriminación racial en la legislación nacional</w:t>
      </w:r>
      <w:r w:rsidRPr="00AC12E2">
        <w:rPr>
          <w:sz w:val="18"/>
          <w:szCs w:val="18"/>
          <w:vertAlign w:val="superscript"/>
        </w:rPr>
        <w:footnoteReference w:id="4"/>
      </w:r>
      <w:r w:rsidRPr="00AC12E2">
        <w:t xml:space="preserve"> se ajuste plenamente a la definición establecida en el artículo</w:t>
      </w:r>
      <w:r w:rsidR="00FD0524">
        <w:t> </w:t>
      </w:r>
      <w:r w:rsidRPr="00AC12E2">
        <w:t>1, párrafo 1, de la Convención.</w:t>
      </w:r>
    </w:p>
    <w:p w14:paraId="651FFADA" w14:textId="6E6BE5FC" w:rsidR="00AC12E2" w:rsidRPr="00AC12E2" w:rsidRDefault="00AC12E2" w:rsidP="00FD0524">
      <w:pPr>
        <w:pStyle w:val="SingleTxtG"/>
        <w:spacing w:after="130"/>
      </w:pPr>
      <w:r w:rsidRPr="00AC12E2">
        <w:t>4.</w:t>
      </w:r>
      <w:r w:rsidRPr="00AC12E2">
        <w:tab/>
        <w:t>Información actualizada sobre las medidas adoptadas para reforzar el marco jurídico de lucha contra la discriminación racial y sobre los efectos de dichas medidas</w:t>
      </w:r>
      <w:r w:rsidRPr="00AC12E2">
        <w:rPr>
          <w:sz w:val="18"/>
          <w:szCs w:val="18"/>
          <w:vertAlign w:val="superscript"/>
        </w:rPr>
        <w:footnoteReference w:id="5"/>
      </w:r>
      <w:r w:rsidRPr="00AC12E2">
        <w:t>.</w:t>
      </w:r>
    </w:p>
    <w:p w14:paraId="16E75F5B" w14:textId="3C62DA3A" w:rsidR="00AC12E2" w:rsidRPr="00AC12E2" w:rsidRDefault="00AC12E2" w:rsidP="00FD0524">
      <w:pPr>
        <w:pStyle w:val="SingleTxtG"/>
        <w:spacing w:after="130"/>
      </w:pPr>
      <w:r w:rsidRPr="00AC12E2">
        <w:t>5.</w:t>
      </w:r>
      <w:r w:rsidRPr="00AC12E2">
        <w:tab/>
        <w:t>Información detallada sobre los casos en que los tribunales nacionales han aplicado la legislación que da efecto a las disposiciones de la Convención, incluidos datos actualizados sobre el número de denuncias de discriminación racial recibidas, de enjuiciamientos penales llevados a cabo y de condenas dictadas contra los autores de esos actos</w:t>
      </w:r>
      <w:r w:rsidRPr="00AC12E2">
        <w:rPr>
          <w:sz w:val="18"/>
          <w:szCs w:val="18"/>
          <w:vertAlign w:val="superscript"/>
        </w:rPr>
        <w:footnoteReference w:id="6"/>
      </w:r>
      <w:r w:rsidRPr="00AC12E2">
        <w:t>.</w:t>
      </w:r>
    </w:p>
    <w:p w14:paraId="4541D796" w14:textId="375AA947" w:rsidR="00AC12E2" w:rsidRPr="00AC12E2" w:rsidRDefault="00AC12E2" w:rsidP="00FD0524">
      <w:pPr>
        <w:pStyle w:val="SingleTxtG"/>
        <w:keepNext/>
        <w:keepLines/>
        <w:spacing w:after="130"/>
      </w:pPr>
      <w:r w:rsidRPr="00AC12E2">
        <w:lastRenderedPageBreak/>
        <w:t>6.</w:t>
      </w:r>
      <w:r w:rsidRPr="00AC12E2">
        <w:tab/>
        <w:t>Información actualizada sobre los efectos de las políticas y medidas destinadas a aplicar las disposiciones del artículo 4 de la Convención, e información detallada sobre los actos de violencia verbal y las agresiones físicas de carácter racista cometidos contra personas de origen extranjero —incluidas personas afrodescendientes—, contra defensores de los derechos humanos y contra turcochipriotas por grupos extremistas, incluidos activistas de extrema derecha y grupos neonazis.</w:t>
      </w:r>
    </w:p>
    <w:p w14:paraId="09F871CF" w14:textId="1D7C379E" w:rsidR="00AC12E2" w:rsidRPr="00AC12E2" w:rsidRDefault="00AC12E2" w:rsidP="00FD0524">
      <w:pPr>
        <w:pStyle w:val="SingleTxtG"/>
        <w:spacing w:after="130"/>
      </w:pPr>
      <w:r w:rsidRPr="00AC12E2">
        <w:t>7.</w:t>
      </w:r>
      <w:r w:rsidRPr="00AC12E2">
        <w:tab/>
        <w:t>Medidas adoptadas para combatir el discurso racista y xenófobo</w:t>
      </w:r>
      <w:r w:rsidRPr="00AC12E2">
        <w:rPr>
          <w:sz w:val="18"/>
          <w:szCs w:val="18"/>
          <w:vertAlign w:val="superscript"/>
        </w:rPr>
        <w:footnoteReference w:id="7"/>
      </w:r>
      <w:r w:rsidRPr="00AC12E2">
        <w:t>, e información sobre los casos denunciados, los enjuiciamientos penales llevados a cabo y las condenas dictadas contra los autores de esos actos.</w:t>
      </w:r>
    </w:p>
    <w:p w14:paraId="1B32BD49" w14:textId="77777777" w:rsidR="00AC12E2" w:rsidRPr="00AC12E2" w:rsidRDefault="00AC12E2" w:rsidP="00FD0524">
      <w:pPr>
        <w:pStyle w:val="SingleTxtG"/>
        <w:spacing w:after="130"/>
      </w:pPr>
      <w:r w:rsidRPr="00AC12E2">
        <w:t>8.</w:t>
      </w:r>
      <w:r w:rsidRPr="00AC12E2">
        <w:tab/>
        <w:t>Información sobre la elaboración y ejecución de un plan nacional de lucha contra el racismo y sobre la aplicación de la legislación pertinente.</w:t>
      </w:r>
    </w:p>
    <w:p w14:paraId="04945E02" w14:textId="77777777" w:rsidR="00AC12E2" w:rsidRPr="00AC12E2" w:rsidRDefault="00AC12E2" w:rsidP="00FD0524">
      <w:pPr>
        <w:pStyle w:val="SingleTxtG"/>
        <w:spacing w:after="130"/>
      </w:pPr>
      <w:r w:rsidRPr="00AC12E2">
        <w:t>9.</w:t>
      </w:r>
      <w:r w:rsidRPr="00AC12E2">
        <w:tab/>
        <w:t>Medidas adoptadas para aplicar las recomendaciones del Comité y de la Alianza Global de Instituciones Nacionales de Derechos Humanos para que la institución nacional de derechos humanos cumpla plenamente los principios relativos al estatuto de las instituciones nacionales de promoción y protección de los derechos humanos (Principios de París)</w:t>
      </w:r>
      <w:r w:rsidRPr="00AC12E2">
        <w:rPr>
          <w:sz w:val="18"/>
          <w:szCs w:val="18"/>
          <w:vertAlign w:val="superscript"/>
        </w:rPr>
        <w:footnoteReference w:id="8"/>
      </w:r>
      <w:r w:rsidRPr="00AC12E2">
        <w:t>.</w:t>
      </w:r>
    </w:p>
    <w:p w14:paraId="4AE726F4" w14:textId="416E688A" w:rsidR="00AC12E2" w:rsidRPr="00AC12E2" w:rsidRDefault="00AC12E2" w:rsidP="00FD0524">
      <w:pPr>
        <w:pStyle w:val="SingleTxtG"/>
        <w:spacing w:after="130"/>
      </w:pPr>
      <w:r w:rsidRPr="00AC12E2">
        <w:t>10.</w:t>
      </w:r>
      <w:r w:rsidRPr="00AC12E2">
        <w:tab/>
        <w:t>Información actualizada y detallada sobre las oportunidades de formación y los talleres sobre los derechos humanos, la prevención de la discriminación racial</w:t>
      </w:r>
      <w:r w:rsidRPr="00AC12E2">
        <w:rPr>
          <w:sz w:val="18"/>
          <w:szCs w:val="18"/>
          <w:vertAlign w:val="superscript"/>
        </w:rPr>
        <w:footnoteReference w:id="9"/>
      </w:r>
      <w:r w:rsidRPr="00AC12E2">
        <w:t xml:space="preserve"> y los derechos consagrados en la Convención organizados para representantes de organismos públicos, administraciones locales y asociaciones, así como para agentes del orden, jueces y abogados, y sobre los efectos de dicha formación en la situación de las minorías.</w:t>
      </w:r>
    </w:p>
    <w:p w14:paraId="20CE2945" w14:textId="43AD3C31" w:rsidR="00AC12E2" w:rsidRPr="00AC12E2" w:rsidRDefault="00AC12E2" w:rsidP="00AC12E2">
      <w:pPr>
        <w:pStyle w:val="H23G"/>
      </w:pPr>
      <w:r>
        <w:tab/>
      </w:r>
      <w:r w:rsidRPr="00AC12E2">
        <w:tab/>
        <w:t>Situación de las minorías étnicas (arts. 2 y 5)</w:t>
      </w:r>
    </w:p>
    <w:p w14:paraId="2012129C" w14:textId="77777777" w:rsidR="00AC12E2" w:rsidRPr="00AC12E2" w:rsidRDefault="00AC12E2" w:rsidP="00FD0524">
      <w:pPr>
        <w:pStyle w:val="SingleTxtG"/>
        <w:spacing w:after="130"/>
      </w:pPr>
      <w:r w:rsidRPr="00AC12E2">
        <w:t>11.</w:t>
      </w:r>
      <w:r w:rsidRPr="00AC12E2">
        <w:tab/>
        <w:t>Información sobre las iniciativas intercomunitarias destinadas a promover la tolerancia, la armonía y el diálogo entre las comunidades grecochipriota y turcochipriota, así como a fomentar el conocimiento de la historia del país mediante una educación imparcial en las escuelas y otras instituciones públicas. Información actualizada sobre los esfuerzos realizados para encontrar una solución global al conflicto actual en Chipre y a la división de la isla, así como para ampliar la libertad de circulación</w:t>
      </w:r>
      <w:r w:rsidRPr="00AC12E2">
        <w:rPr>
          <w:sz w:val="18"/>
          <w:szCs w:val="18"/>
          <w:vertAlign w:val="superscript"/>
        </w:rPr>
        <w:footnoteReference w:id="10"/>
      </w:r>
      <w:r w:rsidRPr="00AC12E2">
        <w:t>.</w:t>
      </w:r>
    </w:p>
    <w:p w14:paraId="7060BCA4" w14:textId="77777777" w:rsidR="00AC12E2" w:rsidRPr="00AC12E2" w:rsidRDefault="00AC12E2" w:rsidP="00FD0524">
      <w:pPr>
        <w:pStyle w:val="SingleTxtG"/>
        <w:spacing w:after="130"/>
      </w:pPr>
      <w:r w:rsidRPr="00AC12E2">
        <w:t>12.</w:t>
      </w:r>
      <w:r w:rsidRPr="00AC12E2">
        <w:tab/>
        <w:t>Información actualizada sobre la situación de los turcochipriotas, en particular sobre su acceso al empleo, a la educación</w:t>
      </w:r>
      <w:r w:rsidRPr="00AC12E2">
        <w:rPr>
          <w:sz w:val="18"/>
          <w:szCs w:val="18"/>
          <w:vertAlign w:val="superscript"/>
        </w:rPr>
        <w:footnoteReference w:id="11"/>
      </w:r>
      <w:r w:rsidRPr="00AC12E2">
        <w:t>, a la vivienda y la ciudadanía, así como sobre el uso de la lengua turca.</w:t>
      </w:r>
    </w:p>
    <w:p w14:paraId="4A31D4D7" w14:textId="77777777" w:rsidR="00AC12E2" w:rsidRPr="00AC12E2" w:rsidRDefault="00AC12E2" w:rsidP="00FD0524">
      <w:pPr>
        <w:pStyle w:val="SingleTxtG"/>
        <w:spacing w:after="130"/>
      </w:pPr>
      <w:r w:rsidRPr="00AC12E2">
        <w:t>13.</w:t>
      </w:r>
      <w:r w:rsidRPr="00AC12E2">
        <w:tab/>
        <w:t>Información actualizada sobre si la comunidad romaní sufre discriminación en el acceso a la educación, al empleo y a unas condiciones de vida dignas, así como sobre los ataques racistas contra miembros de esa comunidad, incluidos los perpetrados por agentes del orden</w:t>
      </w:r>
      <w:r w:rsidRPr="00AC12E2">
        <w:rPr>
          <w:sz w:val="18"/>
          <w:szCs w:val="18"/>
          <w:vertAlign w:val="superscript"/>
        </w:rPr>
        <w:footnoteReference w:id="12"/>
      </w:r>
      <w:r w:rsidRPr="00AC12E2">
        <w:t>.</w:t>
      </w:r>
    </w:p>
    <w:p w14:paraId="74BF2048" w14:textId="0EAAD0BE" w:rsidR="00AC12E2" w:rsidRPr="00AC12E2" w:rsidRDefault="00AC12E2" w:rsidP="00AC12E2">
      <w:pPr>
        <w:pStyle w:val="H23G"/>
      </w:pPr>
      <w:r>
        <w:tab/>
      </w:r>
      <w:r w:rsidRPr="00AC12E2">
        <w:tab/>
        <w:t>Situación de los no ciudadanos, en particular los apátridas, los migrantes,</w:t>
      </w:r>
      <w:r>
        <w:br/>
      </w:r>
      <w:r w:rsidRPr="00AC12E2">
        <w:t>los refugiados y los solicitantes de asilo (arts. 5 y 7)</w:t>
      </w:r>
    </w:p>
    <w:p w14:paraId="634664BD" w14:textId="77777777" w:rsidR="00AC12E2" w:rsidRPr="00AC12E2" w:rsidRDefault="00AC12E2" w:rsidP="00AC12E2">
      <w:pPr>
        <w:pStyle w:val="SingleTxtG"/>
      </w:pPr>
      <w:r w:rsidRPr="00AC12E2">
        <w:t>14.</w:t>
      </w:r>
      <w:r w:rsidRPr="00AC12E2">
        <w:tab/>
        <w:t>Datos estadísticos actualizados sobre el número de apátridas</w:t>
      </w:r>
      <w:r w:rsidRPr="00AC12E2">
        <w:rPr>
          <w:sz w:val="18"/>
          <w:szCs w:val="18"/>
          <w:vertAlign w:val="superscript"/>
        </w:rPr>
        <w:footnoteReference w:id="13"/>
      </w:r>
      <w:r w:rsidRPr="00AC12E2">
        <w:t>, migrantes</w:t>
      </w:r>
      <w:r w:rsidRPr="00AC12E2">
        <w:rPr>
          <w:sz w:val="18"/>
          <w:szCs w:val="18"/>
          <w:vertAlign w:val="superscript"/>
        </w:rPr>
        <w:footnoteReference w:id="14"/>
      </w:r>
      <w:r w:rsidRPr="00AC12E2">
        <w:t>, refugiados</w:t>
      </w:r>
      <w:r w:rsidRPr="00AC12E2">
        <w:rPr>
          <w:sz w:val="18"/>
          <w:szCs w:val="18"/>
          <w:vertAlign w:val="superscript"/>
        </w:rPr>
        <w:footnoteReference w:id="15"/>
      </w:r>
      <w:r w:rsidRPr="00AC12E2">
        <w:t xml:space="preserve"> y solicitantes de asilo</w:t>
      </w:r>
      <w:r w:rsidRPr="00AC12E2">
        <w:rPr>
          <w:sz w:val="18"/>
          <w:szCs w:val="18"/>
          <w:vertAlign w:val="superscript"/>
        </w:rPr>
        <w:footnoteReference w:id="16"/>
      </w:r>
      <w:r w:rsidRPr="00AC12E2">
        <w:t xml:space="preserve"> en el Estado Parte, así como sobre las solicitudes de naturalización y las decisiones al respecto, desglosados por grupo étnico, sexo y duración de la estancia en el Estado Parte.</w:t>
      </w:r>
    </w:p>
    <w:p w14:paraId="1E9386CC" w14:textId="77777777" w:rsidR="00AC12E2" w:rsidRPr="00AC12E2" w:rsidRDefault="00AC12E2" w:rsidP="00FD0524">
      <w:pPr>
        <w:pStyle w:val="SingleTxtG"/>
        <w:keepNext/>
        <w:keepLines/>
      </w:pPr>
      <w:r w:rsidRPr="00AC12E2">
        <w:lastRenderedPageBreak/>
        <w:t>15.</w:t>
      </w:r>
      <w:r w:rsidRPr="00AC12E2">
        <w:tab/>
        <w:t>Información actualizada sobre las modificaciones introducidas en el plan de acción nacional para la integración de los nacionales de terceros países que residen legalmente en Chipre, e información sobre la forma en que se han tenido en cuenta las recomendaciones del Comité, incluidas las relativas al plan de acción elaborado para el período 2019-2022 sobre la educación en Chipre de los alumnos de origen migrante.</w:t>
      </w:r>
    </w:p>
    <w:p w14:paraId="1CA6F550" w14:textId="77777777" w:rsidR="00AC12E2" w:rsidRPr="00AC12E2" w:rsidRDefault="00AC12E2" w:rsidP="00AC12E2">
      <w:pPr>
        <w:pStyle w:val="SingleTxtG"/>
      </w:pPr>
      <w:r w:rsidRPr="00AC12E2">
        <w:t>16.</w:t>
      </w:r>
      <w:r w:rsidRPr="00AC12E2">
        <w:tab/>
        <w:t>Información sobre la situación de los residentes permanentes procedentes de países no miembros de la Unión Europea</w:t>
      </w:r>
      <w:r w:rsidRPr="00AC12E2">
        <w:rPr>
          <w:sz w:val="18"/>
          <w:szCs w:val="18"/>
          <w:vertAlign w:val="superscript"/>
        </w:rPr>
        <w:footnoteReference w:id="17"/>
      </w:r>
      <w:r w:rsidRPr="00AC12E2">
        <w:t>, entre otras cosas en lo que respecta al acceso sin discriminación a la vivienda, a la educación, a la asistencia sanitaria y a los servicios básicos.</w:t>
      </w:r>
    </w:p>
    <w:p w14:paraId="4C1DB030" w14:textId="77777777" w:rsidR="00AC12E2" w:rsidRPr="00AC12E2" w:rsidRDefault="00AC12E2" w:rsidP="00AC12E2">
      <w:pPr>
        <w:pStyle w:val="SingleTxtG"/>
      </w:pPr>
      <w:r w:rsidRPr="00AC12E2">
        <w:t>17.</w:t>
      </w:r>
      <w:r w:rsidRPr="00AC12E2">
        <w:tab/>
        <w:t>Información sobre las medidas adoptadas para poner fin a la detención prolongada de los solicitantes de asilo y los migrantes en situación irregular y sobre el uso de alternativas a la detención, así como sobre los efectos de dichas medidas, e información actualizada sobre las condiciones de vida en los centros de detención</w:t>
      </w:r>
      <w:r w:rsidRPr="00AC12E2">
        <w:rPr>
          <w:sz w:val="18"/>
          <w:szCs w:val="18"/>
          <w:vertAlign w:val="superscript"/>
        </w:rPr>
        <w:footnoteReference w:id="18"/>
      </w:r>
      <w:r w:rsidRPr="00AC12E2">
        <w:t>, en particular sobre la presunta separación de las madres migrantes de sus hijos.</w:t>
      </w:r>
    </w:p>
    <w:p w14:paraId="29FD0F22" w14:textId="026CDA8E" w:rsidR="00AC12E2" w:rsidRPr="00AC12E2" w:rsidRDefault="00AC12E2" w:rsidP="00AC12E2">
      <w:pPr>
        <w:pStyle w:val="SingleTxtG"/>
      </w:pPr>
      <w:r w:rsidRPr="00AC12E2">
        <w:t>18.</w:t>
      </w:r>
      <w:r w:rsidRPr="00AC12E2">
        <w:tab/>
        <w:t>Información sobre las medidas adoptadas para asegurar la protección contra la devolución y sobre los efectos de dichas medidas</w:t>
      </w:r>
      <w:r w:rsidRPr="00AC12E2">
        <w:rPr>
          <w:sz w:val="18"/>
          <w:szCs w:val="18"/>
          <w:vertAlign w:val="superscript"/>
        </w:rPr>
        <w:footnoteReference w:id="19"/>
      </w:r>
      <w:r w:rsidRPr="00AC12E2">
        <w:t>.</w:t>
      </w:r>
    </w:p>
    <w:p w14:paraId="2EB21E6D" w14:textId="6C3A6231" w:rsidR="00AC12E2" w:rsidRDefault="00AC12E2" w:rsidP="00AC12E2">
      <w:pPr>
        <w:pStyle w:val="SingleTxtG"/>
      </w:pPr>
      <w:r w:rsidRPr="00885B6A">
        <w:t>19.</w:t>
      </w:r>
      <w:r w:rsidRPr="00885B6A">
        <w:tab/>
        <w:t>Información sobre las iniciativas destinadas a proteger a las víctimas de la trata de personas y a poner fin a ese fenómeno en el Estado Parte</w:t>
      </w:r>
      <w:r w:rsidRPr="00885B6A">
        <w:rPr>
          <w:sz w:val="18"/>
          <w:szCs w:val="18"/>
          <w:vertAlign w:val="superscript"/>
        </w:rPr>
        <w:footnoteReference w:id="20"/>
      </w:r>
      <w:r w:rsidRPr="00885B6A">
        <w:t>, también en las zonas del Estado Parte que no están bajo su control efectivo.</w:t>
      </w:r>
    </w:p>
    <w:p w14:paraId="057F77B2" w14:textId="061F8F74" w:rsidR="00AC12E2" w:rsidRPr="00AC12E2" w:rsidRDefault="00AC12E2" w:rsidP="00AC12E2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C12E2" w:rsidRPr="00AC12E2" w:rsidSect="00AC12E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39C368" w14:textId="77777777" w:rsidR="00953D65" w:rsidRPr="00D43FF0" w:rsidRDefault="00953D65" w:rsidP="00D43FF0">
      <w:pPr>
        <w:pStyle w:val="Piedepgina"/>
      </w:pPr>
    </w:p>
  </w:endnote>
  <w:endnote w:type="continuationSeparator" w:id="0">
    <w:p w14:paraId="01019F8B" w14:textId="77777777" w:rsidR="00953D65" w:rsidRPr="00D43FF0" w:rsidRDefault="00953D65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76991" w14:textId="48144570" w:rsidR="00AC12E2" w:rsidRPr="00AC12E2" w:rsidRDefault="00AC12E2" w:rsidP="00AC12E2">
    <w:pPr>
      <w:pStyle w:val="Piedepgina"/>
      <w:tabs>
        <w:tab w:val="right" w:pos="9638"/>
      </w:tabs>
    </w:pPr>
    <w:r w:rsidRPr="00AC12E2">
      <w:rPr>
        <w:b/>
        <w:sz w:val="18"/>
      </w:rPr>
      <w:fldChar w:fldCharType="begin"/>
    </w:r>
    <w:r w:rsidRPr="00AC12E2">
      <w:rPr>
        <w:b/>
        <w:sz w:val="18"/>
      </w:rPr>
      <w:instrText xml:space="preserve"> PAGE  \* MERGEFORMAT </w:instrText>
    </w:r>
    <w:r w:rsidRPr="00AC12E2">
      <w:rPr>
        <w:b/>
        <w:sz w:val="18"/>
      </w:rPr>
      <w:fldChar w:fldCharType="separate"/>
    </w:r>
    <w:r w:rsidRPr="00AC12E2">
      <w:rPr>
        <w:b/>
        <w:noProof/>
        <w:sz w:val="18"/>
      </w:rPr>
      <w:t>2</w:t>
    </w:r>
    <w:r w:rsidRPr="00AC12E2">
      <w:rPr>
        <w:b/>
        <w:sz w:val="18"/>
      </w:rPr>
      <w:fldChar w:fldCharType="end"/>
    </w:r>
    <w:r>
      <w:rPr>
        <w:b/>
        <w:sz w:val="18"/>
      </w:rPr>
      <w:tab/>
    </w:r>
    <w:r>
      <w:t>GE.26-03938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1386E" w14:textId="5FFA8E57" w:rsidR="00AC12E2" w:rsidRPr="00AC12E2" w:rsidRDefault="00AC12E2" w:rsidP="00AC12E2">
    <w:pPr>
      <w:pStyle w:val="Piedepgina"/>
      <w:tabs>
        <w:tab w:val="right" w:pos="9638"/>
      </w:tabs>
      <w:rPr>
        <w:b/>
        <w:sz w:val="18"/>
      </w:rPr>
    </w:pPr>
    <w:r>
      <w:t>GE.26-03938</w:t>
    </w:r>
    <w:r>
      <w:tab/>
    </w:r>
    <w:r w:rsidRPr="00AC12E2">
      <w:rPr>
        <w:b/>
        <w:sz w:val="18"/>
      </w:rPr>
      <w:fldChar w:fldCharType="begin"/>
    </w:r>
    <w:r w:rsidRPr="00AC12E2">
      <w:rPr>
        <w:b/>
        <w:sz w:val="18"/>
      </w:rPr>
      <w:instrText xml:space="preserve"> PAGE  \* MERGEFORMAT </w:instrText>
    </w:r>
    <w:r w:rsidRPr="00AC12E2">
      <w:rPr>
        <w:b/>
        <w:sz w:val="18"/>
      </w:rPr>
      <w:fldChar w:fldCharType="separate"/>
    </w:r>
    <w:r w:rsidRPr="00AC12E2">
      <w:rPr>
        <w:b/>
        <w:noProof/>
        <w:sz w:val="18"/>
      </w:rPr>
      <w:t>3</w:t>
    </w:r>
    <w:r w:rsidRPr="00AC12E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B37EC" w14:textId="75FF1982" w:rsidR="00C63C2A" w:rsidRPr="00AC12E2" w:rsidRDefault="00AC12E2" w:rsidP="00AC12E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3B4244CC" wp14:editId="3C503F18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26-03938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DC66BF8" wp14:editId="7851FA76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80483256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70E6B">
      <w:rPr>
        <w:sz w:val="20"/>
      </w:rPr>
      <w:t xml:space="preserve">    280526    280526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3CF90" w14:textId="77777777" w:rsidR="00953D65" w:rsidRPr="001075E9" w:rsidRDefault="00953D6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5797375" w14:textId="77777777" w:rsidR="00953D65" w:rsidRDefault="00953D65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A1A249" w14:textId="7B254F48" w:rsidR="00AC12E2" w:rsidRPr="00AC12E2" w:rsidRDefault="00AC12E2" w:rsidP="00AC12E2">
      <w:pPr>
        <w:pStyle w:val="Textonotapie"/>
        <w:rPr>
          <w:sz w:val="20"/>
        </w:rPr>
      </w:pPr>
      <w:r>
        <w:tab/>
      </w:r>
      <w:r w:rsidRPr="00AC12E2">
        <w:rPr>
          <w:rStyle w:val="Refdenotaalpie"/>
          <w:sz w:val="20"/>
          <w:vertAlign w:val="baseline"/>
        </w:rPr>
        <w:t>*</w:t>
      </w:r>
      <w:r w:rsidRPr="00AC12E2">
        <w:rPr>
          <w:rStyle w:val="Refdenotaalpie"/>
          <w:vertAlign w:val="baseline"/>
        </w:rPr>
        <w:tab/>
      </w:r>
      <w:r w:rsidRPr="00AC12E2">
        <w:t>Este informe se presentó a los servicios de conferencias para su tramitación fuera del plazo establecido a fin de incluir en él la información más reciente.</w:t>
      </w:r>
    </w:p>
  </w:footnote>
  <w:footnote w:id="2">
    <w:p w14:paraId="25F1A1DF" w14:textId="4F3A6B6A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hyperlink r:id="rId1" w:history="1">
        <w:r w:rsidRPr="008424D5">
          <w:rPr>
            <w:rStyle w:val="Hipervnculo"/>
          </w:rPr>
          <w:t>A/65/18</w:t>
        </w:r>
      </w:hyperlink>
      <w:r w:rsidRPr="00885B6A">
        <w:t>, párr. 85.</w:t>
      </w:r>
    </w:p>
  </w:footnote>
  <w:footnote w:id="3">
    <w:p w14:paraId="41DBB530" w14:textId="6BB32A7E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rPr>
          <w:lang w:val="en-US"/>
        </w:rPr>
        <w:tab/>
      </w:r>
      <w:hyperlink r:id="rId2" w:history="1">
        <w:r w:rsidRPr="008424D5">
          <w:rPr>
            <w:rStyle w:val="Hipervnculo"/>
            <w:lang w:val="en-US"/>
          </w:rPr>
          <w:t>CERD/C/CYP/CO/23-24</w:t>
        </w:r>
      </w:hyperlink>
      <w:r w:rsidRPr="00885B6A">
        <w:rPr>
          <w:lang w:val="en-US"/>
        </w:rPr>
        <w:t>, párr. 8.</w:t>
      </w:r>
    </w:p>
  </w:footnote>
  <w:footnote w:id="4">
    <w:p w14:paraId="24C2CFBA" w14:textId="65EF3F95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  <w:lang w:val="en-US"/>
        </w:rPr>
        <w:tab/>
      </w:r>
      <w:r w:rsidRPr="00885B6A">
        <w:rPr>
          <w:rStyle w:val="Refdenotaalpie"/>
        </w:rPr>
        <w:footnoteRef/>
      </w:r>
      <w:r w:rsidRPr="00885B6A">
        <w:rPr>
          <w:lang w:val="en-US"/>
        </w:rPr>
        <w:tab/>
      </w:r>
      <w:hyperlink r:id="rId3" w:history="1">
        <w:r w:rsidRPr="008424D5">
          <w:rPr>
            <w:rStyle w:val="Hipervnculo"/>
            <w:lang w:val="en-US"/>
          </w:rPr>
          <w:t>CERD/C/CYP/25</w:t>
        </w:r>
      </w:hyperlink>
      <w:r w:rsidRPr="00885B6A">
        <w:rPr>
          <w:lang w:val="en-US"/>
        </w:rPr>
        <w:t>, párr. 10.</w:t>
      </w:r>
    </w:p>
  </w:footnote>
  <w:footnote w:id="5">
    <w:p w14:paraId="60A7CB84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  <w:lang w:val="en-US"/>
        </w:rPr>
        <w:tab/>
      </w:r>
      <w:r w:rsidRPr="00885B6A">
        <w:rPr>
          <w:rStyle w:val="Refdenotaalpie"/>
        </w:rPr>
        <w:footnoteRef/>
      </w:r>
      <w:r w:rsidRPr="00885B6A">
        <w:rPr>
          <w:lang w:val="en-US"/>
        </w:rPr>
        <w:tab/>
      </w:r>
      <w:r w:rsidRPr="00885B6A">
        <w:rPr>
          <w:i/>
          <w:iCs/>
          <w:lang w:val="en-US"/>
        </w:rPr>
        <w:t>Ibid</w:t>
      </w:r>
      <w:r w:rsidRPr="00885B6A">
        <w:rPr>
          <w:lang w:val="en-US"/>
        </w:rPr>
        <w:t xml:space="preserve">., párrs. </w:t>
      </w:r>
      <w:r w:rsidRPr="00885B6A">
        <w:t>11 a 32.</w:t>
      </w:r>
    </w:p>
  </w:footnote>
  <w:footnote w:id="6">
    <w:p w14:paraId="20376298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anexos B y C.</w:t>
      </w:r>
    </w:p>
  </w:footnote>
  <w:footnote w:id="7">
    <w:p w14:paraId="07CE1A51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párr. 87.</w:t>
      </w:r>
    </w:p>
  </w:footnote>
  <w:footnote w:id="8">
    <w:p w14:paraId="08D458A4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párrs. 39 y 40.</w:t>
      </w:r>
    </w:p>
  </w:footnote>
  <w:footnote w:id="9">
    <w:p w14:paraId="55593C6E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párrs. 54 y 55.</w:t>
      </w:r>
    </w:p>
  </w:footnote>
  <w:footnote w:id="10">
    <w:p w14:paraId="5B703248" w14:textId="02805D5D" w:rsidR="00AC12E2" w:rsidRPr="00885B6A" w:rsidRDefault="00AC12E2" w:rsidP="00AC12E2">
      <w:pPr>
        <w:pStyle w:val="Textonotapie"/>
        <w:rPr>
          <w:szCs w:val="18"/>
          <w:lang w:val="fr-CH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rPr>
          <w:lang w:val="fr-CH"/>
        </w:rPr>
        <w:tab/>
      </w:r>
      <w:hyperlink r:id="rId4" w:history="1">
        <w:r w:rsidRPr="008424D5">
          <w:rPr>
            <w:rStyle w:val="Hipervnculo"/>
            <w:lang w:val="fr-CH"/>
          </w:rPr>
          <w:t>HRI/CORE/CYP/2018</w:t>
        </w:r>
      </w:hyperlink>
      <w:r w:rsidRPr="00885B6A">
        <w:rPr>
          <w:lang w:val="fr-CH"/>
        </w:rPr>
        <w:t>, párrs. 47 a 50.</w:t>
      </w:r>
    </w:p>
  </w:footnote>
  <w:footnote w:id="11">
    <w:p w14:paraId="7A45EAB1" w14:textId="0B744D81" w:rsidR="00AC12E2" w:rsidRPr="00885B6A" w:rsidRDefault="00AC12E2" w:rsidP="00AC12E2">
      <w:pPr>
        <w:pStyle w:val="Textonotapie"/>
        <w:rPr>
          <w:szCs w:val="18"/>
          <w:lang w:val="fr-CH"/>
        </w:rPr>
      </w:pPr>
      <w:r w:rsidRPr="00885B6A">
        <w:rPr>
          <w:szCs w:val="18"/>
          <w:lang w:val="fr-CH"/>
        </w:rPr>
        <w:tab/>
      </w:r>
      <w:r w:rsidRPr="00885B6A">
        <w:rPr>
          <w:rStyle w:val="Refdenotaalpie"/>
        </w:rPr>
        <w:footnoteRef/>
      </w:r>
      <w:r w:rsidRPr="00885B6A">
        <w:rPr>
          <w:lang w:val="fr-CH"/>
        </w:rPr>
        <w:tab/>
      </w:r>
      <w:hyperlink r:id="rId5" w:history="1">
        <w:r w:rsidRPr="008424D5">
          <w:rPr>
            <w:rStyle w:val="Hipervnculo"/>
            <w:lang w:val="fr-CH"/>
          </w:rPr>
          <w:t>CERD/C/CYP/25</w:t>
        </w:r>
      </w:hyperlink>
      <w:r w:rsidRPr="00885B6A">
        <w:rPr>
          <w:lang w:val="fr-CH"/>
        </w:rPr>
        <w:t>, párr. 58.</w:t>
      </w:r>
    </w:p>
  </w:footnote>
  <w:footnote w:id="12">
    <w:p w14:paraId="67496FC6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  <w:lang w:val="fr-CH"/>
        </w:rPr>
        <w:tab/>
      </w:r>
      <w:r w:rsidRPr="00885B6A">
        <w:rPr>
          <w:rStyle w:val="Refdenotaalpie"/>
        </w:rPr>
        <w:footnoteRef/>
      </w:r>
      <w:r w:rsidRPr="00885B6A">
        <w:rPr>
          <w:lang w:val="fr-CH"/>
        </w:rPr>
        <w:tab/>
      </w:r>
      <w:r w:rsidRPr="00885B6A">
        <w:rPr>
          <w:i/>
          <w:iCs/>
          <w:lang w:val="fr-CH"/>
        </w:rPr>
        <w:t>Ibid</w:t>
      </w:r>
      <w:r w:rsidRPr="00885B6A">
        <w:rPr>
          <w:lang w:val="fr-CH"/>
        </w:rPr>
        <w:t xml:space="preserve">., párrs. </w:t>
      </w:r>
      <w:r w:rsidRPr="00885B6A">
        <w:t>55 a 60.</w:t>
      </w:r>
    </w:p>
  </w:footnote>
  <w:footnote w:id="13">
    <w:p w14:paraId="0751F94B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párr. 23.</w:t>
      </w:r>
    </w:p>
  </w:footnote>
  <w:footnote w:id="14">
    <w:p w14:paraId="6ED5571C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párr. 123.</w:t>
      </w:r>
    </w:p>
  </w:footnote>
  <w:footnote w:id="15">
    <w:p w14:paraId="097BB51A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párr. 22.</w:t>
      </w:r>
    </w:p>
  </w:footnote>
  <w:footnote w:id="16">
    <w:p w14:paraId="69DF5785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párrs. 96 a 99.</w:t>
      </w:r>
    </w:p>
  </w:footnote>
  <w:footnote w:id="17">
    <w:p w14:paraId="382D888C" w14:textId="77777777" w:rsidR="00AC12E2" w:rsidRPr="00885B6A" w:rsidRDefault="00AC12E2" w:rsidP="00AC12E2">
      <w:pPr>
        <w:pStyle w:val="Textonotapie"/>
        <w:rPr>
          <w:szCs w:val="18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tab/>
      </w:r>
      <w:r w:rsidRPr="00885B6A">
        <w:rPr>
          <w:i/>
          <w:iCs/>
        </w:rPr>
        <w:t>Ibid</w:t>
      </w:r>
      <w:r w:rsidRPr="00885B6A">
        <w:t>., párrs. 47 y 50.</w:t>
      </w:r>
    </w:p>
  </w:footnote>
  <w:footnote w:id="18">
    <w:p w14:paraId="45DC26AB" w14:textId="6F709F64" w:rsidR="00AC12E2" w:rsidRPr="00885B6A" w:rsidRDefault="00AC12E2" w:rsidP="00AC12E2">
      <w:pPr>
        <w:pStyle w:val="Textonotapie"/>
        <w:rPr>
          <w:szCs w:val="18"/>
          <w:lang w:val="fr-CH"/>
        </w:rPr>
      </w:pPr>
      <w:r w:rsidRPr="00885B6A">
        <w:rPr>
          <w:szCs w:val="18"/>
        </w:rPr>
        <w:tab/>
      </w:r>
      <w:r w:rsidRPr="00885B6A">
        <w:rPr>
          <w:rStyle w:val="Refdenotaalpie"/>
        </w:rPr>
        <w:footnoteRef/>
      </w:r>
      <w:r w:rsidRPr="00885B6A">
        <w:rPr>
          <w:lang w:val="fr-CH"/>
        </w:rPr>
        <w:tab/>
      </w:r>
      <w:hyperlink r:id="rId6" w:history="1">
        <w:r w:rsidRPr="008424D5">
          <w:rPr>
            <w:rStyle w:val="Hipervnculo"/>
            <w:lang w:val="fr-CH"/>
          </w:rPr>
          <w:t>HRI/CORE/CYP/2018</w:t>
        </w:r>
      </w:hyperlink>
      <w:r w:rsidRPr="00885B6A">
        <w:rPr>
          <w:lang w:val="fr-CH"/>
        </w:rPr>
        <w:t>, párrs. 115 y 116.</w:t>
      </w:r>
    </w:p>
  </w:footnote>
  <w:footnote w:id="19">
    <w:p w14:paraId="29C456B9" w14:textId="2FE4ADB1" w:rsidR="00AC12E2" w:rsidRPr="00885B6A" w:rsidRDefault="00AC12E2" w:rsidP="00AC12E2">
      <w:pPr>
        <w:pStyle w:val="Textonotapie"/>
        <w:rPr>
          <w:szCs w:val="18"/>
          <w:lang w:val="fr-CH"/>
        </w:rPr>
      </w:pPr>
      <w:r w:rsidRPr="00885B6A">
        <w:rPr>
          <w:szCs w:val="18"/>
          <w:lang w:val="fr-CH"/>
        </w:rPr>
        <w:tab/>
      </w:r>
      <w:r w:rsidRPr="00885B6A">
        <w:rPr>
          <w:rStyle w:val="Refdenotaalpie"/>
        </w:rPr>
        <w:footnoteRef/>
      </w:r>
      <w:r w:rsidRPr="00885B6A">
        <w:rPr>
          <w:lang w:val="fr-CH"/>
        </w:rPr>
        <w:tab/>
      </w:r>
      <w:hyperlink r:id="rId7" w:history="1">
        <w:r w:rsidRPr="008424D5">
          <w:rPr>
            <w:rStyle w:val="Hipervnculo"/>
            <w:lang w:val="fr-CH"/>
          </w:rPr>
          <w:t>CERD/C/CYP/25</w:t>
        </w:r>
      </w:hyperlink>
      <w:r w:rsidRPr="00885B6A">
        <w:rPr>
          <w:lang w:val="fr-CH"/>
        </w:rPr>
        <w:t>, párr. 22.</w:t>
      </w:r>
    </w:p>
  </w:footnote>
  <w:footnote w:id="20">
    <w:p w14:paraId="64CB277B" w14:textId="32C1D1EC" w:rsidR="00AC12E2" w:rsidRPr="00885B6A" w:rsidRDefault="00AC12E2" w:rsidP="008424D5">
      <w:pPr>
        <w:pStyle w:val="Textonotapie"/>
        <w:rPr>
          <w:szCs w:val="18"/>
          <w:lang w:val="fr-FR"/>
        </w:rPr>
      </w:pPr>
      <w:r w:rsidRPr="00885B6A">
        <w:rPr>
          <w:szCs w:val="18"/>
          <w:lang w:val="fr-CH"/>
        </w:rPr>
        <w:tab/>
      </w:r>
      <w:r w:rsidRPr="00885B6A">
        <w:rPr>
          <w:rStyle w:val="Refdenotaalpie"/>
        </w:rPr>
        <w:footnoteRef/>
      </w:r>
      <w:r w:rsidRPr="00885B6A">
        <w:rPr>
          <w:lang w:val="fr-CH"/>
        </w:rPr>
        <w:tab/>
      </w:r>
      <w:r w:rsidRPr="00885B6A">
        <w:rPr>
          <w:i/>
          <w:iCs/>
          <w:lang w:val="fr-CH"/>
        </w:rPr>
        <w:t>Ibid</w:t>
      </w:r>
      <w:r w:rsidRPr="00885B6A">
        <w:rPr>
          <w:lang w:val="fr-CH"/>
        </w:rPr>
        <w:t xml:space="preserve">., párrs. </w:t>
      </w:r>
      <w:r w:rsidRPr="00885B6A">
        <w:t>16 y 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F239F" w14:textId="758A6DBA" w:rsidR="00AC12E2" w:rsidRPr="00AC12E2" w:rsidRDefault="00AC12E2">
    <w:pPr>
      <w:pStyle w:val="Encabezado"/>
    </w:pPr>
    <w:fldSimple w:instr=" TITLE  \* MERGEFORMAT ">
      <w:r w:rsidR="00784F53">
        <w:t>CERD/C/CYP/Q/25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C77B6" w14:textId="59B91081" w:rsidR="00AC12E2" w:rsidRPr="00AC12E2" w:rsidRDefault="00AC12E2" w:rsidP="00AC12E2">
    <w:pPr>
      <w:pStyle w:val="Encabezado"/>
      <w:jc w:val="right"/>
    </w:pPr>
    <w:fldSimple w:instr=" TITLE  \* MERGEFORMAT ">
      <w:r w:rsidR="00784F53">
        <w:t>CERD/C/CYP/Q/25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850676859">
    <w:abstractNumId w:val="14"/>
  </w:num>
  <w:num w:numId="2" w16cid:durableId="652297426">
    <w:abstractNumId w:val="11"/>
  </w:num>
  <w:num w:numId="3" w16cid:durableId="144977065">
    <w:abstractNumId w:val="16"/>
  </w:num>
  <w:num w:numId="4" w16cid:durableId="74128892">
    <w:abstractNumId w:val="15"/>
  </w:num>
  <w:num w:numId="5" w16cid:durableId="1465931262">
    <w:abstractNumId w:val="13"/>
  </w:num>
  <w:num w:numId="6" w16cid:durableId="1629899153">
    <w:abstractNumId w:val="8"/>
  </w:num>
  <w:num w:numId="7" w16cid:durableId="324208148">
    <w:abstractNumId w:val="3"/>
  </w:num>
  <w:num w:numId="8" w16cid:durableId="2105295060">
    <w:abstractNumId w:val="2"/>
  </w:num>
  <w:num w:numId="9" w16cid:durableId="1346635342">
    <w:abstractNumId w:val="1"/>
  </w:num>
  <w:num w:numId="10" w16cid:durableId="2031956702">
    <w:abstractNumId w:val="0"/>
  </w:num>
  <w:num w:numId="11" w16cid:durableId="880242944">
    <w:abstractNumId w:val="9"/>
  </w:num>
  <w:num w:numId="12" w16cid:durableId="166216510">
    <w:abstractNumId w:val="7"/>
  </w:num>
  <w:num w:numId="13" w16cid:durableId="1698774735">
    <w:abstractNumId w:val="6"/>
  </w:num>
  <w:num w:numId="14" w16cid:durableId="2039964073">
    <w:abstractNumId w:val="5"/>
  </w:num>
  <w:num w:numId="15" w16cid:durableId="599997391">
    <w:abstractNumId w:val="4"/>
  </w:num>
  <w:num w:numId="16" w16cid:durableId="767040383">
    <w:abstractNumId w:val="10"/>
  </w:num>
  <w:num w:numId="17" w16cid:durableId="1777291146">
    <w:abstractNumId w:val="14"/>
  </w:num>
  <w:num w:numId="18" w16cid:durableId="1286742179">
    <w:abstractNumId w:val="11"/>
  </w:num>
  <w:num w:numId="19" w16cid:durableId="284624999">
    <w:abstractNumId w:val="10"/>
  </w:num>
  <w:num w:numId="20" w16cid:durableId="1428423044">
    <w:abstractNumId w:val="16"/>
  </w:num>
  <w:num w:numId="21" w16cid:durableId="154883535">
    <w:abstractNumId w:val="15"/>
  </w:num>
  <w:num w:numId="22" w16cid:durableId="1074861304">
    <w:abstractNumId w:val="12"/>
  </w:num>
  <w:num w:numId="23" w16cid:durableId="756748970">
    <w:abstractNumId w:val="12"/>
  </w:num>
  <w:num w:numId="24" w16cid:durableId="232199266">
    <w:abstractNumId w:val="13"/>
  </w:num>
  <w:num w:numId="25" w16cid:durableId="422187240">
    <w:abstractNumId w:val="9"/>
  </w:num>
  <w:num w:numId="26" w16cid:durableId="920212130">
    <w:abstractNumId w:val="7"/>
  </w:num>
  <w:num w:numId="27" w16cid:durableId="2108691132">
    <w:abstractNumId w:val="6"/>
  </w:num>
  <w:num w:numId="28" w16cid:durableId="1658531337">
    <w:abstractNumId w:val="5"/>
  </w:num>
  <w:num w:numId="29" w16cid:durableId="219904032">
    <w:abstractNumId w:val="4"/>
  </w:num>
  <w:num w:numId="30" w16cid:durableId="70540304">
    <w:abstractNumId w:val="8"/>
  </w:num>
  <w:num w:numId="31" w16cid:durableId="859322958">
    <w:abstractNumId w:val="3"/>
  </w:num>
  <w:num w:numId="32" w16cid:durableId="523592600">
    <w:abstractNumId w:val="2"/>
  </w:num>
  <w:num w:numId="33" w16cid:durableId="934436469">
    <w:abstractNumId w:val="1"/>
  </w:num>
  <w:num w:numId="34" w16cid:durableId="1210990763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84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D65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301299"/>
    <w:rsid w:val="00322004"/>
    <w:rsid w:val="003402C2"/>
    <w:rsid w:val="00381C24"/>
    <w:rsid w:val="003958D0"/>
    <w:rsid w:val="004031F0"/>
    <w:rsid w:val="00454E07"/>
    <w:rsid w:val="00471CB3"/>
    <w:rsid w:val="004B5CEF"/>
    <w:rsid w:val="0050108D"/>
    <w:rsid w:val="0051740C"/>
    <w:rsid w:val="00572E19"/>
    <w:rsid w:val="005F0B42"/>
    <w:rsid w:val="00634841"/>
    <w:rsid w:val="00636708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84F53"/>
    <w:rsid w:val="007967DF"/>
    <w:rsid w:val="007F6465"/>
    <w:rsid w:val="00834B71"/>
    <w:rsid w:val="008424D5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51972"/>
    <w:rsid w:val="00953D65"/>
    <w:rsid w:val="00954E65"/>
    <w:rsid w:val="009F3E98"/>
    <w:rsid w:val="00A17DFD"/>
    <w:rsid w:val="00A414EF"/>
    <w:rsid w:val="00A4674B"/>
    <w:rsid w:val="00A917B3"/>
    <w:rsid w:val="00AB4B51"/>
    <w:rsid w:val="00AC12E2"/>
    <w:rsid w:val="00B066FC"/>
    <w:rsid w:val="00B10CC7"/>
    <w:rsid w:val="00B62458"/>
    <w:rsid w:val="00B651EE"/>
    <w:rsid w:val="00B778C8"/>
    <w:rsid w:val="00BA3587"/>
    <w:rsid w:val="00BB36EA"/>
    <w:rsid w:val="00BD33EE"/>
    <w:rsid w:val="00C031C9"/>
    <w:rsid w:val="00C404E2"/>
    <w:rsid w:val="00C60F0C"/>
    <w:rsid w:val="00C63C2A"/>
    <w:rsid w:val="00C805C9"/>
    <w:rsid w:val="00C907F0"/>
    <w:rsid w:val="00CA1679"/>
    <w:rsid w:val="00CC15A3"/>
    <w:rsid w:val="00CD7F47"/>
    <w:rsid w:val="00D05347"/>
    <w:rsid w:val="00D43FF0"/>
    <w:rsid w:val="00D90138"/>
    <w:rsid w:val="00DA26B8"/>
    <w:rsid w:val="00DD4E25"/>
    <w:rsid w:val="00E05C6B"/>
    <w:rsid w:val="00E2656E"/>
    <w:rsid w:val="00E73F76"/>
    <w:rsid w:val="00EA31D8"/>
    <w:rsid w:val="00EA5579"/>
    <w:rsid w:val="00EF1360"/>
    <w:rsid w:val="00EF3220"/>
    <w:rsid w:val="00EF7198"/>
    <w:rsid w:val="00F30513"/>
    <w:rsid w:val="00F41883"/>
    <w:rsid w:val="00F45524"/>
    <w:rsid w:val="00F70E6B"/>
    <w:rsid w:val="00F94155"/>
    <w:rsid w:val="00FC28A5"/>
    <w:rsid w:val="00FD0524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12CE5B"/>
  <w15:docId w15:val="{89156837-8210-491E-A3ED-268A53D2C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semiHidden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4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semiHidden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semiHidden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8424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s/CERD/C/CYP/25" TargetMode="External"/><Relationship Id="rId7" Type="http://schemas.openxmlformats.org/officeDocument/2006/relationships/hyperlink" Target="https://docs.un.org/es/CERD/C/CYP/25" TargetMode="External"/><Relationship Id="rId2" Type="http://schemas.openxmlformats.org/officeDocument/2006/relationships/hyperlink" Target="https://docs.un.org/es/CERD/C/CYP/CO/23-24" TargetMode="External"/><Relationship Id="rId1" Type="http://schemas.openxmlformats.org/officeDocument/2006/relationships/hyperlink" Target="https://docs.un.org/es/A/65/18" TargetMode="External"/><Relationship Id="rId6" Type="http://schemas.openxmlformats.org/officeDocument/2006/relationships/hyperlink" Target="https://docs.un.org/es/HRI/CORE/CYP/2018" TargetMode="External"/><Relationship Id="rId5" Type="http://schemas.openxmlformats.org/officeDocument/2006/relationships/hyperlink" Target="https://docs.un.org/es/CERD/C/CYP/25" TargetMode="External"/><Relationship Id="rId4" Type="http://schemas.openxmlformats.org/officeDocument/2006/relationships/hyperlink" Target="https://docs.un.org/es/HRI/CORE/CYP/201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1076</Words>
  <Characters>5750</Characters>
  <Application>Microsoft Office Word</Application>
  <DocSecurity>0</DocSecurity>
  <Lines>102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CERD/C/CYP/Q/25</vt:lpstr>
    </vt:vector>
  </TitlesOfParts>
  <Company/>
  <LinksUpToDate>false</LinksUpToDate>
  <CharactersWithSpaces>6782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CERD/C/CYP/Q/25</dc:title>
  <dc:subject/>
  <dc:creator>Angel ANGEL-MORENO-TORRES</dc:creator>
  <cp:keywords/>
  <cp:lastModifiedBy>Angel Moreno Torres</cp:lastModifiedBy>
  <cp:revision>3</cp:revision>
  <cp:lastPrinted>2026-05-28T12:47:00Z</cp:lastPrinted>
  <dcterms:created xsi:type="dcterms:W3CDTF">2026-05-28T12:47:00Z</dcterms:created>
  <dcterms:modified xsi:type="dcterms:W3CDTF">2026-05-28T12:48:00Z</dcterms:modified>
</cp:coreProperties>
</file>