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/C</w:t>
            </w:r>
            <w:r w:rsidR="0015615D">
              <w:rPr>
                <w:rFonts w:hint="eastAsia"/>
                <w:sz w:val="20"/>
              </w:rPr>
              <w:t>.</w:t>
            </w:r>
            <w:r w:rsidR="005E376C">
              <w:rPr>
                <w:rFonts w:hint="eastAsia"/>
                <w:sz w:val="20"/>
              </w:rPr>
              <w:t>12/</w:t>
            </w:r>
            <w:r w:rsidR="003B1A50">
              <w:rPr>
                <w:rFonts w:hint="eastAsia"/>
                <w:sz w:val="20"/>
              </w:rPr>
              <w:t>JPN/CO/3</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15615D" w:rsidP="000C274E">
            <w:pPr>
              <w:spacing w:before="240" w:line="240" w:lineRule="atLeast"/>
              <w:rPr>
                <w:rFonts w:hint="eastAsia"/>
                <w:sz w:val="20"/>
              </w:rPr>
            </w:pPr>
            <w:r>
              <w:rPr>
                <w:sz w:val="20"/>
              </w:rPr>
              <w:t xml:space="preserve">Distr.: </w:t>
            </w:r>
            <w:r w:rsidR="003B1A50" w:rsidRPr="003B1A50">
              <w:rPr>
                <w:sz w:val="20"/>
              </w:rPr>
              <w:t>General</w:t>
            </w:r>
          </w:p>
          <w:p w:rsidR="007F7879" w:rsidRPr="000C274E" w:rsidRDefault="003B1A50">
            <w:pPr>
              <w:spacing w:line="240" w:lineRule="atLeast"/>
              <w:rPr>
                <w:sz w:val="20"/>
              </w:rPr>
            </w:pPr>
            <w:r>
              <w:rPr>
                <w:rFonts w:hint="eastAsia"/>
                <w:sz w:val="20"/>
              </w:rPr>
              <w:t xml:space="preserve">10 </w:t>
            </w:r>
            <w:r w:rsidRPr="003B1A50">
              <w:rPr>
                <w:sz w:val="20"/>
              </w:rPr>
              <w:t>June</w:t>
            </w:r>
            <w:r w:rsidR="007F7879" w:rsidRPr="000C274E">
              <w:rPr>
                <w:sz w:val="20"/>
              </w:rPr>
              <w:t xml:space="preserve"> 20</w:t>
            </w:r>
            <w:r w:rsidR="00CB035B">
              <w:rPr>
                <w:rFonts w:hint="eastAsia"/>
                <w:sz w:val="20"/>
              </w:rPr>
              <w:t>13</w:t>
            </w:r>
          </w:p>
          <w:p w:rsidR="007F7879" w:rsidRPr="000C274E" w:rsidRDefault="007F7879">
            <w:pPr>
              <w:spacing w:line="240" w:lineRule="atLeast"/>
              <w:rPr>
                <w:sz w:val="20"/>
              </w:rPr>
            </w:pPr>
            <w:r w:rsidRPr="000C274E">
              <w:rPr>
                <w:sz w:val="20"/>
              </w:rPr>
              <w:t xml:space="preserve">Chinese </w:t>
            </w:r>
          </w:p>
          <w:p w:rsidR="007F7879" w:rsidRPr="000C274E" w:rsidRDefault="0015615D">
            <w:pPr>
              <w:spacing w:line="240" w:lineRule="atLeast"/>
              <w:rPr>
                <w:rFonts w:hint="eastAsia"/>
                <w:sz w:val="20"/>
              </w:rPr>
            </w:pPr>
            <w:r>
              <w:rPr>
                <w:sz w:val="20"/>
              </w:rPr>
              <w:t xml:space="preserve">Original: </w:t>
            </w:r>
            <w:r w:rsidR="007F7879" w:rsidRPr="000C274E">
              <w:rPr>
                <w:sz w:val="20"/>
              </w:rPr>
              <w:t>English</w:t>
            </w:r>
          </w:p>
        </w:tc>
      </w:tr>
    </w:tbl>
    <w:p w:rsidR="003B1A50" w:rsidRPr="00A85E03" w:rsidRDefault="003B1A50" w:rsidP="00A85E03">
      <w:pPr>
        <w:pStyle w:val="SingleTxtGC"/>
        <w:spacing w:before="120"/>
        <w:ind w:left="0" w:right="0"/>
        <w:rPr>
          <w:rFonts w:eastAsia="SimHei"/>
          <w:sz w:val="24"/>
          <w:szCs w:val="24"/>
        </w:rPr>
      </w:pPr>
      <w:r w:rsidRPr="00A85E03">
        <w:rPr>
          <w:rFonts w:eastAsia="SimHei"/>
          <w:sz w:val="24"/>
          <w:szCs w:val="24"/>
        </w:rPr>
        <w:t>经济、社会、文化权利委员会</w:t>
      </w:r>
      <w:r w:rsidRPr="00A85E03">
        <w:rPr>
          <w:rFonts w:eastAsia="SimHei"/>
          <w:noProof/>
          <w:sz w:val="24"/>
          <w:szCs w:val="24"/>
          <w:lang w:eastAsia="en-GB"/>
        </w:rPr>
        <w:pict>
          <v:shape id="_x0000_s1085" style="position:absolute;left:0;text-align:left;margin-left:-8.6pt;margin-top:22.65pt;width:9.45pt;height:4.85pt;z-index:1;mso-position-horizontal-relative:text;mso-position-vertical-relative:text" coordsize="569,292" path="m569,292r-7,-40l561,212r,-42l562,129r-23,1l515,130r-23,-1l468,126r-23,-5l421,116r-25,-6l374,101,352,93,329,85,308,75,286,64,266,54,245,45,226,34,209,23r-7,-6l196,12,188,6,180,r5,10l190,18r6,10l193,38r,1l193,42r-1,1l192,43r-4,4l182,50r-7,2l168,53r-6,l155,53r-7,l140,54r-12,2l115,60r-13,3l87,68,73,72,60,75r-14,l33,70,26,63,19,58,10,56,,53r9,5l17,63r8,7l33,78,46,89r14,11l73,110r13,9l99,127r13,9l125,144r13,8l159,168r23,12l208,194r25,11l259,216r27,11l313,235r30,8l371,252r28,8l429,267r29,7l488,278r27,5l542,288r27,4l569,292xe" stroked="f">
            <v:path arrowok="t"/>
          </v:shape>
        </w:pict>
      </w:r>
    </w:p>
    <w:p w:rsidR="003B1A50" w:rsidRPr="003B1A50" w:rsidRDefault="003B1A50" w:rsidP="00A85E03">
      <w:pPr>
        <w:pStyle w:val="HChGC"/>
      </w:pPr>
      <w:r w:rsidRPr="003B1A50">
        <w:tab/>
      </w:r>
      <w:r w:rsidRPr="003B1A50">
        <w:tab/>
      </w:r>
      <w:r w:rsidRPr="003B1A50">
        <w:t>委员会第五十届会议</w:t>
      </w:r>
      <w:r w:rsidRPr="003B1A50">
        <w:t>(2013</w:t>
      </w:r>
      <w:r w:rsidRPr="003B1A50">
        <w:t>年</w:t>
      </w:r>
      <w:r w:rsidRPr="003B1A50">
        <w:t>4</w:t>
      </w:r>
      <w:r w:rsidRPr="003B1A50">
        <w:t>月</w:t>
      </w:r>
      <w:r w:rsidRPr="003B1A50">
        <w:t>29</w:t>
      </w:r>
      <w:r w:rsidRPr="003B1A50">
        <w:t>日至</w:t>
      </w:r>
      <w:r w:rsidRPr="003B1A50">
        <w:t>5</w:t>
      </w:r>
      <w:r w:rsidRPr="003B1A50">
        <w:t>月</w:t>
      </w:r>
      <w:r w:rsidRPr="003B1A50">
        <w:t>17</w:t>
      </w:r>
      <w:r w:rsidRPr="003B1A50">
        <w:t>日</w:t>
      </w:r>
      <w:r w:rsidRPr="003B1A50">
        <w:t>)</w:t>
      </w:r>
      <w:r w:rsidRPr="003B1A50">
        <w:t>就日本第三次定期报告通过的结论性意见</w:t>
      </w:r>
    </w:p>
    <w:p w:rsidR="003B1A50" w:rsidRPr="003B1A50" w:rsidRDefault="00A85E03" w:rsidP="00A85E03">
      <w:pPr>
        <w:pStyle w:val="SingleTxtGC"/>
      </w:pPr>
      <w:r>
        <w:rPr>
          <w:rFonts w:hint="eastAsia"/>
        </w:rPr>
        <w:t xml:space="preserve">1.  </w:t>
      </w:r>
      <w:r w:rsidR="003B1A50" w:rsidRPr="003B1A50">
        <w:t>经济、社会、文化权利委员会在</w:t>
      </w:r>
      <w:r w:rsidR="003B1A50" w:rsidRPr="003B1A50">
        <w:t>2013</w:t>
      </w:r>
      <w:r w:rsidR="003B1A50" w:rsidRPr="003B1A50">
        <w:t>年</w:t>
      </w:r>
      <w:r w:rsidR="003B1A50" w:rsidRPr="003B1A50">
        <w:t>4</w:t>
      </w:r>
      <w:r w:rsidR="003B1A50" w:rsidRPr="003B1A50">
        <w:t>月</w:t>
      </w:r>
      <w:r w:rsidR="003B1A50" w:rsidRPr="003B1A50">
        <w:t>30</w:t>
      </w:r>
      <w:r w:rsidR="003B1A50" w:rsidRPr="003B1A50">
        <w:t>日举行的第</w:t>
      </w:r>
      <w:r w:rsidR="003B1A50" w:rsidRPr="003B1A50">
        <w:t>3</w:t>
      </w:r>
      <w:r w:rsidR="003B1A50" w:rsidRPr="003B1A50">
        <w:t>和第</w:t>
      </w:r>
      <w:r w:rsidR="003B1A50" w:rsidRPr="003B1A50">
        <w:t>4</w:t>
      </w:r>
      <w:r w:rsidR="003B1A50" w:rsidRPr="003B1A50">
        <w:t>次会议</w:t>
      </w:r>
      <w:r w:rsidR="003B1A50" w:rsidRPr="003B1A50">
        <w:t>(E/C.12/2013/SR.3</w:t>
      </w:r>
      <w:r w:rsidR="009D284D">
        <w:rPr>
          <w:rFonts w:hint="eastAsia"/>
        </w:rPr>
        <w:t>-</w:t>
      </w:r>
      <w:r w:rsidR="003B1A50" w:rsidRPr="003B1A50">
        <w:t>4)</w:t>
      </w:r>
      <w:r w:rsidR="003B1A50" w:rsidRPr="003B1A50">
        <w:t>上审议了日本的第三次定期报告</w:t>
      </w:r>
      <w:r w:rsidR="003B1A50" w:rsidRPr="003B1A50">
        <w:t>(E/C.12/JPN/3)</w:t>
      </w:r>
      <w:r w:rsidR="003B1A50" w:rsidRPr="003B1A50">
        <w:t>，并在</w:t>
      </w:r>
      <w:r w:rsidR="003B1A50" w:rsidRPr="003B1A50">
        <w:t>2013</w:t>
      </w:r>
      <w:r w:rsidR="003B1A50" w:rsidRPr="003B1A50">
        <w:t>年</w:t>
      </w:r>
      <w:r w:rsidR="003B1A50" w:rsidRPr="003B1A50">
        <w:t>5</w:t>
      </w:r>
      <w:r w:rsidR="003B1A50" w:rsidRPr="003B1A50">
        <w:t>月</w:t>
      </w:r>
      <w:r w:rsidR="003B1A50" w:rsidRPr="003B1A50">
        <w:t>17</w:t>
      </w:r>
      <w:r w:rsidR="003B1A50" w:rsidRPr="003B1A50">
        <w:t>日举行的第</w:t>
      </w:r>
      <w:r w:rsidR="003B1A50" w:rsidRPr="003B1A50">
        <w:t>28</w:t>
      </w:r>
      <w:r w:rsidR="003B1A50" w:rsidRPr="003B1A50">
        <w:t>次会议上通过了以下结论性意见。</w:t>
      </w:r>
    </w:p>
    <w:p w:rsidR="003B1A50" w:rsidRPr="003B1A50" w:rsidRDefault="003B1A50" w:rsidP="00A85E03">
      <w:pPr>
        <w:pStyle w:val="H1GC"/>
      </w:pPr>
      <w:r w:rsidRPr="003B1A50">
        <w:tab/>
        <w:t>A.</w:t>
      </w:r>
      <w:r w:rsidRPr="003B1A50">
        <w:tab/>
      </w:r>
      <w:r w:rsidRPr="003B1A50">
        <w:t>导言</w:t>
      </w:r>
    </w:p>
    <w:p w:rsidR="003B1A50" w:rsidRPr="003B1A50" w:rsidRDefault="009D284D" w:rsidP="009D284D">
      <w:pPr>
        <w:pStyle w:val="SingleTxtGC"/>
      </w:pPr>
      <w:r>
        <w:rPr>
          <w:rFonts w:hint="eastAsia"/>
        </w:rPr>
        <w:t xml:space="preserve">2.  </w:t>
      </w:r>
      <w:r w:rsidR="003B1A50" w:rsidRPr="003B1A50">
        <w:t>委员会欢迎日本及时提交第三次定期报告，报告符合委员会的报告准则，并提供了日本执行委员会前一结论性意见提出的一些建议的情况的执行资料。委员会还欢迎提交共同核心文件</w:t>
      </w:r>
      <w:r w:rsidR="003B1A50" w:rsidRPr="003B1A50">
        <w:t>(HRI/CORE/JPN/2012)</w:t>
      </w:r>
      <w:r w:rsidR="003B1A50" w:rsidRPr="003B1A50">
        <w:t>。</w:t>
      </w:r>
    </w:p>
    <w:p w:rsidR="003B1A50" w:rsidRPr="003B1A50" w:rsidRDefault="009D284D" w:rsidP="003B1A50">
      <w:pPr>
        <w:pStyle w:val="SingleTxtGC"/>
        <w:rPr>
          <w:rFonts w:hint="eastAsia"/>
        </w:rPr>
      </w:pPr>
      <w:r>
        <w:rPr>
          <w:rFonts w:hint="eastAsia"/>
        </w:rPr>
        <w:t xml:space="preserve">3.  </w:t>
      </w:r>
      <w:r w:rsidR="003B1A50" w:rsidRPr="003B1A50">
        <w:t>委员会满意地注意到它收到了对问题清单</w:t>
      </w:r>
      <w:r w:rsidR="003B1A50" w:rsidRPr="003B1A50">
        <w:t>(E/C.12/JPN/Q/3/Add.1)</w:t>
      </w:r>
      <w:r w:rsidR="003B1A50" w:rsidRPr="003B1A50">
        <w:t>提出的详细的书面答复，以及与高级别部际代表团举行积极对话。</w:t>
      </w:r>
    </w:p>
    <w:p w:rsidR="003B1A50" w:rsidRPr="003B1A50" w:rsidRDefault="003B1A50" w:rsidP="009D284D">
      <w:pPr>
        <w:pStyle w:val="H1GC"/>
      </w:pPr>
      <w:r w:rsidRPr="003B1A50">
        <w:tab/>
        <w:t>B.</w:t>
      </w:r>
      <w:r w:rsidRPr="003B1A50">
        <w:tab/>
      </w:r>
      <w:r w:rsidRPr="003B1A50">
        <w:t>积极方面</w:t>
      </w:r>
    </w:p>
    <w:p w:rsidR="003B1A50" w:rsidRPr="003B1A50" w:rsidRDefault="009D284D" w:rsidP="003B1A50">
      <w:pPr>
        <w:pStyle w:val="SingleTxtGC"/>
        <w:rPr>
          <w:rFonts w:hint="eastAsia"/>
        </w:rPr>
      </w:pPr>
      <w:r>
        <w:rPr>
          <w:rFonts w:hint="eastAsia"/>
        </w:rPr>
        <w:t xml:space="preserve">4.  </w:t>
      </w:r>
      <w:r w:rsidR="003B1A50" w:rsidRPr="003B1A50">
        <w:t>委员会</w:t>
      </w:r>
      <w:r w:rsidR="003B1A50" w:rsidRPr="003B1A50">
        <w:rPr>
          <w:lang w:val="fr-FR"/>
        </w:rPr>
        <w:t>欢迎自</w:t>
      </w:r>
      <w:r w:rsidR="003B1A50" w:rsidRPr="003B1A50">
        <w:t>2001</w:t>
      </w:r>
      <w:r w:rsidR="003B1A50" w:rsidRPr="003B1A50">
        <w:t>年最后一次对话以来</w:t>
      </w:r>
      <w:r w:rsidR="003B1A50" w:rsidRPr="003B1A50">
        <w:rPr>
          <w:lang w:val="fr-FR"/>
        </w:rPr>
        <w:t>缔约国批准了下列文书</w:t>
      </w:r>
      <w:r w:rsidR="003B1A50">
        <w:t>：</w:t>
      </w:r>
    </w:p>
    <w:p w:rsidR="003B1A50" w:rsidRPr="003B1A50" w:rsidRDefault="003B1A50" w:rsidP="009D284D">
      <w:pPr>
        <w:pStyle w:val="SingleTxtGC"/>
        <w:numPr>
          <w:ilvl w:val="0"/>
          <w:numId w:val="6"/>
        </w:numPr>
      </w:pPr>
      <w:r w:rsidRPr="003B1A50">
        <w:rPr>
          <w:lang w:val="fr-FR"/>
        </w:rPr>
        <w:t>《</w:t>
      </w:r>
      <w:r w:rsidRPr="003B1A50">
        <w:t>儿童权利</w:t>
      </w:r>
      <w:r w:rsidRPr="003B1A50">
        <w:rPr>
          <w:rStyle w:val="atn"/>
          <w:rFonts w:hAnsi="Arial"/>
          <w:color w:val="333333"/>
          <w:szCs w:val="21"/>
        </w:rPr>
        <w:t>公约</w:t>
      </w:r>
      <w:r w:rsidRPr="003B1A50">
        <w:t>关于买卖儿童、儿童卖淫和儿童色情制品问题的任择议定书》和《关于儿童卷入武装冲突问题的任择议定书》，分别于</w:t>
      </w:r>
      <w:r w:rsidRPr="003B1A50">
        <w:t>2005</w:t>
      </w:r>
      <w:r w:rsidRPr="003B1A50">
        <w:t>年</w:t>
      </w:r>
      <w:r w:rsidRPr="003B1A50">
        <w:t>1</w:t>
      </w:r>
      <w:r w:rsidRPr="003B1A50">
        <w:t>月</w:t>
      </w:r>
      <w:r w:rsidRPr="003B1A50">
        <w:t>24</w:t>
      </w:r>
      <w:r w:rsidRPr="003B1A50">
        <w:t>日和</w:t>
      </w:r>
      <w:r w:rsidRPr="003B1A50">
        <w:t>2004</w:t>
      </w:r>
      <w:r w:rsidRPr="003B1A50">
        <w:t>年</w:t>
      </w:r>
      <w:r w:rsidRPr="003B1A50">
        <w:t>8</w:t>
      </w:r>
      <w:r w:rsidRPr="003B1A50">
        <w:t>月</w:t>
      </w:r>
      <w:r w:rsidRPr="003B1A50">
        <w:t>2</w:t>
      </w:r>
      <w:r w:rsidRPr="003B1A50">
        <w:t>日批准</w:t>
      </w:r>
      <w:r>
        <w:t>；</w:t>
      </w:r>
    </w:p>
    <w:p w:rsidR="003B1A50" w:rsidRPr="003B1A50" w:rsidRDefault="003B1A50" w:rsidP="009D284D">
      <w:pPr>
        <w:pStyle w:val="SingleTxtGC"/>
        <w:numPr>
          <w:ilvl w:val="0"/>
          <w:numId w:val="6"/>
        </w:numPr>
      </w:pPr>
      <w:r w:rsidRPr="003B1A50">
        <w:t>《保护所有人免遭强迫失踪国际公约》，</w:t>
      </w:r>
      <w:r w:rsidRPr="003B1A50">
        <w:t>2009</w:t>
      </w:r>
      <w:r w:rsidRPr="003B1A50">
        <w:t>年</w:t>
      </w:r>
      <w:r w:rsidRPr="003B1A50">
        <w:t>7</w:t>
      </w:r>
      <w:r w:rsidRPr="003B1A50">
        <w:t>月</w:t>
      </w:r>
      <w:r w:rsidRPr="003B1A50">
        <w:t>23</w:t>
      </w:r>
      <w:r w:rsidRPr="003B1A50">
        <w:t>日批准。</w:t>
      </w:r>
    </w:p>
    <w:p w:rsidR="003B1A50" w:rsidRPr="003B1A50" w:rsidRDefault="009D284D" w:rsidP="003B1A50">
      <w:pPr>
        <w:pStyle w:val="SingleTxtGC"/>
      </w:pPr>
      <w:r>
        <w:rPr>
          <w:rFonts w:hint="eastAsia"/>
        </w:rPr>
        <w:t xml:space="preserve">5.  </w:t>
      </w:r>
      <w:r w:rsidR="003B1A50" w:rsidRPr="003B1A50">
        <w:t>委员会满意地注意到缔约国撤销对《经济、社会、文化权利国际公约》关于逐步提供免费教育的第十三条第二款</w:t>
      </w:r>
      <w:r w:rsidR="003B1A50" w:rsidRPr="003B1A50">
        <w:t>(</w:t>
      </w:r>
      <w:r w:rsidR="003B1A50" w:rsidRPr="003B1A50">
        <w:t>乙</w:t>
      </w:r>
      <w:r w:rsidR="005E376C">
        <w:t>)</w:t>
      </w:r>
      <w:r w:rsidR="003B1A50" w:rsidRPr="003B1A50">
        <w:t>和</w:t>
      </w:r>
      <w:r w:rsidR="003B1A50" w:rsidRPr="003B1A50">
        <w:t>(</w:t>
      </w:r>
      <w:r w:rsidR="003B1A50" w:rsidRPr="003B1A50">
        <w:t>丙</w:t>
      </w:r>
      <w:r w:rsidR="005E376C">
        <w:t>)</w:t>
      </w:r>
      <w:r w:rsidR="003B1A50" w:rsidRPr="003B1A50">
        <w:t>项的保留。</w:t>
      </w:r>
    </w:p>
    <w:p w:rsidR="003B1A50" w:rsidRPr="003B1A50" w:rsidRDefault="009D284D" w:rsidP="003B1A50">
      <w:pPr>
        <w:pStyle w:val="SingleTxtGC"/>
      </w:pPr>
      <w:r>
        <w:rPr>
          <w:rFonts w:hint="eastAsia"/>
        </w:rPr>
        <w:t xml:space="preserve">6.  </w:t>
      </w:r>
      <w:r w:rsidR="003B1A50" w:rsidRPr="003B1A50">
        <w:t>委员会满意地注意到缔约国努力促进落实经济、社会和文化权利，其中包括</w:t>
      </w:r>
      <w:r w:rsidR="003B1A50">
        <w:t>：</w:t>
      </w:r>
    </w:p>
    <w:p w:rsidR="005E376C" w:rsidRPr="00DA48B6" w:rsidRDefault="005E376C" w:rsidP="005E376C">
      <w:pPr>
        <w:pStyle w:val="SingleTxtGC"/>
        <w:numPr>
          <w:ilvl w:val="0"/>
          <w:numId w:val="10"/>
        </w:numPr>
      </w:pPr>
      <w:r w:rsidRPr="00DA48B6">
        <w:t>承认阿伊努人为少数人民；</w:t>
      </w:r>
    </w:p>
    <w:p w:rsidR="005E376C" w:rsidRPr="00DA48B6" w:rsidRDefault="005E376C" w:rsidP="005E376C">
      <w:pPr>
        <w:pStyle w:val="SingleTxtGC"/>
        <w:numPr>
          <w:ilvl w:val="0"/>
          <w:numId w:val="10"/>
        </w:numPr>
      </w:pPr>
      <w:r w:rsidRPr="00DA48B6">
        <w:t>实施直至中等教育的教育免学费；</w:t>
      </w:r>
    </w:p>
    <w:p w:rsidR="005E376C" w:rsidRPr="00DA48B6" w:rsidRDefault="005E376C" w:rsidP="005E376C">
      <w:pPr>
        <w:pStyle w:val="SingleTxtGC"/>
        <w:numPr>
          <w:ilvl w:val="0"/>
          <w:numId w:val="10"/>
        </w:numPr>
      </w:pPr>
      <w:r w:rsidRPr="00DA48B6">
        <w:t>实施将儿童照料轮候名单的人数减至零的战略；</w:t>
      </w:r>
    </w:p>
    <w:p w:rsidR="005E376C" w:rsidRPr="00DA48B6" w:rsidRDefault="005E376C" w:rsidP="005E376C">
      <w:pPr>
        <w:pStyle w:val="SingleTxtGC"/>
        <w:numPr>
          <w:ilvl w:val="0"/>
          <w:numId w:val="10"/>
        </w:numPr>
      </w:pPr>
      <w:r w:rsidRPr="00DA48B6">
        <w:t>修订《国籍法》，该法已于</w:t>
      </w:r>
      <w:r w:rsidRPr="00DA48B6">
        <w:t>2009</w:t>
      </w:r>
      <w:r w:rsidRPr="00DA48B6">
        <w:t>年生效，目前非婚生子女可以获得日本籍父亲的国籍。</w:t>
      </w:r>
    </w:p>
    <w:p w:rsidR="003B1A50" w:rsidRPr="003B1A50" w:rsidRDefault="003B1A50" w:rsidP="00E00E26">
      <w:pPr>
        <w:pStyle w:val="H1GC"/>
      </w:pPr>
      <w:r w:rsidRPr="003B1A50">
        <w:tab/>
        <w:t>C.</w:t>
      </w:r>
      <w:r w:rsidRPr="003B1A50">
        <w:tab/>
      </w:r>
      <w:r w:rsidRPr="003B1A50">
        <w:t>主要关注问题和建议</w:t>
      </w:r>
    </w:p>
    <w:p w:rsidR="003B1A50" w:rsidRPr="003B1A50" w:rsidRDefault="00E00E26" w:rsidP="00E00E26">
      <w:pPr>
        <w:pStyle w:val="SingleTxtGC"/>
      </w:pPr>
      <w:r>
        <w:rPr>
          <w:rFonts w:hint="eastAsia"/>
        </w:rPr>
        <w:t xml:space="preserve">7.  </w:t>
      </w:r>
      <w:r w:rsidR="003B1A50" w:rsidRPr="003B1A50">
        <w:t>委员会重申其以往的关注，事关缔约国还没促使</w:t>
      </w:r>
      <w:r w:rsidR="003B1A50" w:rsidRPr="003B1A50">
        <w:rPr>
          <w:rStyle w:val="atn"/>
          <w:rFonts w:hAnsi="Arial"/>
          <w:color w:val="333333"/>
          <w:szCs w:val="21"/>
        </w:rPr>
        <w:t>《公约》</w:t>
      </w:r>
      <w:r w:rsidR="003B1A50" w:rsidRPr="003B1A50">
        <w:t>规定在国内法律秩序中执行。这种情况导致缔约国法院在判决中指出，</w:t>
      </w:r>
      <w:r w:rsidR="003B1A50" w:rsidRPr="003B1A50">
        <w:rPr>
          <w:rStyle w:val="atn"/>
          <w:rFonts w:hAnsi="Arial"/>
          <w:color w:val="333333"/>
          <w:szCs w:val="21"/>
        </w:rPr>
        <w:t>《公约》</w:t>
      </w:r>
      <w:r w:rsidR="003B1A50" w:rsidRPr="003B1A50">
        <w:t>规定不适用。委员会还关注的是，缔约国将《公约》义务解读为非立即履行的义务</w:t>
      </w:r>
      <w:r w:rsidR="003B1A50" w:rsidRPr="003B1A50">
        <w:rPr>
          <w:rStyle w:val="atn"/>
          <w:rFonts w:hAnsi="Arial"/>
          <w:color w:val="333333"/>
          <w:szCs w:val="21"/>
        </w:rPr>
        <w:t>。</w:t>
      </w:r>
      <w:r w:rsidR="003B1A50" w:rsidRPr="003B1A50">
        <w:t>(</w:t>
      </w:r>
      <w:r w:rsidR="003B1A50" w:rsidRPr="003B1A50">
        <w:t>第二条第一款</w:t>
      </w:r>
      <w:r w:rsidR="003B1A50" w:rsidRPr="003B1A50">
        <w:t>)</w:t>
      </w:r>
      <w:r w:rsidR="003B1A50" w:rsidRPr="003B1A50">
        <w:t>。</w:t>
      </w:r>
    </w:p>
    <w:p w:rsidR="003B1A50" w:rsidRPr="00E00E26" w:rsidRDefault="003B1A50" w:rsidP="00E00E26">
      <w:pPr>
        <w:pStyle w:val="SingleTxtGC"/>
        <w:rPr>
          <w:rFonts w:eastAsia="SimHei"/>
        </w:rPr>
      </w:pPr>
      <w:r w:rsidRPr="00E00E26">
        <w:rPr>
          <w:rFonts w:eastAsia="SimHei"/>
        </w:rPr>
        <w:t>委员会敦促缔约国采取必要的措施，在其国内法律秩序中全面落实</w:t>
      </w:r>
      <w:r w:rsidRPr="00E00E26">
        <w:rPr>
          <w:rStyle w:val="atn"/>
          <w:rFonts w:eastAsia="SimHei" w:hAnsi="Arial"/>
          <w:b/>
          <w:color w:val="333333"/>
          <w:szCs w:val="21"/>
        </w:rPr>
        <w:t>《公约》</w:t>
      </w:r>
      <w:r w:rsidRPr="00E00E26">
        <w:rPr>
          <w:rFonts w:eastAsia="SimHei"/>
        </w:rPr>
        <w:t>，包括在缔约国认为《公约》规定不能自动落实时，制定相关的法律。在这方面，委员会请缔约国缔约国参照委员会关于《公约》在国内的适用的第</w:t>
      </w:r>
      <w:r w:rsidRPr="00E00E26">
        <w:rPr>
          <w:rFonts w:eastAsia="SimHei"/>
        </w:rPr>
        <w:t>9</w:t>
      </w:r>
      <w:r w:rsidRPr="00E00E26">
        <w:rPr>
          <w:rFonts w:eastAsia="SimHei"/>
        </w:rPr>
        <w:t>号一般性意见</w:t>
      </w:r>
      <w:r w:rsidRPr="00E00E26">
        <w:rPr>
          <w:rFonts w:eastAsia="SimHei"/>
        </w:rPr>
        <w:t>(1998</w:t>
      </w:r>
      <w:r w:rsidRPr="00E00E26">
        <w:rPr>
          <w:rFonts w:eastAsia="SimHei"/>
        </w:rPr>
        <w:t>年</w:t>
      </w:r>
      <w:r w:rsidRPr="00E00E26">
        <w:rPr>
          <w:rFonts w:eastAsia="SimHei"/>
        </w:rPr>
        <w:t>)</w:t>
      </w:r>
      <w:r w:rsidRPr="00E00E26">
        <w:rPr>
          <w:rFonts w:eastAsia="SimHei"/>
        </w:rPr>
        <w:t>。</w:t>
      </w:r>
    </w:p>
    <w:p w:rsidR="003B1A50" w:rsidRPr="005E376C" w:rsidRDefault="003B1A50" w:rsidP="00E00E26">
      <w:pPr>
        <w:pStyle w:val="SingleTxtGC"/>
        <w:rPr>
          <w:rFonts w:eastAsia="SimHei" w:hint="eastAsia"/>
          <w:b/>
          <w:color w:val="333333"/>
          <w:szCs w:val="21"/>
        </w:rPr>
      </w:pPr>
      <w:r w:rsidRPr="00E00E26">
        <w:rPr>
          <w:rFonts w:eastAsia="SimHei"/>
        </w:rPr>
        <w:t>此外，委员会提到其关于缔约国义务的性质的第</w:t>
      </w:r>
      <w:r w:rsidRPr="00E00E26">
        <w:rPr>
          <w:rFonts w:eastAsia="SimHei"/>
        </w:rPr>
        <w:t>3</w:t>
      </w:r>
      <w:r w:rsidRPr="00E00E26">
        <w:rPr>
          <w:rFonts w:eastAsia="SimHei"/>
        </w:rPr>
        <w:t>号一般性意见</w:t>
      </w:r>
      <w:r w:rsidRPr="00E00E26">
        <w:rPr>
          <w:rFonts w:eastAsia="SimHei"/>
        </w:rPr>
        <w:t>(1990</w:t>
      </w:r>
      <w:r w:rsidRPr="00E00E26">
        <w:rPr>
          <w:rFonts w:eastAsia="SimHei"/>
        </w:rPr>
        <w:t>年</w:t>
      </w:r>
      <w:r w:rsidRPr="00E00E26">
        <w:rPr>
          <w:rFonts w:eastAsia="SimHei"/>
        </w:rPr>
        <w:t>)</w:t>
      </w:r>
      <w:r w:rsidRPr="00E00E26">
        <w:rPr>
          <w:rFonts w:eastAsia="SimHei"/>
        </w:rPr>
        <w:t>，委员会提醒缔约国，《公约》规定的权利具有立即生效的最低限度核心义务，而</w:t>
      </w:r>
      <w:r w:rsidR="005E376C">
        <w:rPr>
          <w:rFonts w:eastAsia="SimHei" w:hint="eastAsia"/>
        </w:rPr>
        <w:t>“</w:t>
      </w:r>
      <w:r w:rsidRPr="00E00E26">
        <w:rPr>
          <w:rFonts w:eastAsia="SimHei"/>
        </w:rPr>
        <w:t>逐步实现</w:t>
      </w:r>
      <w:r w:rsidR="005E376C">
        <w:rPr>
          <w:rStyle w:val="atn"/>
          <w:rFonts w:eastAsia="SimHei" w:hint="eastAsia"/>
          <w:b/>
          <w:color w:val="333333"/>
          <w:szCs w:val="21"/>
        </w:rPr>
        <w:t>”</w:t>
      </w:r>
      <w:r w:rsidRPr="00E00E26">
        <w:rPr>
          <w:rStyle w:val="atn"/>
          <w:rFonts w:eastAsia="SimHei" w:hAnsi="Arial"/>
          <w:b/>
          <w:color w:val="333333"/>
          <w:szCs w:val="21"/>
        </w:rPr>
        <w:t>一词规定应</w:t>
      </w:r>
      <w:r w:rsidRPr="00E00E26">
        <w:rPr>
          <w:rFonts w:eastAsia="SimHei"/>
        </w:rPr>
        <w:t>尽快和有效地全面实现《公约》规定的权利的义务。</w:t>
      </w:r>
    </w:p>
    <w:p w:rsidR="003B1A50" w:rsidRPr="00E00E26" w:rsidRDefault="003B1A50" w:rsidP="00E00E26">
      <w:pPr>
        <w:pStyle w:val="SingleTxtGC"/>
        <w:rPr>
          <w:rFonts w:eastAsia="SimHei"/>
        </w:rPr>
      </w:pPr>
      <w:r w:rsidRPr="00E00E26">
        <w:rPr>
          <w:rFonts w:eastAsia="SimHei"/>
        </w:rPr>
        <w:t>委员会还呼吁缔约国，确保日本法律培训和研究所的课程以及司法专业人员和律师培训计划充分涵盖经济、社会和文化权利的可司法性问题，同时铭记委员会的判例和一般性意见。</w:t>
      </w:r>
    </w:p>
    <w:p w:rsidR="003B1A50" w:rsidRPr="003B1A50" w:rsidRDefault="00E00E26" w:rsidP="003B1A50">
      <w:pPr>
        <w:pStyle w:val="SingleTxtGC"/>
        <w:rPr>
          <w:rFonts w:hint="eastAsia"/>
        </w:rPr>
      </w:pPr>
      <w:r>
        <w:rPr>
          <w:rFonts w:hint="eastAsia"/>
        </w:rPr>
        <w:t xml:space="preserve">8.  </w:t>
      </w:r>
      <w:r w:rsidR="003B1A50" w:rsidRPr="003B1A50">
        <w:t>委员会遗憾地注意到，缔约国尚未设立国家人权机构。</w:t>
      </w:r>
    </w:p>
    <w:p w:rsidR="003B1A50" w:rsidRPr="003B1A50" w:rsidRDefault="003B1A50" w:rsidP="003B1A50">
      <w:pPr>
        <w:pStyle w:val="SingleTxtGC"/>
      </w:pPr>
      <w:r w:rsidRPr="003B1A50">
        <w:rPr>
          <w:rFonts w:eastAsia="SimHei"/>
        </w:rPr>
        <w:t>委员会重其申原先的建议，促请缔约国迅速依照《巴黎原则》建立一个国家人权机构。委员会请缔约国参照委员会关于国家人权机构在保护经济、社会和文化权利方面的作用的第</w:t>
      </w:r>
      <w:r w:rsidRPr="003B1A50">
        <w:rPr>
          <w:rFonts w:eastAsia="SimHei"/>
        </w:rPr>
        <w:t>10</w:t>
      </w:r>
      <w:r w:rsidRPr="003B1A50">
        <w:rPr>
          <w:rFonts w:eastAsia="SimHei"/>
        </w:rPr>
        <w:t>号一般性意见</w:t>
      </w:r>
      <w:r w:rsidRPr="003B1A50">
        <w:rPr>
          <w:rFonts w:eastAsia="SimHei"/>
        </w:rPr>
        <w:t>(1998</w:t>
      </w:r>
      <w:r w:rsidRPr="003B1A50">
        <w:rPr>
          <w:rFonts w:eastAsia="SimHei"/>
        </w:rPr>
        <w:t>年</w:t>
      </w:r>
      <w:r w:rsidRPr="003B1A50">
        <w:rPr>
          <w:rFonts w:eastAsia="SimHei"/>
        </w:rPr>
        <w:t>)</w:t>
      </w:r>
      <w:r w:rsidRPr="003B1A50">
        <w:t>。</w:t>
      </w:r>
    </w:p>
    <w:p w:rsidR="003B1A50" w:rsidRPr="003B1A50" w:rsidRDefault="00E00E26" w:rsidP="003B1A50">
      <w:pPr>
        <w:pStyle w:val="SingleTxtGC"/>
      </w:pPr>
      <w:r>
        <w:rPr>
          <w:rFonts w:hint="eastAsia"/>
        </w:rPr>
        <w:t xml:space="preserve">9.  </w:t>
      </w:r>
      <w:r w:rsidR="003B1A50" w:rsidRPr="003B1A50">
        <w:t>委员会关注地注意到，社会援助预算大幅削减，对经济和社会权利的享有造成不良影响，尤其是对处境不利和被排斥的人口群体而言</w:t>
      </w:r>
      <w:r w:rsidR="003B1A50" w:rsidRPr="003B1A50">
        <w:t>(</w:t>
      </w:r>
      <w:r w:rsidR="003B1A50" w:rsidRPr="003B1A50">
        <w:t>第二条第一款、第二条二款、第九条和第十一条</w:t>
      </w:r>
      <w:r w:rsidR="003B1A50" w:rsidRPr="003B1A50">
        <w:t>)</w:t>
      </w:r>
      <w:r w:rsidR="003B1A50" w:rsidRPr="003B1A50">
        <w:t>。</w:t>
      </w:r>
    </w:p>
    <w:p w:rsidR="003B1A50" w:rsidRPr="00E00E26" w:rsidRDefault="003B1A50" w:rsidP="00E00E26">
      <w:pPr>
        <w:pStyle w:val="SingleTxtGC"/>
        <w:rPr>
          <w:rFonts w:eastAsia="SimHei"/>
        </w:rPr>
      </w:pPr>
      <w:r w:rsidRPr="00E00E26">
        <w:rPr>
          <w:rFonts w:eastAsia="SimHei"/>
        </w:rPr>
        <w:t>委员会回顾其关于缔约国义务的性质的第</w:t>
      </w:r>
      <w:r w:rsidRPr="00E00E26">
        <w:rPr>
          <w:rFonts w:eastAsia="SimHei"/>
        </w:rPr>
        <w:t>3</w:t>
      </w:r>
      <w:r w:rsidRPr="00E00E26">
        <w:rPr>
          <w:rFonts w:eastAsia="SimHei"/>
        </w:rPr>
        <w:t>号一般性意见</w:t>
      </w:r>
      <w:r w:rsidRPr="00E00E26">
        <w:rPr>
          <w:rFonts w:eastAsia="SimHei"/>
        </w:rPr>
        <w:t>(1998</w:t>
      </w:r>
      <w:r w:rsidRPr="00E00E26">
        <w:rPr>
          <w:rFonts w:eastAsia="SimHei"/>
        </w:rPr>
        <w:t>年</w:t>
      </w:r>
      <w:r w:rsidRPr="00E00E26">
        <w:rPr>
          <w:rFonts w:eastAsia="SimHei"/>
        </w:rPr>
        <w:t>)</w:t>
      </w:r>
      <w:r w:rsidRPr="00E00E26">
        <w:rPr>
          <w:rFonts w:eastAsia="SimHei"/>
        </w:rPr>
        <w:t>，呼吁缔约国确保只有在充分利用了所有可能的资源的情况下才采取倒退措施。此外，委员会呼吁缔约国监测削减社会福利对《公约》规定的权利的享有人的影响。委员会还提请缔约国注意关于社会保障的权利的第</w:t>
      </w:r>
      <w:r w:rsidRPr="00E00E26">
        <w:rPr>
          <w:rFonts w:eastAsia="SimHei"/>
        </w:rPr>
        <w:t>19</w:t>
      </w:r>
      <w:r w:rsidRPr="00E00E26">
        <w:rPr>
          <w:rFonts w:eastAsia="SimHei"/>
        </w:rPr>
        <w:t>号一般性意见</w:t>
      </w:r>
      <w:r w:rsidRPr="00E00E26">
        <w:rPr>
          <w:rFonts w:eastAsia="SimHei"/>
        </w:rPr>
        <w:t>(2007</w:t>
      </w:r>
      <w:r w:rsidRPr="00E00E26">
        <w:rPr>
          <w:rFonts w:eastAsia="SimHei"/>
        </w:rPr>
        <w:t>年</w:t>
      </w:r>
      <w:r w:rsidRPr="00E00E26">
        <w:rPr>
          <w:rFonts w:eastAsia="SimHei"/>
        </w:rPr>
        <w:t>)</w:t>
      </w:r>
      <w:r w:rsidRPr="00E00E26">
        <w:rPr>
          <w:rFonts w:eastAsia="SimHei"/>
        </w:rPr>
        <w:t>第</w:t>
      </w:r>
      <w:r w:rsidRPr="00E00E26">
        <w:rPr>
          <w:rFonts w:eastAsia="SimHei"/>
        </w:rPr>
        <w:t>42</w:t>
      </w:r>
      <w:r w:rsidRPr="00E00E26">
        <w:rPr>
          <w:rFonts w:eastAsia="SimHei"/>
        </w:rPr>
        <w:t>段，以及</w:t>
      </w:r>
      <w:r w:rsidRPr="00E00E26">
        <w:rPr>
          <w:rFonts w:eastAsia="SimHei"/>
        </w:rPr>
        <w:t>2012</w:t>
      </w:r>
      <w:r w:rsidRPr="00E00E26">
        <w:rPr>
          <w:rFonts w:eastAsia="SimHei"/>
        </w:rPr>
        <w:t>年</w:t>
      </w:r>
      <w:r w:rsidRPr="00E00E26">
        <w:rPr>
          <w:rFonts w:eastAsia="SimHei"/>
        </w:rPr>
        <w:t>5</w:t>
      </w:r>
      <w:r w:rsidRPr="00E00E26">
        <w:rPr>
          <w:rFonts w:eastAsia="SimHei"/>
        </w:rPr>
        <w:t>月</w:t>
      </w:r>
      <w:r w:rsidRPr="00E00E26">
        <w:rPr>
          <w:rFonts w:eastAsia="SimHei"/>
        </w:rPr>
        <w:t>16</w:t>
      </w:r>
      <w:r w:rsidRPr="00E00E26">
        <w:rPr>
          <w:rFonts w:eastAsia="SimHei"/>
        </w:rPr>
        <w:t>日委员会主席就全球经济和金融危机中《公约》义务问题致缔约国的信。</w:t>
      </w:r>
    </w:p>
    <w:p w:rsidR="003B1A50" w:rsidRPr="003B1A50" w:rsidRDefault="00E00E26" w:rsidP="00E00E26">
      <w:pPr>
        <w:pStyle w:val="SingleTxtGC"/>
      </w:pPr>
      <w:r>
        <w:rPr>
          <w:rFonts w:hint="eastAsia"/>
        </w:rPr>
        <w:t xml:space="preserve">10.  </w:t>
      </w:r>
      <w:r w:rsidR="003B1A50" w:rsidRPr="003B1A50">
        <w:t>委员会关注地注意到，就《公约》而言，缔约国法律仍然继续存在歧视妇女、非婚生子女和同性伴侣的规定，尽管缔约国在修订法律时，已努力确保遵守《公约》义务</w:t>
      </w:r>
      <w:r w:rsidR="003B1A50" w:rsidRPr="003B1A50">
        <w:t xml:space="preserve"> (</w:t>
      </w:r>
      <w:r w:rsidR="003B1A50" w:rsidRPr="003B1A50">
        <w:t>第二</w:t>
      </w:r>
      <w:r w:rsidR="003B1A50" w:rsidRPr="003B1A50">
        <w:t xml:space="preserve"> </w:t>
      </w:r>
      <w:r w:rsidR="003B1A50" w:rsidRPr="003B1A50">
        <w:t>条</w:t>
      </w:r>
      <w:r w:rsidR="003B1A50" w:rsidRPr="003B1A50">
        <w:t xml:space="preserve"> </w:t>
      </w:r>
      <w:r w:rsidR="003B1A50" w:rsidRPr="003B1A50">
        <w:t>第二款</w:t>
      </w:r>
      <w:r w:rsidR="003B1A50" w:rsidRPr="003B1A50">
        <w:t>)</w:t>
      </w:r>
      <w:r w:rsidR="003B1A50" w:rsidRPr="003B1A50">
        <w:t>。</w:t>
      </w:r>
    </w:p>
    <w:p w:rsidR="003B1A50" w:rsidRPr="00E00E26" w:rsidRDefault="003B1A50" w:rsidP="00E00E26">
      <w:pPr>
        <w:pStyle w:val="SingleTxtGC"/>
        <w:rPr>
          <w:rFonts w:eastAsia="SimHei"/>
        </w:rPr>
      </w:pPr>
      <w:r w:rsidRPr="00E00E26">
        <w:rPr>
          <w:rFonts w:eastAsia="SimHei"/>
        </w:rPr>
        <w:t>委员会敦促缔约国进行全面审查，并在必要时，修订其法律，以确保法律在《公约》的行使和享有方面不直接或间接地造成歧视。</w:t>
      </w:r>
    </w:p>
    <w:p w:rsidR="003B1A50" w:rsidRPr="003B1A50" w:rsidRDefault="00E00E26" w:rsidP="00E00E26">
      <w:pPr>
        <w:pStyle w:val="SingleTxtGC"/>
      </w:pPr>
      <w:r>
        <w:rPr>
          <w:rFonts w:hint="eastAsia"/>
        </w:rPr>
        <w:t xml:space="preserve">11.  </w:t>
      </w:r>
      <w:r w:rsidR="003B1A50" w:rsidRPr="003B1A50">
        <w:t>委员会关注地注意到，缔约国的法律没有提供充分保护，防范基于《</w:t>
      </w:r>
      <w:r w:rsidR="003B1A50" w:rsidRPr="003B1A50">
        <w:rPr>
          <w:rStyle w:val="atn"/>
          <w:rFonts w:hAnsi="Arial"/>
          <w:color w:val="333333"/>
          <w:szCs w:val="21"/>
        </w:rPr>
        <w:t>公约》</w:t>
      </w:r>
      <w:r w:rsidR="003B1A50" w:rsidRPr="003B1A50">
        <w:t>所禁止的理由的歧视，尽管在就业等领域定有关于不歧视的法律规定</w:t>
      </w:r>
      <w:r w:rsidR="003B1A50" w:rsidRPr="003B1A50">
        <w:t>(</w:t>
      </w:r>
      <w:r w:rsidR="003B1A50" w:rsidRPr="003B1A50">
        <w:t>第二条第二款</w:t>
      </w:r>
      <w:r w:rsidR="003B1A50" w:rsidRPr="003B1A50">
        <w:t>)</w:t>
      </w:r>
      <w:r w:rsidR="003B1A50" w:rsidRPr="003B1A50">
        <w:t>。</w:t>
      </w:r>
    </w:p>
    <w:p w:rsidR="003B1A50" w:rsidRPr="00E00E26" w:rsidRDefault="003B1A50" w:rsidP="00E00E26">
      <w:pPr>
        <w:pStyle w:val="SingleTxtGC"/>
        <w:rPr>
          <w:rFonts w:eastAsia="SimHei"/>
        </w:rPr>
      </w:pPr>
      <w:r w:rsidRPr="00E00E26">
        <w:rPr>
          <w:rFonts w:eastAsia="SimHei"/>
        </w:rPr>
        <w:t>委员会呼吁缔约国，确保其法律根据</w:t>
      </w:r>
      <w:r w:rsidRPr="00E00E26">
        <w:rPr>
          <w:rStyle w:val="atn"/>
          <w:rFonts w:eastAsia="SimHei" w:hAnsi="Arial"/>
          <w:color w:val="333333"/>
          <w:szCs w:val="21"/>
        </w:rPr>
        <w:t>《公约》</w:t>
      </w:r>
      <w:r w:rsidRPr="00E00E26">
        <w:rPr>
          <w:rFonts w:eastAsia="SimHei"/>
        </w:rPr>
        <w:t>规定有效地禁止和制裁在经济、社会和文化权利领域的所有歧视。在这方面，委员会鼓励缔约国通过全面的非歧视法律，旨在消除正式和实质性歧视，并规定执行特别措施。委员会还请缔约国参照其关于在经济、社会和文化权利方面不歧视的第</w:t>
      </w:r>
      <w:r w:rsidRPr="00E00E26">
        <w:rPr>
          <w:rFonts w:eastAsia="SimHei"/>
        </w:rPr>
        <w:t>20</w:t>
      </w:r>
      <w:r w:rsidRPr="00E00E26">
        <w:rPr>
          <w:rFonts w:eastAsia="SimHei"/>
        </w:rPr>
        <w:t>号一般性意见第</w:t>
      </w:r>
      <w:r w:rsidRPr="00E00E26">
        <w:rPr>
          <w:rFonts w:eastAsia="SimHei"/>
        </w:rPr>
        <w:t>20</w:t>
      </w:r>
      <w:r w:rsidRPr="00E00E26">
        <w:rPr>
          <w:rFonts w:eastAsia="SimHei"/>
        </w:rPr>
        <w:t>号</w:t>
      </w:r>
      <w:r w:rsidRPr="00E00E26">
        <w:rPr>
          <w:rFonts w:eastAsia="SimHei"/>
        </w:rPr>
        <w:t>(2009</w:t>
      </w:r>
      <w:r w:rsidRPr="00E00E26">
        <w:rPr>
          <w:rFonts w:eastAsia="SimHei"/>
        </w:rPr>
        <w:t>年</w:t>
      </w:r>
      <w:r w:rsidRPr="00E00E26">
        <w:rPr>
          <w:rFonts w:eastAsia="SimHei"/>
        </w:rPr>
        <w:t>)</w:t>
      </w:r>
      <w:r w:rsidRPr="00E00E26">
        <w:rPr>
          <w:rFonts w:eastAsia="SimHei"/>
        </w:rPr>
        <w:t>。</w:t>
      </w:r>
    </w:p>
    <w:p w:rsidR="003B1A50" w:rsidRPr="003B1A50" w:rsidRDefault="00E00E26" w:rsidP="00E00E26">
      <w:pPr>
        <w:pStyle w:val="SingleTxtGC"/>
      </w:pPr>
      <w:r>
        <w:rPr>
          <w:rFonts w:hint="eastAsia"/>
        </w:rPr>
        <w:t xml:space="preserve">12.  </w:t>
      </w:r>
      <w:r w:rsidR="003B1A50" w:rsidRPr="003B1A50">
        <w:t>委员会关切地注意到，缔约国的就业法未能提供充分的保护，防范基于残疾的歧视。此外，委员会关注的是，法律没有规定工作场所在必要时必须提供合理便利的义务。委员会还关注地注意到，尽管采取了诸如改善工作无障碍的措施，残疾人仍然遭到事实上的就业歧视，包括以不符合标准的条件将他们安置于保护性就业</w:t>
      </w:r>
      <w:r w:rsidR="003B1A50" w:rsidRPr="003B1A50">
        <w:t>(</w:t>
      </w:r>
      <w:r w:rsidR="003B1A50" w:rsidRPr="003B1A50">
        <w:t>第二条第二款</w:t>
      </w:r>
      <w:r w:rsidR="003B1A50" w:rsidRPr="003B1A50">
        <w:t>)</w:t>
      </w:r>
      <w:r w:rsidR="003B1A50" w:rsidRPr="003B1A50">
        <w:t>。</w:t>
      </w:r>
    </w:p>
    <w:p w:rsidR="003B1A50" w:rsidRDefault="003B1A50" w:rsidP="00E00E26">
      <w:pPr>
        <w:pStyle w:val="SingleTxtGC"/>
        <w:rPr>
          <w:rFonts w:eastAsia="SimHei" w:hint="eastAsia"/>
        </w:rPr>
      </w:pPr>
      <w:r w:rsidRPr="00E00E26">
        <w:rPr>
          <w:rFonts w:eastAsia="SimHei"/>
        </w:rPr>
        <w:t>委员会委员会呼吁缔约国加快通过《残疾人基本法》，禁止在就业的各个方面歧视残疾人，并规定工作场所在必要时必须提供合理便利的义务</w:t>
      </w:r>
      <w:r w:rsidRPr="00E00E26">
        <w:rPr>
          <w:rStyle w:val="longtext"/>
          <w:rFonts w:eastAsia="SimHei" w:hAnsi="Arial"/>
          <w:b/>
          <w:color w:val="333333"/>
          <w:szCs w:val="21"/>
          <w:shd w:val="clear" w:color="auto" w:fill="FFFFFF"/>
        </w:rPr>
        <w:t>。</w:t>
      </w:r>
      <w:r w:rsidRPr="00E00E26">
        <w:rPr>
          <w:rFonts w:eastAsia="SimHei"/>
        </w:rPr>
        <w:t>委员会还呼吁缔约国适用残疾人在保护性就业方面的的劳工标准，并继续促进他们获得生产性和有报酬的就业的机会，包括通过采用配额方式。委员会还鼓励缔约国批准《残疾人权利公约》。</w:t>
      </w:r>
    </w:p>
    <w:p w:rsidR="00A074F4" w:rsidRPr="00A074F4" w:rsidRDefault="00A074F4" w:rsidP="00E00E26">
      <w:pPr>
        <w:pStyle w:val="SingleTxtGC"/>
        <w:rPr>
          <w:rFonts w:hint="eastAsia"/>
        </w:rPr>
      </w:pPr>
      <w:r w:rsidRPr="008C552B">
        <w:rPr>
          <w:rFonts w:hint="eastAsia"/>
        </w:rPr>
        <w:t xml:space="preserve">13.  </w:t>
      </w:r>
      <w:r w:rsidRPr="008C552B">
        <w:t>委员会关注缔约国存在性别角色的旧观念，继续对妇女享有经济、社会和文化权利产生的不良的影响。委员会还关切地注意到，尽管连续采用性别平等的基本计划，但没有采用旨在改变社会性别角色观念的措施。此外，委员会还关注，尽管缔约国作出值得称道的努力，但进展缓慢，一如劳动力市场依然激烈的纵向和横向的性别隔离以及高比例的妇女分娩后不得不离开工作岗位或改做兼职工作所显示的。委员会感到遗憾的是，缔约国第三个促进性别平等基本计划的目标较为保守，在行使《公约》规定的权利方面无法加速实现平等</w:t>
      </w:r>
      <w:r w:rsidRPr="008C552B">
        <w:t>(</w:t>
      </w:r>
      <w:r w:rsidRPr="008C552B">
        <w:t>第三条</w:t>
      </w:r>
      <w:r w:rsidRPr="008C552B">
        <w:t>)</w:t>
      </w:r>
      <w:r w:rsidRPr="00A074F4">
        <w:rPr>
          <w:rStyle w:val="longtext"/>
        </w:rPr>
        <w:t>。</w:t>
      </w:r>
    </w:p>
    <w:p w:rsidR="003B1A50" w:rsidRPr="00261BF4" w:rsidRDefault="003B1A50" w:rsidP="003B1A50">
      <w:pPr>
        <w:pStyle w:val="SingleTxtGC"/>
        <w:rPr>
          <w:rFonts w:eastAsia="SimHei"/>
        </w:rPr>
      </w:pPr>
      <w:r w:rsidRPr="00261BF4">
        <w:rPr>
          <w:rFonts w:eastAsia="SimHei"/>
        </w:rPr>
        <w:t>委员会：</w:t>
      </w:r>
    </w:p>
    <w:p w:rsidR="00AD0C4C" w:rsidRPr="00B40036" w:rsidRDefault="00AD0C4C" w:rsidP="00B40036">
      <w:pPr>
        <w:pStyle w:val="SingleTxtGC"/>
        <w:numPr>
          <w:ilvl w:val="0"/>
          <w:numId w:val="8"/>
        </w:numPr>
        <w:rPr>
          <w:rFonts w:eastAsia="SimHei" w:hint="eastAsia"/>
        </w:rPr>
      </w:pPr>
      <w:r w:rsidRPr="00B40036">
        <w:rPr>
          <w:rFonts w:eastAsia="SimHei"/>
        </w:rPr>
        <w:t>开展提高认识的运动，以改变社会对性别角色的看法；</w:t>
      </w:r>
    </w:p>
    <w:p w:rsidR="00AD0C4C" w:rsidRPr="00B40036" w:rsidRDefault="00AD0C4C" w:rsidP="00B40036">
      <w:pPr>
        <w:pStyle w:val="SingleTxtGC"/>
        <w:numPr>
          <w:ilvl w:val="0"/>
          <w:numId w:val="8"/>
        </w:numPr>
        <w:rPr>
          <w:rFonts w:eastAsia="SimHei" w:hint="eastAsia"/>
        </w:rPr>
      </w:pPr>
      <w:r w:rsidRPr="00B40036">
        <w:rPr>
          <w:rFonts w:eastAsia="SimHei"/>
        </w:rPr>
        <w:t>教育男孩和女孩关于就业机会均等的看法，以便促进其接受传统上在性别上占主导地位的其他领域的教育；</w:t>
      </w:r>
    </w:p>
    <w:p w:rsidR="00AD0C4C" w:rsidRPr="00B40036" w:rsidRDefault="00AD0C4C" w:rsidP="00B40036">
      <w:pPr>
        <w:pStyle w:val="SingleTxtGC"/>
        <w:numPr>
          <w:ilvl w:val="0"/>
          <w:numId w:val="8"/>
        </w:numPr>
        <w:rPr>
          <w:rFonts w:eastAsia="SimHei" w:hint="eastAsia"/>
        </w:rPr>
      </w:pPr>
      <w:r w:rsidRPr="00B40036">
        <w:rPr>
          <w:rFonts w:eastAsia="SimHei"/>
        </w:rPr>
        <w:t>采取更大胆的目标，使《性别平等基本计划》既针对男性又女性，并在教育、就业和政治和公共决策领域采取实施临时措施，如配额措施；</w:t>
      </w:r>
    </w:p>
    <w:p w:rsidR="00AD0C4C" w:rsidRPr="00B40036" w:rsidRDefault="00AD0C4C" w:rsidP="00B40036">
      <w:pPr>
        <w:pStyle w:val="SingleTxtGC"/>
        <w:numPr>
          <w:ilvl w:val="0"/>
          <w:numId w:val="8"/>
        </w:numPr>
        <w:rPr>
          <w:rFonts w:eastAsia="SimHei"/>
        </w:rPr>
      </w:pPr>
      <w:r w:rsidRPr="00B40036">
        <w:rPr>
          <w:rFonts w:eastAsia="SimHei"/>
        </w:rPr>
        <w:t>取消诸如职业生涯系统和以怀孕为由的解雇的歧视妇女的做法；以及</w:t>
      </w:r>
    </w:p>
    <w:p w:rsidR="00AD0C4C" w:rsidRPr="00B40036" w:rsidRDefault="00AD0C4C" w:rsidP="00B40036">
      <w:pPr>
        <w:pStyle w:val="SingleTxtGC"/>
        <w:numPr>
          <w:ilvl w:val="0"/>
          <w:numId w:val="8"/>
        </w:numPr>
        <w:rPr>
          <w:rFonts w:eastAsia="SimHei"/>
        </w:rPr>
      </w:pPr>
      <w:r w:rsidRPr="00B40036">
        <w:rPr>
          <w:rFonts w:eastAsia="SimHei"/>
        </w:rPr>
        <w:t>加快将日托轮候人的人数减至零，并促使日托费用负担得起的。</w:t>
      </w:r>
    </w:p>
    <w:p w:rsidR="00AD0C4C" w:rsidRPr="00B40036" w:rsidRDefault="00AD0C4C" w:rsidP="00AD0C4C">
      <w:pPr>
        <w:pStyle w:val="SingleTxtGC"/>
        <w:rPr>
          <w:rFonts w:eastAsia="SimHei"/>
        </w:rPr>
      </w:pPr>
      <w:r w:rsidRPr="00B40036">
        <w:rPr>
          <w:rFonts w:eastAsia="SimHei"/>
        </w:rPr>
        <w:t>委员会请缔约国按日本代表团在对话期间所宣布的，在下一次定期报告载列按性别、收入水平和教育背景分类的关于在享有《公约》规定的权利的统计数据，并说明这个数据如何为性别平等政策的制定提供资料。</w:t>
      </w:r>
    </w:p>
    <w:p w:rsidR="00AD0C4C" w:rsidRPr="00C91416" w:rsidRDefault="00B40036" w:rsidP="00AD0C4C">
      <w:pPr>
        <w:pStyle w:val="SingleTxtGC"/>
      </w:pPr>
      <w:r>
        <w:rPr>
          <w:rFonts w:hint="eastAsia"/>
        </w:rPr>
        <w:t xml:space="preserve">14.  </w:t>
      </w:r>
      <w:r w:rsidR="00AD0C4C" w:rsidRPr="00C91416">
        <w:t>委员会关注地注意到，缔约国《刑法》规定将监禁期间指定劳动作为刑罚之一，组织情况违反《禁止强迫劳动公约》</w:t>
      </w:r>
      <w:r w:rsidR="00AD0C4C" w:rsidRPr="00C91416">
        <w:t>(</w:t>
      </w:r>
      <w:r w:rsidR="00AD0C4C" w:rsidRPr="00C91416">
        <w:t>第六条</w:t>
      </w:r>
      <w:r w:rsidR="00AD0C4C" w:rsidRPr="00C91416">
        <w:t>)</w:t>
      </w:r>
      <w:r w:rsidR="00AD0C4C" w:rsidRPr="00C91416">
        <w:t>。</w:t>
      </w:r>
    </w:p>
    <w:p w:rsidR="00AD0C4C" w:rsidRPr="00B40036" w:rsidRDefault="00AD0C4C" w:rsidP="00B40036">
      <w:pPr>
        <w:pStyle w:val="SingleTxtGC"/>
        <w:rPr>
          <w:rFonts w:eastAsia="SimHei" w:hint="eastAsia"/>
        </w:rPr>
      </w:pPr>
      <w:r w:rsidRPr="00B40036">
        <w:rPr>
          <w:rFonts w:eastAsia="SimHei"/>
        </w:rPr>
        <w:t>委员会呼吁缔约国废除强迫劳动作为惩教措施或刑罚，根据《公约》第六条的义务修正或废止有关规定。委员会还鼓励缔约国考虑批准国际劳工组织</w:t>
      </w:r>
      <w:r w:rsidRPr="00B40036">
        <w:rPr>
          <w:rFonts w:eastAsia="SimHei"/>
        </w:rPr>
        <w:t>(</w:t>
      </w:r>
      <w:r w:rsidRPr="00B40036">
        <w:rPr>
          <w:rFonts w:eastAsia="SimHei"/>
        </w:rPr>
        <w:t>劳工组织</w:t>
      </w:r>
      <w:r w:rsidRPr="00B40036">
        <w:rPr>
          <w:rFonts w:eastAsia="SimHei"/>
        </w:rPr>
        <w:t>)</w:t>
      </w:r>
      <w:r w:rsidRPr="00B40036">
        <w:rPr>
          <w:rFonts w:eastAsia="SimHei"/>
        </w:rPr>
        <w:t>《关于废除强迫劳动第</w:t>
      </w:r>
      <w:r w:rsidRPr="00B40036">
        <w:rPr>
          <w:rFonts w:eastAsia="SimHei"/>
        </w:rPr>
        <w:t>105</w:t>
      </w:r>
      <w:r w:rsidRPr="00B40036">
        <w:rPr>
          <w:rFonts w:eastAsia="SimHei"/>
        </w:rPr>
        <w:t>号公约》</w:t>
      </w:r>
      <w:r w:rsidRPr="00B40036">
        <w:rPr>
          <w:rFonts w:eastAsia="SimHei"/>
        </w:rPr>
        <w:t>(1957</w:t>
      </w:r>
      <w:r w:rsidRPr="00B40036">
        <w:rPr>
          <w:rFonts w:eastAsia="SimHei"/>
        </w:rPr>
        <w:t>年</w:t>
      </w:r>
      <w:r w:rsidRPr="00B40036">
        <w:rPr>
          <w:rFonts w:eastAsia="SimHei"/>
        </w:rPr>
        <w:t>)</w:t>
      </w:r>
      <w:r w:rsidRPr="00B40036">
        <w:rPr>
          <w:rFonts w:eastAsia="SimHei"/>
        </w:rPr>
        <w:t>。</w:t>
      </w:r>
    </w:p>
    <w:p w:rsidR="00AD0C4C" w:rsidRPr="00B40036" w:rsidRDefault="00B40036" w:rsidP="00AD0C4C">
      <w:pPr>
        <w:pStyle w:val="SingleTxtGC"/>
        <w:rPr>
          <w:rFonts w:eastAsia="SimHei"/>
        </w:rPr>
      </w:pPr>
      <w:r w:rsidRPr="00B40036">
        <w:rPr>
          <w:rFonts w:eastAsia="SimHei" w:hint="eastAsia"/>
        </w:rPr>
        <w:t xml:space="preserve">15.  </w:t>
      </w:r>
      <w:r w:rsidR="00AD0C4C" w:rsidRPr="00B40036">
        <w:rPr>
          <w:rFonts w:eastAsia="SimHei"/>
        </w:rPr>
        <w:t>委员会再次建议缔约国考虑批准了国际劳工组织《关于就业和职业方面的歧视第</w:t>
      </w:r>
      <w:r w:rsidR="00AD0C4C" w:rsidRPr="00B40036">
        <w:rPr>
          <w:rFonts w:eastAsia="SimHei"/>
        </w:rPr>
        <w:t>111</w:t>
      </w:r>
      <w:r w:rsidR="00AD0C4C" w:rsidRPr="00B40036">
        <w:rPr>
          <w:rFonts w:eastAsia="SimHei"/>
        </w:rPr>
        <w:t>号公约》</w:t>
      </w:r>
      <w:r w:rsidR="00AD0C4C" w:rsidRPr="00B40036">
        <w:rPr>
          <w:rFonts w:eastAsia="SimHei"/>
        </w:rPr>
        <w:t>(1958</w:t>
      </w:r>
      <w:r w:rsidR="00AD0C4C" w:rsidRPr="00B40036">
        <w:rPr>
          <w:rFonts w:eastAsia="SimHei"/>
        </w:rPr>
        <w:t>年</w:t>
      </w:r>
      <w:r w:rsidR="00AD0C4C" w:rsidRPr="00B40036">
        <w:rPr>
          <w:rFonts w:eastAsia="SimHei"/>
        </w:rPr>
        <w:t>)</w:t>
      </w:r>
      <w:r w:rsidR="00AD0C4C" w:rsidRPr="00B40036">
        <w:rPr>
          <w:rFonts w:eastAsia="SimHei"/>
        </w:rPr>
        <w:t>。</w:t>
      </w:r>
    </w:p>
    <w:p w:rsidR="00AD0C4C" w:rsidRPr="00C91416" w:rsidRDefault="00B40036" w:rsidP="00AD0C4C">
      <w:pPr>
        <w:pStyle w:val="SingleTxtGC"/>
      </w:pPr>
      <w:r>
        <w:rPr>
          <w:rFonts w:hint="eastAsia"/>
        </w:rPr>
        <w:t xml:space="preserve">16.  </w:t>
      </w:r>
      <w:r w:rsidR="00AD0C4C" w:rsidRPr="00C91416">
        <w:t>委员会关注的是，雇主滥用定期合同，以及持定期合同的工人易于被迫接受不利的工作条件，尽管缔约国所提供了许多奖励办法，鼓励雇主对所有雇员使用相同的评价和资格认证办法，不论其合同的性质如何。委员会还关注的是，雇主为逃避根据修订的《劳动合同法》将定期合同转换成无固定期限合同，而不延长定期限劳动合同</w:t>
      </w:r>
      <w:r w:rsidR="00AD0C4C" w:rsidRPr="00C91416">
        <w:t>(</w:t>
      </w:r>
      <w:r w:rsidR="00AD0C4C" w:rsidRPr="00C91416">
        <w:t>第六和第七条</w:t>
      </w:r>
      <w:r w:rsidR="00AD0C4C" w:rsidRPr="00C91416">
        <w:t>)</w:t>
      </w:r>
      <w:r w:rsidR="00AD0C4C" w:rsidRPr="00C91416">
        <w:t>。</w:t>
      </w:r>
    </w:p>
    <w:p w:rsidR="00AD0C4C" w:rsidRPr="00B40036" w:rsidRDefault="00AD0C4C" w:rsidP="00B40036">
      <w:pPr>
        <w:pStyle w:val="SingleTxtGC"/>
        <w:rPr>
          <w:rFonts w:eastAsia="SimHei" w:hint="eastAsia"/>
          <w:bCs/>
        </w:rPr>
      </w:pPr>
      <w:r w:rsidRPr="00B40036">
        <w:rPr>
          <w:rFonts w:eastAsia="SimHei"/>
          <w:bCs/>
        </w:rPr>
        <w:t>委员会</w:t>
      </w:r>
      <w:r w:rsidRPr="00B40036">
        <w:rPr>
          <w:rFonts w:eastAsia="SimHei"/>
        </w:rPr>
        <w:t>建议缔约国采取措施，防止滥用定期限劳动合同，包括通过制定适用于这类合同的明确标准。委员会提到缔约国有义务确保同工同酬，委员会还建议缔约国监测财政奖励系统是否达到防止定期合同工人受到不平等待遇的目标。此外，委员会呼吁缔约国加强《劳动合同法》的执法和监控，以防止定期合同工人的合同不会不公平地不获延长。</w:t>
      </w:r>
    </w:p>
    <w:p w:rsidR="00AD0C4C" w:rsidRPr="00C91416" w:rsidRDefault="00B40036" w:rsidP="00AD0C4C">
      <w:pPr>
        <w:pStyle w:val="SingleTxtGC"/>
      </w:pPr>
      <w:r>
        <w:rPr>
          <w:rFonts w:hint="eastAsia"/>
        </w:rPr>
        <w:t xml:space="preserve">17.  </w:t>
      </w:r>
      <w:r w:rsidR="00AD0C4C" w:rsidRPr="00C91416">
        <w:t>委员会关注地注意到，大量工人的工作时间持续过长，尽管缔约国所采取的措施，以鼓励雇主采取自愿行动。委员会还关注的由工作场所持续发生的心理骚扰所造成的劳累过度死亡和自杀</w:t>
      </w:r>
      <w:r w:rsidR="00AD0C4C" w:rsidRPr="00C91416">
        <w:t>(</w:t>
      </w:r>
      <w:r w:rsidR="00AD0C4C" w:rsidRPr="00C91416">
        <w:t>第七条</w:t>
      </w:r>
      <w:r w:rsidR="00AD0C4C" w:rsidRPr="00C91416">
        <w:t>)</w:t>
      </w:r>
      <w:r w:rsidR="00AD0C4C" w:rsidRPr="00C91416">
        <w:t>。</w:t>
      </w:r>
    </w:p>
    <w:p w:rsidR="00AD0C4C" w:rsidRPr="00B40036" w:rsidRDefault="00AD0C4C" w:rsidP="00AD0C4C">
      <w:pPr>
        <w:pStyle w:val="SingleTxtGC"/>
        <w:rPr>
          <w:rFonts w:eastAsia="SimHei"/>
          <w:bCs/>
        </w:rPr>
      </w:pPr>
      <w:r w:rsidRPr="00B40036">
        <w:rPr>
          <w:rFonts w:eastAsia="SimHei"/>
          <w:bCs/>
        </w:rPr>
        <w:t>委员会</w:t>
      </w:r>
      <w:r w:rsidRPr="00B40036">
        <w:rPr>
          <w:rFonts w:eastAsia="SimHei"/>
        </w:rPr>
        <w:t>建议，根据《公约》第七条规定，保护工人享受安全和健康的工作条件以及工作时间合理的限制的权利，缔约国加强措施，以防止工作时间长，确保对不遵守延长工作时间限制的做法进行具有威慑力的制裁。委员会还建议缔约国，在必要时通过法律和法规，以期禁止和防范工作场所各种形式的骚扰</w:t>
      </w:r>
      <w:r w:rsidRPr="00B40036">
        <w:rPr>
          <w:rFonts w:eastAsia="SimHei"/>
          <w:bCs/>
        </w:rPr>
        <w:t>。</w:t>
      </w:r>
    </w:p>
    <w:p w:rsidR="00AD0C4C" w:rsidRPr="00C91416" w:rsidRDefault="00B40036" w:rsidP="00AD0C4C">
      <w:pPr>
        <w:pStyle w:val="SingleTxtGC"/>
      </w:pPr>
      <w:r>
        <w:rPr>
          <w:rFonts w:hint="eastAsia"/>
        </w:rPr>
        <w:t xml:space="preserve">18.  </w:t>
      </w:r>
      <w:r w:rsidR="00AD0C4C" w:rsidRPr="00C91416">
        <w:t>委员会关注缔约国全国各地最低工资的平均水平低于保障最低生活的水平、公共福利和生活费用的增加</w:t>
      </w:r>
      <w:r w:rsidR="00AD0C4C" w:rsidRPr="00C91416">
        <w:t>(</w:t>
      </w:r>
      <w:r w:rsidR="00AD0C4C" w:rsidRPr="00C91416">
        <w:t>第七、第九和第十一条</w:t>
      </w:r>
      <w:r w:rsidR="00AD0C4C" w:rsidRPr="00C91416">
        <w:t>)</w:t>
      </w:r>
      <w:r w:rsidR="00AD0C4C" w:rsidRPr="00C91416">
        <w:t>。</w:t>
      </w:r>
    </w:p>
    <w:p w:rsidR="00AD0C4C" w:rsidRPr="00B40036" w:rsidRDefault="00AD0C4C" w:rsidP="00B40036">
      <w:pPr>
        <w:pStyle w:val="SingleTxtGC"/>
        <w:rPr>
          <w:rFonts w:eastAsia="SimHei" w:hint="eastAsia"/>
          <w:bCs/>
        </w:rPr>
      </w:pPr>
      <w:r w:rsidRPr="00B40036">
        <w:rPr>
          <w:rFonts w:eastAsia="SimHei"/>
          <w:bCs/>
        </w:rPr>
        <w:t>委员会</w:t>
      </w:r>
      <w:r w:rsidRPr="00B40036">
        <w:rPr>
          <w:rFonts w:eastAsia="SimHei"/>
        </w:rPr>
        <w:t>敦促缔约国在决定最低工资水平时，重新审查应考虑到的要素，以便最低工资能够确保工人及其家人能过上体面的生活。委员会还请缔约国在其下一次定期报告中提供资料，说明工人领取的工资低于最低工资的百分比</w:t>
      </w:r>
      <w:r w:rsidRPr="00B40036">
        <w:rPr>
          <w:rFonts w:eastAsia="SimHei"/>
          <w:bCs/>
        </w:rPr>
        <w:t>。</w:t>
      </w:r>
    </w:p>
    <w:p w:rsidR="00AD0C4C" w:rsidRPr="00C91416" w:rsidRDefault="00B40036" w:rsidP="00AD0C4C">
      <w:pPr>
        <w:pStyle w:val="SingleTxtGC"/>
      </w:pPr>
      <w:r>
        <w:rPr>
          <w:rFonts w:hint="eastAsia"/>
        </w:rPr>
        <w:t xml:space="preserve">19.  </w:t>
      </w:r>
      <w:r w:rsidR="00AD0C4C" w:rsidRPr="00C91416">
        <w:t>委员会关注地注意到，缔约国的薪酬差距仍然相当大，尤其是就男女之间的薪酬差距而言，尽管在这方面已取得了进展</w:t>
      </w:r>
      <w:r w:rsidR="00AD0C4C" w:rsidRPr="00C91416">
        <w:t>(</w:t>
      </w:r>
      <w:r w:rsidR="00AD0C4C" w:rsidRPr="00C91416">
        <w:t>第七条</w:t>
      </w:r>
      <w:r w:rsidR="00AD0C4C" w:rsidRPr="00C91416">
        <w:t>)</w:t>
      </w:r>
      <w:r w:rsidR="00AD0C4C" w:rsidRPr="00C91416">
        <w:t>。</w:t>
      </w:r>
    </w:p>
    <w:p w:rsidR="00AD0C4C" w:rsidRPr="00B40036" w:rsidRDefault="00AD0C4C" w:rsidP="00B40036">
      <w:pPr>
        <w:pStyle w:val="SingleTxtGC"/>
        <w:rPr>
          <w:rFonts w:eastAsia="SimHei" w:hint="eastAsia"/>
        </w:rPr>
      </w:pPr>
      <w:r w:rsidRPr="00B40036">
        <w:rPr>
          <w:rFonts w:eastAsia="SimHei"/>
        </w:rPr>
        <w:t>委员会吁缔约国提高对男女同工实行不同酬是违法的的认识，以及在这方面发生工资歧视时，雇主有义务提供方便和有效的补救措施。委员会还建议缔约国，对劳动监察员进行关于适用同工同酬原则的培训，并采取其他措施，以确保有效执行适用的法律。</w:t>
      </w:r>
    </w:p>
    <w:p w:rsidR="00AD0C4C" w:rsidRPr="00C91416" w:rsidRDefault="00B40036" w:rsidP="00AD0C4C">
      <w:pPr>
        <w:pStyle w:val="SingleTxtGC"/>
      </w:pPr>
      <w:r>
        <w:rPr>
          <w:rFonts w:hint="eastAsia"/>
        </w:rPr>
        <w:t xml:space="preserve">20.  </w:t>
      </w:r>
      <w:r w:rsidR="00AD0C4C" w:rsidRPr="00C91416">
        <w:t>委员会虽然注意到《男女就业机会和待遇平等保护法》自</w:t>
      </w:r>
      <w:r w:rsidR="00AD0C4C" w:rsidRPr="00C91416">
        <w:t>2006</w:t>
      </w:r>
      <w:r w:rsidR="00AD0C4C" w:rsidRPr="00C91416">
        <w:t>年修订以来对工作场所的性骚扰的认识已有增强，但委员会关切地注意到，没有法律禁止性骚扰</w:t>
      </w:r>
      <w:r w:rsidR="00AD0C4C" w:rsidRPr="00C91416">
        <w:t>(</w:t>
      </w:r>
      <w:r w:rsidR="00AD0C4C" w:rsidRPr="00C91416">
        <w:t>第七条</w:t>
      </w:r>
      <w:r w:rsidR="00AD0C4C" w:rsidRPr="00C91416">
        <w:t>)</w:t>
      </w:r>
      <w:r w:rsidR="00AD0C4C" w:rsidRPr="00C91416">
        <w:t>。</w:t>
      </w:r>
    </w:p>
    <w:p w:rsidR="00AD0C4C" w:rsidRPr="00B40036" w:rsidRDefault="00AD0C4C" w:rsidP="00B40036">
      <w:pPr>
        <w:pStyle w:val="SingleTxtGC"/>
        <w:rPr>
          <w:rFonts w:eastAsia="SimHei"/>
        </w:rPr>
      </w:pPr>
      <w:r w:rsidRPr="00B40036">
        <w:rPr>
          <w:rFonts w:eastAsia="SimHei"/>
        </w:rPr>
        <w:t>委员会委员会敦促缔约国在其法律中将性骚扰，尤其是工作场所的性骚扰定为罪行，这种罪行应按严重程度加以制裁。委员会还建议缔约国确保受害者能够提出指控而无须担心遭到报复。委员会建议缔约国继续提高公众对性骚扰的认识。</w:t>
      </w:r>
    </w:p>
    <w:p w:rsidR="00AD0C4C" w:rsidRPr="00C91416" w:rsidRDefault="00B40036" w:rsidP="00AD0C4C">
      <w:pPr>
        <w:pStyle w:val="SingleTxtGC"/>
      </w:pPr>
      <w:r>
        <w:rPr>
          <w:rFonts w:hint="eastAsia"/>
        </w:rPr>
        <w:t xml:space="preserve">21.  </w:t>
      </w:r>
      <w:r w:rsidR="00AD0C4C" w:rsidRPr="00C91416">
        <w:t>委员会关注的是，据报移徙工人，包括移徙地位不正常的工人、寻求庇护者和难民遭到不公平待遇的报告，尽管他们事实上与本国国民一样受到同一劳动法的保护</w:t>
      </w:r>
      <w:r w:rsidR="00AD0C4C" w:rsidRPr="00C91416">
        <w:t>(</w:t>
      </w:r>
      <w:r w:rsidR="00AD0C4C" w:rsidRPr="00C91416">
        <w:t>第七条</w:t>
      </w:r>
      <w:r w:rsidR="00AD0C4C" w:rsidRPr="00C91416">
        <w:t>)</w:t>
      </w:r>
      <w:r w:rsidR="00AD0C4C" w:rsidRPr="00C91416">
        <w:t>。</w:t>
      </w:r>
    </w:p>
    <w:p w:rsidR="00AD0C4C" w:rsidRPr="00B40036" w:rsidRDefault="00AD0C4C" w:rsidP="00B40036">
      <w:pPr>
        <w:pStyle w:val="SingleTxtGC"/>
        <w:rPr>
          <w:rFonts w:eastAsia="SimHei"/>
        </w:rPr>
      </w:pPr>
      <w:r w:rsidRPr="00B40036">
        <w:rPr>
          <w:rFonts w:eastAsia="SimHei"/>
        </w:rPr>
        <w:t>委员会建议缔约国加强其法律和法规，消除对移徙工人，包括移徙地位不正常的工人、寻求庇护者和难民的不公平待遇。委员会还呼吁缔约国提高对劳动法适用于所有工人的认识，不论其移民身份任何。</w:t>
      </w:r>
    </w:p>
    <w:p w:rsidR="00AD0C4C" w:rsidRPr="00C91416" w:rsidRDefault="00B40036" w:rsidP="00B40036">
      <w:pPr>
        <w:pStyle w:val="SingleTxtGC"/>
      </w:pPr>
      <w:r>
        <w:rPr>
          <w:rFonts w:hint="eastAsia"/>
        </w:rPr>
        <w:t xml:space="preserve">22.  </w:t>
      </w:r>
      <w:r w:rsidR="00AD0C4C" w:rsidRPr="00C91416">
        <w:t>委员会关注的是，缔约国的老龄人，尤其是不领取养老金和低收入退休人员的贫困率相当高。委员会尤其关注的是受到贫困影响的主要是养老保险缴费不符合申请资格的老年妇女，以及成见阻止老龄人申请公共福利金。委员会进一步关注，《对国民年金法部分修订以期通过国民年金和企业年金支持老年人获得收入的法案》造成许多老龄人无法享有退休金福利</w:t>
      </w:r>
      <w:r w:rsidR="00AD0C4C" w:rsidRPr="00C91416">
        <w:t>(</w:t>
      </w:r>
      <w:r w:rsidR="00AD0C4C" w:rsidRPr="00C91416">
        <w:t>第九条</w:t>
      </w:r>
      <w:r w:rsidR="00AD0C4C" w:rsidRPr="00C91416">
        <w:t>)</w:t>
      </w:r>
      <w:r w:rsidR="00AD0C4C" w:rsidRPr="00C91416">
        <w:t>。</w:t>
      </w:r>
    </w:p>
    <w:p w:rsidR="00AD0C4C" w:rsidRPr="00B40036" w:rsidRDefault="00AD0C4C" w:rsidP="00B40036">
      <w:pPr>
        <w:pStyle w:val="SingleTxtGC"/>
        <w:rPr>
          <w:rFonts w:eastAsia="SimHei"/>
        </w:rPr>
      </w:pPr>
      <w:r w:rsidRPr="00B40036">
        <w:rPr>
          <w:rFonts w:eastAsia="SimHei"/>
        </w:rPr>
        <w:t>委员会重申其先前的建议，要求缔约国在国家的养老保险制度实行最低保证养老金。委员会还要求缔约国采取措施，简化申请公共福利的手续，并确保申请人得到有尊严的对待。委员会还建议缔约国教育人民，以便消除对公共福利的成见。委员会要求缔约国下一次定期报告中，提供按性别、收入来源和收入水平分列的老龄人、包括原子弹爆炸幸存者的资料。委员会请缔约国参照委员会关于老龄人的经济、社会、文化权利的第</w:t>
      </w:r>
      <w:r w:rsidRPr="00B40036">
        <w:rPr>
          <w:rFonts w:eastAsia="SimHei"/>
        </w:rPr>
        <w:t>6</w:t>
      </w:r>
      <w:r w:rsidRPr="00B40036">
        <w:rPr>
          <w:rFonts w:eastAsia="SimHei"/>
        </w:rPr>
        <w:t>号一般性意见</w:t>
      </w:r>
      <w:r w:rsidRPr="00B40036">
        <w:rPr>
          <w:rFonts w:eastAsia="SimHei"/>
        </w:rPr>
        <w:t>(1995</w:t>
      </w:r>
      <w:r w:rsidRPr="00B40036">
        <w:rPr>
          <w:rFonts w:eastAsia="SimHei"/>
        </w:rPr>
        <w:t>年</w:t>
      </w:r>
      <w:r w:rsidRPr="00B40036">
        <w:rPr>
          <w:rFonts w:eastAsia="SimHei"/>
        </w:rPr>
        <w:t>)</w:t>
      </w:r>
      <w:r w:rsidRPr="00B40036">
        <w:rPr>
          <w:rFonts w:eastAsia="SimHei"/>
        </w:rPr>
        <w:t>和关于社会保障权利的第</w:t>
      </w:r>
      <w:r w:rsidRPr="00B40036">
        <w:rPr>
          <w:rFonts w:eastAsia="SimHei"/>
        </w:rPr>
        <w:t>19</w:t>
      </w:r>
      <w:r w:rsidRPr="00B40036">
        <w:rPr>
          <w:rFonts w:eastAsia="SimHei"/>
        </w:rPr>
        <w:t>号一般性意见</w:t>
      </w:r>
      <w:r w:rsidRPr="00B40036">
        <w:rPr>
          <w:rFonts w:eastAsia="SimHei"/>
        </w:rPr>
        <w:t>(2007</w:t>
      </w:r>
      <w:r w:rsidRPr="00B40036">
        <w:rPr>
          <w:rFonts w:eastAsia="SimHei"/>
        </w:rPr>
        <w:t>年</w:t>
      </w:r>
      <w:r w:rsidRPr="00B40036">
        <w:rPr>
          <w:rFonts w:eastAsia="SimHei"/>
        </w:rPr>
        <w:t>)</w:t>
      </w:r>
      <w:r w:rsidRPr="00B40036">
        <w:rPr>
          <w:rFonts w:eastAsia="SimHei"/>
        </w:rPr>
        <w:t>。</w:t>
      </w:r>
    </w:p>
    <w:p w:rsidR="00AD0C4C" w:rsidRPr="00C91416" w:rsidRDefault="00B40036" w:rsidP="00AD0C4C">
      <w:pPr>
        <w:pStyle w:val="SingleTxtGC"/>
      </w:pPr>
      <w:r>
        <w:rPr>
          <w:rFonts w:hint="eastAsia"/>
        </w:rPr>
        <w:t xml:space="preserve">23.  </w:t>
      </w:r>
      <w:r w:rsidR="00AD0C4C" w:rsidRPr="00C91416">
        <w:t>委员会关注的是，根据经修订的《防范配偶暴力行为及保护受害者法》，违反对施暴配偶的限制令应收惩罚，但配偶的暴力行为和婚内强奸没有被明确定为刑事罪行</w:t>
      </w:r>
      <w:r w:rsidR="00AD0C4C" w:rsidRPr="00C91416">
        <w:t>(</w:t>
      </w:r>
      <w:r w:rsidR="00AD0C4C" w:rsidRPr="00C91416">
        <w:t>第十条</w:t>
      </w:r>
      <w:r w:rsidR="00AD0C4C" w:rsidRPr="00C91416">
        <w:t>)</w:t>
      </w:r>
      <w:r w:rsidR="00AD0C4C" w:rsidRPr="00C91416">
        <w:t>。</w:t>
      </w:r>
    </w:p>
    <w:p w:rsidR="00AD0C4C" w:rsidRPr="00B40036" w:rsidRDefault="00AD0C4C" w:rsidP="00B40036">
      <w:pPr>
        <w:pStyle w:val="SingleTxtGC"/>
        <w:rPr>
          <w:rFonts w:eastAsia="SimHei" w:hint="eastAsia"/>
        </w:rPr>
      </w:pPr>
      <w:r w:rsidRPr="00B40036">
        <w:rPr>
          <w:rFonts w:eastAsia="SimHei"/>
        </w:rPr>
        <w:t>委员会敦促缔约国将配偶之间的暴力行为，包括婚内强奸定为刑事罪行。委员会请缔约国在其下一次定期报告中提供最新资料，说明成立配偶暴力辅导及支援中心的情况以及由市政府执行基本计划对减少配偶的暴力行为的影响。</w:t>
      </w:r>
    </w:p>
    <w:p w:rsidR="00AD0C4C" w:rsidRPr="00C91416" w:rsidRDefault="00B40036" w:rsidP="00B40036">
      <w:pPr>
        <w:pStyle w:val="SingleTxtGC"/>
        <w:rPr>
          <w:rFonts w:hint="eastAsia"/>
        </w:rPr>
      </w:pPr>
      <w:r>
        <w:rPr>
          <w:rFonts w:hint="eastAsia"/>
        </w:rPr>
        <w:t xml:space="preserve">24.  </w:t>
      </w:r>
      <w:r w:rsidR="00AD0C4C" w:rsidRPr="00C91416">
        <w:t>委员会注意到对日本关东大地震和福岛核事故后果救灾反应的复杂性，委员会关注在疏散及恢复和重建工作中，无法充分满足处境不利和弱势群体，如老年人、残疾人、妇女和儿童的特殊需求</w:t>
      </w:r>
      <w:r w:rsidR="00AD0C4C" w:rsidRPr="00C91416">
        <w:rPr>
          <w:bCs/>
        </w:rPr>
        <w:t>(</w:t>
      </w:r>
      <w:r w:rsidR="00AD0C4C" w:rsidRPr="00C91416">
        <w:rPr>
          <w:bCs/>
        </w:rPr>
        <w:t>第十一条、第二条第二款</w:t>
      </w:r>
      <w:r w:rsidR="00AD0C4C" w:rsidRPr="00C91416">
        <w:rPr>
          <w:bCs/>
        </w:rPr>
        <w:t>)</w:t>
      </w:r>
      <w:r w:rsidR="00AD0C4C" w:rsidRPr="00C91416">
        <w:rPr>
          <w:bCs/>
        </w:rPr>
        <w:t>。</w:t>
      </w:r>
    </w:p>
    <w:p w:rsidR="00AD0C4C" w:rsidRPr="00B40036" w:rsidRDefault="00AD0C4C" w:rsidP="00B40036">
      <w:pPr>
        <w:pStyle w:val="SingleTxtGC"/>
        <w:rPr>
          <w:rFonts w:eastAsia="SimHei"/>
        </w:rPr>
      </w:pPr>
      <w:r w:rsidRPr="00B40036">
        <w:rPr>
          <w:rFonts w:eastAsia="SimHei"/>
        </w:rPr>
        <w:t>委员会注意到的，根据日本关东大地震和福岛核事故后果所取得的经验教训所采取的新措施，以更好地应对受影响社区，包括弱势群体的需求；在未来的救灾和灾后重建工作中，委员会建议缔约国采取以人权为基础的方法应对灾害，减少风险和重建工作。特别是，委员会建议缔约国确保灾害管理计划不会或导致在享受经济、社会和文化权利方面的歧视。</w:t>
      </w:r>
    </w:p>
    <w:p w:rsidR="00AD0C4C" w:rsidRPr="00B40036" w:rsidRDefault="00AD0C4C" w:rsidP="00B40036">
      <w:pPr>
        <w:pStyle w:val="SingleTxtGC"/>
        <w:rPr>
          <w:rFonts w:eastAsia="SimHei" w:hint="eastAsia"/>
        </w:rPr>
      </w:pPr>
      <w:r w:rsidRPr="00B40036">
        <w:rPr>
          <w:rFonts w:eastAsia="SimHei"/>
        </w:rPr>
        <w:t>委员会请缔约国在其下次定期报告中，提供关于管理日本关东大地震和福岛核事故后果的全面信息，包括按性别和弱势群体分列的统计数据，以及受害者在疏散及恢复和重建工作者享有的经济、社会和文化权利的信息。委员会还请缔约国提供信息，说明如何保障受害者付诸司法的权利。</w:t>
      </w:r>
    </w:p>
    <w:p w:rsidR="00AD0C4C" w:rsidRPr="00C91416" w:rsidRDefault="00B40036" w:rsidP="00AD0C4C">
      <w:pPr>
        <w:pStyle w:val="SingleTxtGC"/>
      </w:pPr>
      <w:r>
        <w:rPr>
          <w:rFonts w:hint="eastAsia"/>
        </w:rPr>
        <w:t xml:space="preserve">25.  </w:t>
      </w:r>
      <w:r w:rsidR="00AD0C4C" w:rsidRPr="00C91416">
        <w:t>委员会重申其关注，核电装置的安全性缺乏透明度以及未披露必要的信息，以及关注全国社区对预防和处理核事故的准备不足，造成在发生福岛核事故的情况下，对受害者享受经济、社会和文化权利受到不利的影响</w:t>
      </w:r>
      <w:r w:rsidR="00AD0C4C" w:rsidRPr="00C91416">
        <w:t>(</w:t>
      </w:r>
      <w:r w:rsidR="00AD0C4C" w:rsidRPr="00C91416">
        <w:t>第十一和第十二条</w:t>
      </w:r>
      <w:r w:rsidR="00AD0C4C" w:rsidRPr="00C91416">
        <w:t>)</w:t>
      </w:r>
      <w:r w:rsidR="00AD0C4C" w:rsidRPr="00C91416">
        <w:t>。</w:t>
      </w:r>
    </w:p>
    <w:p w:rsidR="00AD0C4C" w:rsidRPr="00B40036" w:rsidRDefault="00AD0C4C" w:rsidP="00B40036">
      <w:pPr>
        <w:pStyle w:val="SingleTxtGC"/>
        <w:rPr>
          <w:rFonts w:eastAsia="SimHei"/>
          <w:bCs/>
        </w:rPr>
      </w:pPr>
      <w:r w:rsidRPr="00B40036">
        <w:rPr>
          <w:rFonts w:eastAsia="SimHei"/>
        </w:rPr>
        <w:t>委员会再次建议缔约国增加关于核电装置安全性问题的透明度，并加紧防备核事故。委员会尤其敦促缔约国向人民提供关于潜在的危害、预防措施和应急预案的全面、可信和准确的信息，并确保发生灾害时，及时披露的所有信息</w:t>
      </w:r>
      <w:r w:rsidRPr="00B40036">
        <w:rPr>
          <w:rFonts w:eastAsia="SimHei"/>
          <w:bCs/>
        </w:rPr>
        <w:t>。</w:t>
      </w:r>
    </w:p>
    <w:p w:rsidR="00AD0C4C" w:rsidRPr="00C91416" w:rsidRDefault="00AD0C4C" w:rsidP="00B40036">
      <w:pPr>
        <w:pStyle w:val="SingleTxtGC"/>
      </w:pPr>
      <w:r w:rsidRPr="00B40036">
        <w:rPr>
          <w:rFonts w:eastAsia="SimHei"/>
          <w:bCs/>
        </w:rPr>
        <w:t>委员会</w:t>
      </w:r>
      <w:r w:rsidRPr="00B40036">
        <w:rPr>
          <w:rFonts w:eastAsia="SimHei"/>
        </w:rPr>
        <w:t>鼓励缔约国落实人人有权享有可达到的最高水准身心健康问题特别报告员问最近访问缔约国后提出的建议。</w:t>
      </w:r>
    </w:p>
    <w:p w:rsidR="00AD0C4C" w:rsidRPr="00DE3185" w:rsidRDefault="00B40036" w:rsidP="00B40036">
      <w:pPr>
        <w:pStyle w:val="SingleTxtGC"/>
        <w:rPr>
          <w:rFonts w:hint="eastAsia"/>
        </w:rPr>
      </w:pPr>
      <w:r w:rsidRPr="00DE3185">
        <w:rPr>
          <w:rFonts w:hint="eastAsia"/>
          <w:bCs/>
        </w:rPr>
        <w:t xml:space="preserve">26.  </w:t>
      </w:r>
      <w:r w:rsidR="00AD0C4C" w:rsidRPr="00DE3185">
        <w:rPr>
          <w:bCs/>
        </w:rPr>
        <w:t>委员会</w:t>
      </w:r>
      <w:r w:rsidR="00AD0C4C" w:rsidRPr="00DE3185">
        <w:t>关注</w:t>
      </w:r>
      <w:r w:rsidR="00AD0C4C" w:rsidRPr="00DE3185">
        <w:t xml:space="preserve"> </w:t>
      </w:r>
      <w:r w:rsidRPr="00DE3185">
        <w:rPr>
          <w:rFonts w:hint="eastAsia"/>
        </w:rPr>
        <w:t>“</w:t>
      </w:r>
      <w:r w:rsidR="00AD0C4C" w:rsidRPr="00DE3185">
        <w:t>慰安妇</w:t>
      </w:r>
      <w:r w:rsidRPr="00DE3185">
        <w:rPr>
          <w:rFonts w:hint="eastAsia"/>
        </w:rPr>
        <w:t>”</w:t>
      </w:r>
      <w:r w:rsidR="00AD0C4C" w:rsidRPr="00DE3185">
        <w:t>受到的剥削对其享有经济、社会和文化权利和获得赔偿的权利造成的持久负面影响</w:t>
      </w:r>
      <w:r w:rsidR="00AD0C4C" w:rsidRPr="00DE3185">
        <w:rPr>
          <w:bCs/>
        </w:rPr>
        <w:t>(</w:t>
      </w:r>
      <w:r w:rsidR="00AD0C4C" w:rsidRPr="00DE3185">
        <w:rPr>
          <w:bCs/>
        </w:rPr>
        <w:t>第十一和第三条</w:t>
      </w:r>
      <w:r w:rsidR="00AD0C4C" w:rsidRPr="00DE3185">
        <w:rPr>
          <w:bCs/>
        </w:rPr>
        <w:t>)</w:t>
      </w:r>
      <w:r w:rsidR="00AD0C4C" w:rsidRPr="00DE3185">
        <w:rPr>
          <w:bCs/>
        </w:rPr>
        <w:t>。</w:t>
      </w:r>
    </w:p>
    <w:p w:rsidR="00AD0C4C" w:rsidRPr="00B40036" w:rsidRDefault="00AD0C4C" w:rsidP="00B40036">
      <w:pPr>
        <w:pStyle w:val="SingleTxtGC"/>
        <w:rPr>
          <w:rFonts w:eastAsia="SimHei" w:hint="eastAsia"/>
        </w:rPr>
      </w:pPr>
      <w:r w:rsidRPr="00B40036">
        <w:rPr>
          <w:rFonts w:eastAsia="SimHei"/>
        </w:rPr>
        <w:t>委员会建议缔约国采取一切必要措施，以消除剥削的持久影响，并保证</w:t>
      </w:r>
      <w:r w:rsidR="00B40036">
        <w:rPr>
          <w:rFonts w:eastAsia="SimHei" w:hint="eastAsia"/>
        </w:rPr>
        <w:t>“</w:t>
      </w:r>
      <w:r w:rsidRPr="00B40036">
        <w:rPr>
          <w:rFonts w:eastAsia="SimHei"/>
        </w:rPr>
        <w:t>慰安妇</w:t>
      </w:r>
      <w:r w:rsidR="00B40036">
        <w:rPr>
          <w:rFonts w:eastAsia="SimHei" w:hint="eastAsia"/>
        </w:rPr>
        <w:t>”</w:t>
      </w:r>
      <w:r w:rsidRPr="00B40036">
        <w:rPr>
          <w:rFonts w:eastAsia="SimHei"/>
        </w:rPr>
        <w:t>享有经济、社会和文化权利。委员会还建议缔约国教育公众对</w:t>
      </w:r>
      <w:r w:rsidR="00B40036">
        <w:rPr>
          <w:rFonts w:eastAsia="SimHei" w:hint="eastAsia"/>
        </w:rPr>
        <w:t>“</w:t>
      </w:r>
      <w:r w:rsidRPr="00B40036">
        <w:rPr>
          <w:rFonts w:eastAsia="SimHei"/>
        </w:rPr>
        <w:t>慰安妇</w:t>
      </w:r>
      <w:r w:rsidR="00B40036">
        <w:rPr>
          <w:rFonts w:eastAsia="SimHei" w:hint="eastAsia"/>
        </w:rPr>
        <w:t>”</w:t>
      </w:r>
      <w:r w:rsidRPr="00B40036">
        <w:rPr>
          <w:rFonts w:eastAsia="SimHei"/>
        </w:rPr>
        <w:t>遭到剥削的认识，以防止仇恨言论和仇恨和侮辱他们的其他表现。</w:t>
      </w:r>
    </w:p>
    <w:p w:rsidR="00AD0C4C" w:rsidRPr="00C91416" w:rsidRDefault="00B40036" w:rsidP="00B40036">
      <w:pPr>
        <w:pStyle w:val="SingleTxtGC"/>
      </w:pPr>
      <w:r>
        <w:rPr>
          <w:rFonts w:hint="eastAsia"/>
        </w:rPr>
        <w:t xml:space="preserve">27.  </w:t>
      </w:r>
      <w:r w:rsidR="00AD0C4C" w:rsidRPr="00C91416">
        <w:t>委员会关注的是，缔约国高中教育免学费计划不适用于韩国学校，这就构成了歧视</w:t>
      </w:r>
      <w:r w:rsidR="00AD0C4C" w:rsidRPr="00C91416">
        <w:t>(</w:t>
      </w:r>
      <w:r w:rsidR="00AD0C4C" w:rsidRPr="00C91416">
        <w:t>第十三和第十四条</w:t>
      </w:r>
      <w:r w:rsidR="00AD0C4C" w:rsidRPr="00C91416">
        <w:t>)</w:t>
      </w:r>
      <w:r w:rsidR="00AD0C4C" w:rsidRPr="00C91416">
        <w:t>。</w:t>
      </w:r>
    </w:p>
    <w:p w:rsidR="00AD0C4C" w:rsidRPr="00B40036" w:rsidRDefault="00AD0C4C" w:rsidP="00B40036">
      <w:pPr>
        <w:pStyle w:val="SingleTxtGC"/>
        <w:rPr>
          <w:rFonts w:eastAsia="SimHei"/>
        </w:rPr>
      </w:pPr>
      <w:r w:rsidRPr="00B40036">
        <w:rPr>
          <w:rFonts w:eastAsia="SimHei"/>
        </w:rPr>
        <w:t>委员会回顾禁止歧视的规定全面并立即地适用于教育的各个方面，包括所有在国际上禁止歧视的理由，呼吁缔约国确保高中教育免学费计划适用于就读朝鲜学校的学生。</w:t>
      </w:r>
    </w:p>
    <w:p w:rsidR="00AD0C4C" w:rsidRPr="00C91416" w:rsidRDefault="00B40036" w:rsidP="00AD0C4C">
      <w:pPr>
        <w:pStyle w:val="SingleTxtGC"/>
      </w:pPr>
      <w:r>
        <w:rPr>
          <w:rFonts w:hint="eastAsia"/>
        </w:rPr>
        <w:t xml:space="preserve">28.  </w:t>
      </w:r>
      <w:r w:rsidR="00AD0C4C" w:rsidRPr="00C91416">
        <w:t>委员会关注地注意到，大量外国儿童不上学</w:t>
      </w:r>
      <w:r w:rsidR="00AD0C4C" w:rsidRPr="00C91416">
        <w:t>(</w:t>
      </w:r>
      <w:r w:rsidR="00AD0C4C" w:rsidRPr="00C91416">
        <w:t>第十三和第十四条</w:t>
      </w:r>
      <w:r w:rsidR="00AD0C4C" w:rsidRPr="00C91416">
        <w:t>)</w:t>
      </w:r>
      <w:r w:rsidR="00AD0C4C" w:rsidRPr="00C91416">
        <w:t>。</w:t>
      </w:r>
    </w:p>
    <w:p w:rsidR="00AD0C4C" w:rsidRPr="00B40036" w:rsidRDefault="00AD0C4C" w:rsidP="00B40036">
      <w:pPr>
        <w:pStyle w:val="SingleTxtGC"/>
        <w:rPr>
          <w:rFonts w:eastAsia="SimHei"/>
          <w:bCs/>
        </w:rPr>
      </w:pPr>
      <w:r w:rsidRPr="00B40036">
        <w:rPr>
          <w:rFonts w:eastAsia="SimHei"/>
          <w:bCs/>
        </w:rPr>
        <w:t>委员会</w:t>
      </w:r>
      <w:r w:rsidRPr="00B40036">
        <w:rPr>
          <w:rFonts w:eastAsia="SimHei"/>
        </w:rPr>
        <w:t>敦促缔约国督促在缔约国境内的所有儿童均接受义务教育，包括非国民，不论其法律地位如何。</w:t>
      </w:r>
    </w:p>
    <w:p w:rsidR="00AD0C4C" w:rsidRPr="00B40036" w:rsidRDefault="00B40036" w:rsidP="00B40036">
      <w:pPr>
        <w:pStyle w:val="SingleTxtGC"/>
        <w:rPr>
          <w:rFonts w:eastAsia="SimHei"/>
          <w:bCs/>
        </w:rPr>
      </w:pPr>
      <w:r w:rsidRPr="00B40036">
        <w:rPr>
          <w:rFonts w:eastAsia="SimHei" w:hint="eastAsia"/>
          <w:bCs/>
        </w:rPr>
        <w:t xml:space="preserve">29.  </w:t>
      </w:r>
      <w:r w:rsidR="00AD0C4C" w:rsidRPr="00B40036">
        <w:rPr>
          <w:rFonts w:eastAsia="SimHei"/>
          <w:bCs/>
        </w:rPr>
        <w:t>委员会</w:t>
      </w:r>
      <w:r w:rsidR="00AD0C4C" w:rsidRPr="00B40036">
        <w:rPr>
          <w:rFonts w:eastAsia="SimHei"/>
        </w:rPr>
        <w:t>建议缔约国尽快在其免学费计划中也包括，入会费和教科书费用，以便根据《公约》第十三条第</w:t>
      </w:r>
      <w:r w:rsidR="00AD0C4C" w:rsidRPr="00B40036">
        <w:rPr>
          <w:rFonts w:eastAsia="SimHei"/>
        </w:rPr>
        <w:t>13</w:t>
      </w:r>
      <w:r w:rsidR="00AD0C4C" w:rsidRPr="00B40036">
        <w:rPr>
          <w:rFonts w:eastAsia="SimHei"/>
        </w:rPr>
        <w:t>条</w:t>
      </w:r>
      <w:r w:rsidR="00AD0C4C" w:rsidRPr="00B40036">
        <w:rPr>
          <w:rFonts w:eastAsia="SimHei"/>
        </w:rPr>
        <w:t>(</w:t>
      </w:r>
      <w:r w:rsidR="00AD0C4C" w:rsidRPr="00B40036">
        <w:rPr>
          <w:rFonts w:eastAsia="SimHei"/>
        </w:rPr>
        <w:t>乙</w:t>
      </w:r>
      <w:r w:rsidR="00AD0C4C" w:rsidRPr="00B40036">
        <w:rPr>
          <w:rFonts w:eastAsia="SimHei"/>
        </w:rPr>
        <w:t>)</w:t>
      </w:r>
      <w:r w:rsidR="00AD0C4C" w:rsidRPr="00B40036">
        <w:rPr>
          <w:rFonts w:eastAsia="SimHei"/>
        </w:rPr>
        <w:t>款逐步提供完全免费的中学教育。</w:t>
      </w:r>
    </w:p>
    <w:p w:rsidR="00AD0C4C" w:rsidRPr="00C91416" w:rsidRDefault="00B40036" w:rsidP="00B40036">
      <w:pPr>
        <w:pStyle w:val="SingleTxtGC"/>
      </w:pPr>
      <w:r>
        <w:rPr>
          <w:rFonts w:hint="eastAsia"/>
        </w:rPr>
        <w:t xml:space="preserve">30.  </w:t>
      </w:r>
      <w:r w:rsidR="00AD0C4C" w:rsidRPr="00C91416">
        <w:t>委员会仍然关注的是，尽管阿伊努人被承认为土著人民和在其他方面取得的进展，但阿伊努人在享有经济、社会和文化权利方面仍处于不利地位。委员会尤其关注的是阿伊努语可能消失</w:t>
      </w:r>
      <w:r w:rsidR="00AD0C4C" w:rsidRPr="00C91416">
        <w:t xml:space="preserve"> (</w:t>
      </w:r>
      <w:r w:rsidR="00AD0C4C" w:rsidRPr="00C91416">
        <w:t>第十五条和第二条第二款</w:t>
      </w:r>
      <w:r w:rsidR="00AD0C4C" w:rsidRPr="00C91416">
        <w:t>)</w:t>
      </w:r>
      <w:r w:rsidR="00AD0C4C" w:rsidRPr="00C91416">
        <w:t>。</w:t>
      </w:r>
    </w:p>
    <w:p w:rsidR="00AD0C4C" w:rsidRPr="00B40036" w:rsidRDefault="00AD0C4C" w:rsidP="00B40036">
      <w:pPr>
        <w:pStyle w:val="SingleTxtGC"/>
        <w:rPr>
          <w:rFonts w:eastAsia="SimHei"/>
          <w:bCs/>
        </w:rPr>
      </w:pPr>
      <w:r w:rsidRPr="00B40036">
        <w:rPr>
          <w:rFonts w:eastAsia="SimHei"/>
          <w:bCs/>
        </w:rPr>
        <w:t>委员会</w:t>
      </w:r>
      <w:r w:rsidRPr="00B40036">
        <w:rPr>
          <w:rFonts w:eastAsia="SimHei"/>
        </w:rPr>
        <w:t>委员会建议缔约国加强努力，提高阿伊努人的生活水平，并执行其他特别措施，特别是执行就业和教育领域的措施。委员会建议，这些措施也应适用于居住北海道县外的阿伊努人。委员会请缔约国在其下一次定期报告中提供资料，说明为维护和促进阿伊努语而采取的措施的结果。</w:t>
      </w:r>
    </w:p>
    <w:p w:rsidR="00AD0C4C" w:rsidRPr="00B40036" w:rsidRDefault="00B40036" w:rsidP="00B40036">
      <w:pPr>
        <w:pStyle w:val="SingleTxtGC"/>
        <w:rPr>
          <w:rFonts w:eastAsia="SimHei"/>
          <w:bCs/>
        </w:rPr>
      </w:pPr>
      <w:r w:rsidRPr="00B40036">
        <w:rPr>
          <w:rFonts w:eastAsia="SimHei" w:hint="eastAsia"/>
          <w:bCs/>
        </w:rPr>
        <w:t xml:space="preserve">31.  </w:t>
      </w:r>
      <w:r w:rsidR="00AD0C4C" w:rsidRPr="00B40036">
        <w:rPr>
          <w:rFonts w:eastAsia="SimHei"/>
          <w:bCs/>
        </w:rPr>
        <w:t>委员会</w:t>
      </w:r>
      <w:r w:rsidR="00AD0C4C" w:rsidRPr="00B40036">
        <w:rPr>
          <w:rFonts w:eastAsia="SimHei"/>
        </w:rPr>
        <w:t>感谢缔约国在对话中提供了关于享受科学进步及其应用利益的权利的信息。在这方面，委员会请缔约国在其下一次定期报告中提供更详细的资料和家庭例子，说明这权利在实践中如何落实</w:t>
      </w:r>
      <w:r w:rsidR="00AD0C4C" w:rsidRPr="00B40036">
        <w:rPr>
          <w:rFonts w:eastAsia="SimHei"/>
        </w:rPr>
        <w:t>(</w:t>
      </w:r>
      <w:r w:rsidR="00AD0C4C" w:rsidRPr="00B40036">
        <w:rPr>
          <w:rFonts w:eastAsia="SimHei"/>
          <w:bCs/>
        </w:rPr>
        <w:t>第十五条</w:t>
      </w:r>
      <w:r w:rsidR="00AD0C4C" w:rsidRPr="00B40036">
        <w:rPr>
          <w:rFonts w:eastAsia="SimHei"/>
          <w:bCs/>
        </w:rPr>
        <w:t>)</w:t>
      </w:r>
      <w:r w:rsidR="00AD0C4C" w:rsidRPr="00B40036">
        <w:rPr>
          <w:rFonts w:eastAsia="SimHei"/>
          <w:bCs/>
        </w:rPr>
        <w:t>。</w:t>
      </w:r>
    </w:p>
    <w:p w:rsidR="00AD0C4C" w:rsidRPr="00B40036" w:rsidRDefault="00B40036" w:rsidP="00B40036">
      <w:pPr>
        <w:pStyle w:val="SingleTxtGC"/>
        <w:rPr>
          <w:rFonts w:eastAsia="SimHei"/>
        </w:rPr>
      </w:pPr>
      <w:r w:rsidRPr="00B40036">
        <w:rPr>
          <w:rFonts w:eastAsia="SimHei" w:hint="eastAsia"/>
        </w:rPr>
        <w:t xml:space="preserve">32.  </w:t>
      </w:r>
      <w:r w:rsidR="00AD0C4C" w:rsidRPr="00B40036">
        <w:rPr>
          <w:rFonts w:eastAsia="SimHei"/>
        </w:rPr>
        <w:t>委员会承认缔约国对官方发展援助的贡献，鼓励缔约国迅速增加捐助水平，务求实现</w:t>
      </w:r>
      <w:r w:rsidR="00AD0C4C" w:rsidRPr="00B40036">
        <w:rPr>
          <w:rFonts w:eastAsia="SimHei"/>
        </w:rPr>
        <w:t>0.7%</w:t>
      </w:r>
      <w:r w:rsidR="00AD0C4C" w:rsidRPr="00B40036">
        <w:rPr>
          <w:rFonts w:eastAsia="SimHei"/>
        </w:rPr>
        <w:t>的国际标准目标，并促使发展合作政策立足人权方针，完全纳入《公约》所载权利。</w:t>
      </w:r>
    </w:p>
    <w:p w:rsidR="00AD0C4C" w:rsidRPr="00B40036" w:rsidRDefault="00B40036" w:rsidP="00B40036">
      <w:pPr>
        <w:pStyle w:val="SingleTxtGC"/>
        <w:rPr>
          <w:rFonts w:eastAsia="SimHei"/>
        </w:rPr>
      </w:pPr>
      <w:r w:rsidRPr="00B40036">
        <w:rPr>
          <w:rFonts w:eastAsia="SimHei" w:hint="eastAsia"/>
        </w:rPr>
        <w:t xml:space="preserve">33.  </w:t>
      </w:r>
      <w:r w:rsidR="00AD0C4C" w:rsidRPr="00B40036">
        <w:rPr>
          <w:rFonts w:eastAsia="SimHei"/>
        </w:rPr>
        <w:t>委员会请缔约国在下次定期报告中载列关于《公约》落实情况的适当分列的统计数据。</w:t>
      </w:r>
    </w:p>
    <w:p w:rsidR="00AD0C4C" w:rsidRPr="00B40036" w:rsidRDefault="00B40036" w:rsidP="00B40036">
      <w:pPr>
        <w:pStyle w:val="SingleTxtGC"/>
        <w:rPr>
          <w:rFonts w:eastAsia="SimHei"/>
        </w:rPr>
      </w:pPr>
      <w:r w:rsidRPr="00B40036">
        <w:rPr>
          <w:rFonts w:eastAsia="SimHei" w:hint="eastAsia"/>
        </w:rPr>
        <w:t xml:space="preserve">34.  </w:t>
      </w:r>
      <w:r w:rsidR="00AD0C4C" w:rsidRPr="00B40036">
        <w:rPr>
          <w:rFonts w:eastAsia="SimHei"/>
        </w:rPr>
        <w:t>委员会鼓励缔约国撤销对《公约》第七条</w:t>
      </w:r>
      <w:r w:rsidR="00AD0C4C" w:rsidRPr="00B40036">
        <w:rPr>
          <w:rFonts w:eastAsia="SimHei"/>
        </w:rPr>
        <w:t>(</w:t>
      </w:r>
      <w:r w:rsidR="00AD0C4C" w:rsidRPr="00B40036">
        <w:rPr>
          <w:rFonts w:eastAsia="SimHei"/>
        </w:rPr>
        <w:t>丁</w:t>
      </w:r>
      <w:r w:rsidR="00AD0C4C" w:rsidRPr="00B40036">
        <w:rPr>
          <w:rFonts w:eastAsia="SimHei"/>
        </w:rPr>
        <w:t>)</w:t>
      </w:r>
      <w:r w:rsidR="00AD0C4C" w:rsidRPr="00B40036">
        <w:rPr>
          <w:rFonts w:eastAsia="SimHei"/>
        </w:rPr>
        <w:t>款和第八条第一款</w:t>
      </w:r>
      <w:r w:rsidR="00AD0C4C" w:rsidRPr="00B40036">
        <w:rPr>
          <w:rFonts w:eastAsia="SimHei"/>
        </w:rPr>
        <w:t>(</w:t>
      </w:r>
      <w:r w:rsidR="00AD0C4C" w:rsidRPr="00B40036">
        <w:rPr>
          <w:rFonts w:eastAsia="SimHei"/>
        </w:rPr>
        <w:t>丁</w:t>
      </w:r>
      <w:r w:rsidR="00AD0C4C" w:rsidRPr="00B40036">
        <w:rPr>
          <w:rFonts w:eastAsia="SimHei"/>
        </w:rPr>
        <w:t>)</w:t>
      </w:r>
      <w:r w:rsidR="00AD0C4C" w:rsidRPr="00B40036">
        <w:rPr>
          <w:rFonts w:eastAsia="SimHei"/>
        </w:rPr>
        <w:t>项的保留。</w:t>
      </w:r>
    </w:p>
    <w:p w:rsidR="00AD0C4C" w:rsidRPr="00B40036" w:rsidRDefault="00B40036" w:rsidP="00B40036">
      <w:pPr>
        <w:pStyle w:val="SingleTxtGC"/>
        <w:rPr>
          <w:rFonts w:eastAsia="SimHei" w:hint="eastAsia"/>
        </w:rPr>
      </w:pPr>
      <w:r w:rsidRPr="00B40036">
        <w:rPr>
          <w:rFonts w:eastAsia="SimHei" w:hint="eastAsia"/>
        </w:rPr>
        <w:t xml:space="preserve">35.  </w:t>
      </w:r>
      <w:r w:rsidR="00AD0C4C" w:rsidRPr="00B40036">
        <w:rPr>
          <w:rFonts w:eastAsia="SimHei"/>
        </w:rPr>
        <w:t>委员会鼓励缔约国考虑签署和批准《经济、社会、文化权利国际公约任择议定书》。</w:t>
      </w:r>
    </w:p>
    <w:p w:rsidR="00AD0C4C" w:rsidRPr="00B40036" w:rsidRDefault="00B40036" w:rsidP="00B40036">
      <w:pPr>
        <w:pStyle w:val="SingleTxtGC"/>
        <w:rPr>
          <w:rFonts w:eastAsia="SimHei" w:hint="eastAsia"/>
        </w:rPr>
      </w:pPr>
      <w:r w:rsidRPr="00B40036">
        <w:rPr>
          <w:rFonts w:eastAsia="SimHei" w:hint="eastAsia"/>
        </w:rPr>
        <w:t xml:space="preserve">36.  </w:t>
      </w:r>
      <w:r w:rsidR="00AD0C4C" w:rsidRPr="00B40036">
        <w:rPr>
          <w:rFonts w:eastAsia="SimHei"/>
        </w:rPr>
        <w:t>委员会请缔约国向社会各阶层，特别是政府官员、司法部门和民间社会组织广泛宣传本结论性意见，并在下次定期报告中向委员会通报为落实这些意见所采取的措施。委员会鼓励缔约国在提交下次定期报告之前鼓励民间社会组织、尤其是对审议本报告感兴趣的民间社会组织参与将在国家一级举行的讨论。</w:t>
      </w:r>
    </w:p>
    <w:p w:rsidR="00AD0C4C" w:rsidRPr="00B40036" w:rsidRDefault="00B40036" w:rsidP="00B40036">
      <w:pPr>
        <w:pStyle w:val="SingleTxtGC"/>
        <w:rPr>
          <w:rFonts w:eastAsia="SimHei"/>
        </w:rPr>
      </w:pPr>
      <w:r w:rsidRPr="00B40036">
        <w:rPr>
          <w:rFonts w:eastAsia="SimHei" w:hint="eastAsia"/>
        </w:rPr>
        <w:t xml:space="preserve">37.  </w:t>
      </w:r>
      <w:r w:rsidR="00AD0C4C" w:rsidRPr="00B40036">
        <w:rPr>
          <w:rFonts w:eastAsia="SimHei"/>
        </w:rPr>
        <w:t>委员会请缔约国在</w:t>
      </w:r>
      <w:r w:rsidR="00AD0C4C" w:rsidRPr="00B40036">
        <w:rPr>
          <w:rFonts w:eastAsia="SimHei"/>
        </w:rPr>
        <w:t>2018</w:t>
      </w:r>
      <w:r w:rsidR="00AD0C4C" w:rsidRPr="00B40036">
        <w:rPr>
          <w:rFonts w:eastAsia="SimHei"/>
        </w:rPr>
        <w:t>年</w:t>
      </w:r>
      <w:r w:rsidR="00AD0C4C" w:rsidRPr="00B40036">
        <w:rPr>
          <w:rFonts w:eastAsia="SimHei"/>
        </w:rPr>
        <w:t>5</w:t>
      </w:r>
      <w:r w:rsidR="00AD0C4C" w:rsidRPr="00B40036">
        <w:rPr>
          <w:rFonts w:eastAsia="SimHei"/>
        </w:rPr>
        <w:t>月</w:t>
      </w:r>
      <w:r w:rsidR="00795843">
        <w:rPr>
          <w:rFonts w:eastAsia="SimHei"/>
        </w:rPr>
        <w:t>31</w:t>
      </w:r>
      <w:r w:rsidR="00AD0C4C" w:rsidRPr="00B40036">
        <w:rPr>
          <w:rFonts w:eastAsia="SimHei"/>
        </w:rPr>
        <w:t>日之前按照委员会</w:t>
      </w:r>
      <w:r w:rsidR="00AD0C4C" w:rsidRPr="00B40036">
        <w:rPr>
          <w:rFonts w:eastAsia="SimHei"/>
        </w:rPr>
        <w:t>2008</w:t>
      </w:r>
      <w:r w:rsidR="00AD0C4C" w:rsidRPr="00B40036">
        <w:rPr>
          <w:rFonts w:eastAsia="SimHei"/>
        </w:rPr>
        <w:t>年通过的准则</w:t>
      </w:r>
      <w:r w:rsidR="00AD0C4C" w:rsidRPr="00B40036">
        <w:rPr>
          <w:rFonts w:eastAsia="SimHei"/>
        </w:rPr>
        <w:t>(E/C.12/2008/2)</w:t>
      </w:r>
      <w:r w:rsidR="00AD0C4C" w:rsidRPr="00B40036">
        <w:rPr>
          <w:rFonts w:eastAsia="SimHei"/>
        </w:rPr>
        <w:t>提交下一次定期报告委员会。</w:t>
      </w:r>
    </w:p>
    <w:p w:rsidR="00B40036" w:rsidRPr="002D6A9C" w:rsidRDefault="00B4003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F7879" w:rsidRPr="00AD0C4C" w:rsidRDefault="007F7879" w:rsidP="00AD0C4C">
      <w:pPr>
        <w:pStyle w:val="SingleTxtGC"/>
        <w:rPr>
          <w:rFonts w:hint="eastAsia"/>
        </w:rPr>
      </w:pPr>
    </w:p>
    <w:sectPr w:rsidR="007F7879" w:rsidRPr="00AD0C4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CC2" w:rsidRPr="00C12ACA" w:rsidRDefault="00D82CC2"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82CC2" w:rsidRPr="00C12ACA" w:rsidRDefault="00D82CC2"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28E" w:rsidRPr="006B24EA" w:rsidRDefault="00C7128E"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921B8">
      <w:rPr>
        <w:rStyle w:val="PageNumber"/>
        <w:noProof/>
      </w:rPr>
      <w:t>6</w:t>
    </w:r>
    <w:r>
      <w:rPr>
        <w:rStyle w:val="PageNumber"/>
      </w:rPr>
      <w:fldChar w:fldCharType="end"/>
    </w:r>
    <w:r>
      <w:rPr>
        <w:rStyle w:val="PageNumber"/>
        <w:rFonts w:eastAsia="SimSun" w:hint="eastAsia"/>
        <w:lang w:eastAsia="zh-CN"/>
      </w:rPr>
      <w:tab/>
    </w:r>
    <w:r w:rsidRPr="006B24EA">
      <w:rPr>
        <w:rFonts w:eastAsia="SimSun"/>
        <w:lang w:eastAsia="zh-CN"/>
      </w:rPr>
      <w:t>GE.13-44447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28E" w:rsidRDefault="00C7128E">
    <w:pPr>
      <w:pStyle w:val="Footer"/>
      <w:tabs>
        <w:tab w:val="right" w:pos="9639"/>
      </w:tabs>
    </w:pPr>
    <w:r w:rsidRPr="006B24EA">
      <w:rPr>
        <w:rFonts w:eastAsia="SimSun"/>
        <w:lang w:eastAsia="zh-CN"/>
      </w:rPr>
      <w:t>GE.13-44447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921B8">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28E" w:rsidRPr="00EB79AD" w:rsidRDefault="00C7128E" w:rsidP="00EB79A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44447</w:t>
    </w:r>
    <w:r w:rsidRPr="00EE277A">
      <w:rPr>
        <w:rFonts w:eastAsia="SimSun"/>
        <w:sz w:val="20"/>
        <w:lang w:eastAsia="zh-CN"/>
      </w:rPr>
      <w:t xml:space="preserve"> (C)</w:t>
    </w:r>
    <w:r>
      <w:rPr>
        <w:rFonts w:eastAsia="SimSun"/>
        <w:sz w:val="20"/>
        <w:lang w:eastAsia="zh-CN"/>
      </w:rPr>
      <w:tab/>
    </w:r>
    <w:r>
      <w:rPr>
        <w:rFonts w:eastAsia="SimSun" w:hint="eastAsia"/>
        <w:sz w:val="20"/>
        <w:lang w:eastAsia="zh-CN"/>
      </w:rPr>
      <w:t>090713</w:t>
    </w:r>
    <w:r>
      <w:rPr>
        <w:rFonts w:eastAsia="SimSun"/>
        <w:sz w:val="20"/>
        <w:lang w:eastAsia="zh-CN"/>
      </w:rPr>
      <w:tab/>
    </w:r>
    <w:r>
      <w:rPr>
        <w:rFonts w:eastAsia="SimSun" w:hint="eastAsia"/>
        <w:sz w:val="20"/>
        <w:lang w:eastAsia="zh-CN"/>
      </w:rPr>
      <w:t>100713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CC2" w:rsidRPr="0081261C" w:rsidRDefault="00D82CC2"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82CC2" w:rsidRPr="0081261C" w:rsidRDefault="00D82CC2"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28E" w:rsidRPr="006B24EA" w:rsidRDefault="00C7128E">
    <w:pPr>
      <w:pStyle w:val="Header"/>
    </w:pPr>
    <w:r w:rsidRPr="006B24EA">
      <w:t>E/C.12/JPN/CO/3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28E" w:rsidRPr="006B24EA" w:rsidRDefault="00C7128E" w:rsidP="00B34556">
    <w:pPr>
      <w:pStyle w:val="Header"/>
      <w:jc w:val="right"/>
      <w:rPr>
        <w:rFonts w:hint="eastAsia"/>
        <w:lang w:eastAsia="zh-CN"/>
      </w:rPr>
    </w:pPr>
    <w:r w:rsidRPr="006B24EA">
      <w:rPr>
        <w:lang w:eastAsia="zh-CN"/>
      </w:rPr>
      <w:t>E/C.12/JPN/CO/3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Title"/>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27F407DB"/>
    <w:multiLevelType w:val="hybridMultilevel"/>
    <w:tmpl w:val="2B08499C"/>
    <w:lvl w:ilvl="0" w:tplc="1F741D7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2E828AB"/>
    <w:multiLevelType w:val="hybridMultilevel"/>
    <w:tmpl w:val="C31EF4E6"/>
    <w:lvl w:ilvl="0" w:tplc="1F741D7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DFF2AD9"/>
    <w:multiLevelType w:val="hybridMultilevel"/>
    <w:tmpl w:val="F4108B1A"/>
    <w:lvl w:ilvl="0" w:tplc="1F741D7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958726D"/>
    <w:multiLevelType w:val="hybridMultilevel"/>
    <w:tmpl w:val="FCE69496"/>
    <w:lvl w:ilvl="0" w:tplc="1F741D7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CB1570F"/>
    <w:multiLevelType w:val="hybridMultilevel"/>
    <w:tmpl w:val="41A0249A"/>
    <w:lvl w:ilvl="0" w:tplc="1F741D7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5925DC1"/>
    <w:multiLevelType w:val="hybridMultilevel"/>
    <w:tmpl w:val="FAA66F24"/>
    <w:lvl w:ilvl="0" w:tplc="8C4849AC">
      <w:start w:val="1"/>
      <w:numFmt w:val="bullet"/>
      <w:pStyle w:val="SS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75E223DA"/>
    <w:multiLevelType w:val="hybridMultilevel"/>
    <w:tmpl w:val="5B7ACB42"/>
    <w:lvl w:ilvl="0" w:tplc="3A60C988">
      <w:start w:val="1"/>
      <w:numFmt w:val="bullet"/>
      <w:pStyle w:val="XLarge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8"/>
  </w:num>
  <w:num w:numId="3">
    <w:abstractNumId w:val="1"/>
  </w:num>
  <w:num w:numId="4">
    <w:abstractNumId w:val="7"/>
  </w:num>
  <w:num w:numId="5">
    <w:abstractNumId w:val="9"/>
  </w:num>
  <w:num w:numId="6">
    <w:abstractNumId w:val="6"/>
  </w:num>
  <w:num w:numId="7">
    <w:abstractNumId w:val="5"/>
  </w:num>
  <w:num w:numId="8">
    <w:abstractNumId w:val="3"/>
  </w:num>
  <w:num w:numId="9">
    <w:abstractNumId w:val="2"/>
  </w:num>
  <w:num w:numId="10">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1A50"/>
    <w:rsid w:val="00035909"/>
    <w:rsid w:val="00046B61"/>
    <w:rsid w:val="00063033"/>
    <w:rsid w:val="00070B7E"/>
    <w:rsid w:val="00086F4E"/>
    <w:rsid w:val="000A43F9"/>
    <w:rsid w:val="000C274E"/>
    <w:rsid w:val="000F5954"/>
    <w:rsid w:val="00121D98"/>
    <w:rsid w:val="001403EE"/>
    <w:rsid w:val="00151F38"/>
    <w:rsid w:val="0015615D"/>
    <w:rsid w:val="0016094A"/>
    <w:rsid w:val="001625FD"/>
    <w:rsid w:val="00196FA0"/>
    <w:rsid w:val="001B69DD"/>
    <w:rsid w:val="001C23C1"/>
    <w:rsid w:val="001D29B2"/>
    <w:rsid w:val="001F5A19"/>
    <w:rsid w:val="00261BF4"/>
    <w:rsid w:val="00262E49"/>
    <w:rsid w:val="002870B0"/>
    <w:rsid w:val="002C0105"/>
    <w:rsid w:val="002C3281"/>
    <w:rsid w:val="00334FC4"/>
    <w:rsid w:val="003B1A50"/>
    <w:rsid w:val="003E6655"/>
    <w:rsid w:val="00406EB0"/>
    <w:rsid w:val="0043484D"/>
    <w:rsid w:val="00465769"/>
    <w:rsid w:val="00486D97"/>
    <w:rsid w:val="004C235D"/>
    <w:rsid w:val="004F48BD"/>
    <w:rsid w:val="00505F60"/>
    <w:rsid w:val="00507D92"/>
    <w:rsid w:val="005621D1"/>
    <w:rsid w:val="00563197"/>
    <w:rsid w:val="00592EEF"/>
    <w:rsid w:val="00595CD4"/>
    <w:rsid w:val="005A6FC4"/>
    <w:rsid w:val="005A71D9"/>
    <w:rsid w:val="005E376C"/>
    <w:rsid w:val="00607864"/>
    <w:rsid w:val="00616930"/>
    <w:rsid w:val="006428EA"/>
    <w:rsid w:val="0065286A"/>
    <w:rsid w:val="00670091"/>
    <w:rsid w:val="006730F2"/>
    <w:rsid w:val="00676C1F"/>
    <w:rsid w:val="00677D09"/>
    <w:rsid w:val="00694488"/>
    <w:rsid w:val="006B146A"/>
    <w:rsid w:val="006B24EA"/>
    <w:rsid w:val="006B689C"/>
    <w:rsid w:val="006E3A44"/>
    <w:rsid w:val="006E5D54"/>
    <w:rsid w:val="006E6CFF"/>
    <w:rsid w:val="006F3A06"/>
    <w:rsid w:val="006F5A06"/>
    <w:rsid w:val="00703BF4"/>
    <w:rsid w:val="007047B6"/>
    <w:rsid w:val="00710976"/>
    <w:rsid w:val="00710A0D"/>
    <w:rsid w:val="00743F36"/>
    <w:rsid w:val="0075248A"/>
    <w:rsid w:val="00753286"/>
    <w:rsid w:val="007655E9"/>
    <w:rsid w:val="00795843"/>
    <w:rsid w:val="007B04AF"/>
    <w:rsid w:val="007E0737"/>
    <w:rsid w:val="007F368A"/>
    <w:rsid w:val="007F7879"/>
    <w:rsid w:val="00800C13"/>
    <w:rsid w:val="0081078C"/>
    <w:rsid w:val="0081261C"/>
    <w:rsid w:val="00812823"/>
    <w:rsid w:val="00820E3D"/>
    <w:rsid w:val="00830C41"/>
    <w:rsid w:val="0084212E"/>
    <w:rsid w:val="00884CFB"/>
    <w:rsid w:val="0089219E"/>
    <w:rsid w:val="008A60CE"/>
    <w:rsid w:val="008D0C1D"/>
    <w:rsid w:val="008D56EB"/>
    <w:rsid w:val="008F1688"/>
    <w:rsid w:val="00911661"/>
    <w:rsid w:val="0091796C"/>
    <w:rsid w:val="00924E64"/>
    <w:rsid w:val="0093202C"/>
    <w:rsid w:val="009713E4"/>
    <w:rsid w:val="009A4448"/>
    <w:rsid w:val="009A6EC1"/>
    <w:rsid w:val="009D12C6"/>
    <w:rsid w:val="009D284D"/>
    <w:rsid w:val="009E6350"/>
    <w:rsid w:val="009F25BB"/>
    <w:rsid w:val="009F5707"/>
    <w:rsid w:val="00A074F4"/>
    <w:rsid w:val="00A12BC6"/>
    <w:rsid w:val="00A276E7"/>
    <w:rsid w:val="00A43D3B"/>
    <w:rsid w:val="00A47EDA"/>
    <w:rsid w:val="00A85E03"/>
    <w:rsid w:val="00A926F9"/>
    <w:rsid w:val="00A9510E"/>
    <w:rsid w:val="00A95606"/>
    <w:rsid w:val="00AC0744"/>
    <w:rsid w:val="00AC5D1B"/>
    <w:rsid w:val="00AD0C4C"/>
    <w:rsid w:val="00AD3CA8"/>
    <w:rsid w:val="00AE0C53"/>
    <w:rsid w:val="00AF172E"/>
    <w:rsid w:val="00B07359"/>
    <w:rsid w:val="00B34556"/>
    <w:rsid w:val="00B40036"/>
    <w:rsid w:val="00B538C4"/>
    <w:rsid w:val="00B85871"/>
    <w:rsid w:val="00B86951"/>
    <w:rsid w:val="00B93BD1"/>
    <w:rsid w:val="00BB4A54"/>
    <w:rsid w:val="00BC7B15"/>
    <w:rsid w:val="00BD1FE7"/>
    <w:rsid w:val="00BD4653"/>
    <w:rsid w:val="00C12ACA"/>
    <w:rsid w:val="00C4076E"/>
    <w:rsid w:val="00C40B55"/>
    <w:rsid w:val="00C7128E"/>
    <w:rsid w:val="00C91EE0"/>
    <w:rsid w:val="00C921B8"/>
    <w:rsid w:val="00CA4607"/>
    <w:rsid w:val="00CB035B"/>
    <w:rsid w:val="00CC7DA0"/>
    <w:rsid w:val="00CE3A52"/>
    <w:rsid w:val="00D02AA5"/>
    <w:rsid w:val="00D051DF"/>
    <w:rsid w:val="00D15608"/>
    <w:rsid w:val="00D37D56"/>
    <w:rsid w:val="00D82CC2"/>
    <w:rsid w:val="00D84AEB"/>
    <w:rsid w:val="00D936FE"/>
    <w:rsid w:val="00DD0222"/>
    <w:rsid w:val="00DE3185"/>
    <w:rsid w:val="00E00E26"/>
    <w:rsid w:val="00E01C4E"/>
    <w:rsid w:val="00E24B1B"/>
    <w:rsid w:val="00E369A1"/>
    <w:rsid w:val="00E4348C"/>
    <w:rsid w:val="00E45D2D"/>
    <w:rsid w:val="00E50800"/>
    <w:rsid w:val="00E80866"/>
    <w:rsid w:val="00EA7B01"/>
    <w:rsid w:val="00EB42E5"/>
    <w:rsid w:val="00EB79AD"/>
    <w:rsid w:val="00EC4216"/>
    <w:rsid w:val="00EE65C4"/>
    <w:rsid w:val="00EF0F11"/>
    <w:rsid w:val="00F1129F"/>
    <w:rsid w:val="00F31DB3"/>
    <w:rsid w:val="00F35B15"/>
    <w:rsid w:val="00F604BA"/>
    <w:rsid w:val="00F77598"/>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SingleTxtGC">
    <w:name w:val="_ Single Txt_GC"/>
    <w:basedOn w:val="Normal"/>
    <w:link w:val="SingleTxtGCChar"/>
    <w:rsid w:val="00AC5D1B"/>
    <w:pPr>
      <w:tabs>
        <w:tab w:val="left" w:pos="1134"/>
        <w:tab w:val="left" w:pos="1565"/>
        <w:tab w:val="left" w:pos="1996"/>
        <w:tab w:val="left" w:pos="2427"/>
      </w:tabs>
      <w:spacing w:after="120"/>
      <w:ind w:left="1134" w:right="1134"/>
    </w:p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Footnote Text Char Char,Char,Char Char Char,Char Char Char Char,single space,Footnote Text Char Char Char Char Char Char Char,Footnote Text Char1"/>
    <w:basedOn w:val="Normal"/>
    <w:link w:val="FootnoteTextChar"/>
    <w:rsid w:val="008D56EB"/>
    <w:pPr>
      <w:keepLines/>
      <w:tabs>
        <w:tab w:val="clear" w:pos="431"/>
        <w:tab w:val="right" w:pos="1021"/>
      </w:tabs>
      <w:spacing w:after="120" w:line="240" w:lineRule="exact"/>
      <w:ind w:left="1134" w:right="1134" w:hanging="1134"/>
    </w:pPr>
    <w:rPr>
      <w:sz w:val="18"/>
    </w:rPr>
  </w:style>
  <w:style w:type="character" w:customStyle="1" w:styleId="FootnoteTextChar">
    <w:name w:val="Footnote Text Char"/>
    <w:aliases w:val="5_G Char,Footnote Text Char Char Char,Char Char,Char Char Char Char1,Char Char Char Char Char,single space Char,Footnote Text Char Char Char Char Char Char Char Char,Footnote Text Char1 Char"/>
    <w:link w:val="FootnoteText"/>
    <w:rsid w:val="003B1A50"/>
    <w:rPr>
      <w:rFonts w:eastAsia="SimSun"/>
      <w:snapToGrid w:val="0"/>
      <w:sz w:val="18"/>
      <w:lang w:val="en-US" w:eastAsia="zh-CN" w:bidi="ar-SA"/>
    </w:rPr>
  </w:style>
  <w:style w:type="character" w:styleId="FootnoteReference">
    <w:name w:val="footnote reference"/>
    <w:aliases w:val="4_G,callout,Fago Fußnotenzeichen,Footnotes refss,Appel note de bas de p.,Footnote text"/>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rsid w:val="00486D97"/>
    <w:pPr>
      <w:tabs>
        <w:tab w:val="right" w:pos="1021"/>
      </w:tabs>
    </w:pPr>
  </w:style>
  <w:style w:type="character" w:styleId="EndnoteReference">
    <w:name w:val="endnote reference"/>
    <w:aliases w:val="1_G"/>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DashGC">
    <w:name w:val="_Dash_GC"/>
    <w:basedOn w:val="Normal"/>
    <w:rsid w:val="00AC5D1B"/>
    <w:pPr>
      <w:numPr>
        <w:numId w:val="3"/>
      </w:numPr>
      <w:spacing w:after="120"/>
      <w:ind w:right="1134"/>
    </w:pPr>
    <w:rPr>
      <w:lang w:val="fr-CH"/>
    </w:rPr>
  </w:style>
  <w:style w:type="paragraph" w:styleId="Footer">
    <w:name w:val="footer"/>
    <w:aliases w:val="3_G"/>
    <w:basedOn w:val="Normal"/>
    <w:rsid w:val="005A6FC4"/>
    <w:pPr>
      <w:spacing w:line="240" w:lineRule="auto"/>
    </w:pPr>
    <w:rPr>
      <w:rFonts w:eastAsia="Times New Roman"/>
      <w:sz w:val="16"/>
      <w:lang w:val="en-GB" w:eastAsia="en-US"/>
    </w:rPr>
  </w:style>
  <w:style w:type="character" w:styleId="PageNumber">
    <w:name w:val="page number"/>
    <w:aliases w:val="7_G"/>
    <w:rsid w:val="005A6FC4"/>
    <w:rPr>
      <w:rFonts w:ascii="Times New Roman" w:hAnsi="Times New Roman"/>
      <w:b/>
      <w:spacing w:val="0"/>
      <w:kern w:val="0"/>
      <w:sz w:val="18"/>
    </w:rPr>
  </w:style>
  <w:style w:type="paragraph" w:styleId="Header">
    <w:name w:val="header"/>
    <w:aliases w:val="6_G"/>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
      </w:numPr>
      <w:spacing w:after="120"/>
      <w:ind w:right="1134"/>
    </w:pPr>
  </w:style>
  <w:style w:type="paragraph" w:customStyle="1" w:styleId="Bullet2GC">
    <w:name w:val="_Bullet 2_GC"/>
    <w:basedOn w:val="Normal"/>
    <w:rsid w:val="00AC5D1B"/>
    <w:pPr>
      <w:numPr>
        <w:numId w:val="2"/>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customStyle="1" w:styleId="SingleTxtG">
    <w:name w:val="_ Single Txt_G"/>
    <w:basedOn w:val="Normal"/>
    <w:link w:val="SingleTxtGChar"/>
    <w:rsid w:val="003B1A50"/>
    <w:pPr>
      <w:tabs>
        <w:tab w:val="clear" w:pos="431"/>
      </w:tabs>
      <w:suppressAutoHyphens/>
      <w:overflowPunct/>
      <w:adjustRightInd/>
      <w:snapToGrid/>
      <w:spacing w:after="120" w:line="240" w:lineRule="atLeast"/>
      <w:ind w:left="1134" w:right="1134"/>
    </w:pPr>
    <w:rPr>
      <w:rFonts w:cs="Angsana New"/>
      <w:snapToGrid/>
      <w:sz w:val="20"/>
      <w:lang w:val="en-GB" w:eastAsia="en-US"/>
    </w:rPr>
  </w:style>
  <w:style w:type="character" w:customStyle="1" w:styleId="SingleTxtGChar">
    <w:name w:val="_ Single Txt_G Char"/>
    <w:link w:val="SingleTxtG"/>
    <w:rsid w:val="003B1A50"/>
    <w:rPr>
      <w:rFonts w:eastAsia="SimSun" w:cs="Angsana New"/>
      <w:lang w:val="en-GB" w:eastAsia="en-US" w:bidi="ar-SA"/>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HMG">
    <w:name w:val="_ H __M_G"/>
    <w:basedOn w:val="Normal"/>
    <w:next w:val="Normal"/>
    <w:rsid w:val="003B1A50"/>
    <w:pPr>
      <w:keepNext/>
      <w:keepLines/>
      <w:tabs>
        <w:tab w:val="clear" w:pos="431"/>
        <w:tab w:val="right" w:pos="851"/>
      </w:tabs>
      <w:suppressAutoHyphens/>
      <w:overflowPunct/>
      <w:adjustRightInd/>
      <w:snapToGrid/>
      <w:spacing w:before="240" w:after="240" w:line="360" w:lineRule="exact"/>
      <w:ind w:left="1134" w:right="1134" w:hanging="1134"/>
      <w:jc w:val="left"/>
    </w:pPr>
    <w:rPr>
      <w:rFonts w:cs="Angsana New"/>
      <w:b/>
      <w:snapToGrid/>
      <w:sz w:val="34"/>
      <w:lang w:val="en-GB" w:eastAsia="en-US"/>
    </w:rPr>
  </w:style>
  <w:style w:type="paragraph" w:customStyle="1" w:styleId="HChG">
    <w:name w:val="_ H _Ch_G"/>
    <w:basedOn w:val="Normal"/>
    <w:next w:val="Normal"/>
    <w:rsid w:val="003B1A50"/>
    <w:pPr>
      <w:keepNext/>
      <w:keepLines/>
      <w:tabs>
        <w:tab w:val="clear" w:pos="431"/>
        <w:tab w:val="right" w:pos="851"/>
      </w:tabs>
      <w:suppressAutoHyphens/>
      <w:overflowPunct/>
      <w:adjustRightInd/>
      <w:snapToGrid/>
      <w:spacing w:before="360" w:after="240" w:line="300" w:lineRule="exact"/>
      <w:ind w:left="1134" w:right="1134" w:hanging="1134"/>
      <w:jc w:val="left"/>
    </w:pPr>
    <w:rPr>
      <w:rFonts w:cs="Angsana New"/>
      <w:b/>
      <w:snapToGrid/>
      <w:sz w:val="28"/>
      <w:lang w:val="en-GB" w:eastAsia="en-US"/>
    </w:rPr>
  </w:style>
  <w:style w:type="paragraph" w:customStyle="1" w:styleId="SMG">
    <w:name w:val="__S_M_G"/>
    <w:basedOn w:val="Normal"/>
    <w:next w:val="Normal"/>
    <w:rsid w:val="003B1A50"/>
    <w:pPr>
      <w:keepNext/>
      <w:keepLines/>
      <w:tabs>
        <w:tab w:val="clear" w:pos="431"/>
      </w:tabs>
      <w:suppressAutoHyphens/>
      <w:overflowPunct/>
      <w:adjustRightInd/>
      <w:snapToGrid/>
      <w:spacing w:before="240" w:after="240" w:line="420" w:lineRule="exact"/>
      <w:ind w:left="1134" w:right="1134"/>
      <w:jc w:val="left"/>
    </w:pPr>
    <w:rPr>
      <w:rFonts w:cs="Angsana New"/>
      <w:b/>
      <w:snapToGrid/>
      <w:sz w:val="40"/>
      <w:lang w:val="en-GB" w:eastAsia="en-US"/>
    </w:rPr>
  </w:style>
  <w:style w:type="paragraph" w:customStyle="1" w:styleId="SLG">
    <w:name w:val="__S_L_G"/>
    <w:basedOn w:val="Normal"/>
    <w:next w:val="Normal"/>
    <w:rsid w:val="003B1A50"/>
    <w:pPr>
      <w:keepNext/>
      <w:keepLines/>
      <w:tabs>
        <w:tab w:val="clear" w:pos="431"/>
      </w:tabs>
      <w:suppressAutoHyphens/>
      <w:overflowPunct/>
      <w:adjustRightInd/>
      <w:snapToGrid/>
      <w:spacing w:before="240" w:after="240" w:line="580" w:lineRule="exact"/>
      <w:ind w:left="1134" w:right="1134"/>
      <w:jc w:val="left"/>
    </w:pPr>
    <w:rPr>
      <w:rFonts w:cs="Angsana New"/>
      <w:b/>
      <w:snapToGrid/>
      <w:sz w:val="56"/>
      <w:lang w:val="en-GB" w:eastAsia="en-US"/>
    </w:rPr>
  </w:style>
  <w:style w:type="paragraph" w:customStyle="1" w:styleId="SSG">
    <w:name w:val="__S_S_G"/>
    <w:basedOn w:val="Normal"/>
    <w:next w:val="Normal"/>
    <w:rsid w:val="003B1A50"/>
    <w:pPr>
      <w:keepNext/>
      <w:keepLines/>
      <w:tabs>
        <w:tab w:val="clear" w:pos="431"/>
      </w:tabs>
      <w:suppressAutoHyphens/>
      <w:overflowPunct/>
      <w:adjustRightInd/>
      <w:snapToGrid/>
      <w:spacing w:before="240" w:after="240" w:line="300" w:lineRule="exact"/>
      <w:ind w:left="1134" w:right="1134"/>
      <w:jc w:val="left"/>
    </w:pPr>
    <w:rPr>
      <w:rFonts w:cs="Angsana New"/>
      <w:b/>
      <w:snapToGrid/>
      <w:sz w:val="28"/>
      <w:lang w:val="en-GB" w:eastAsia="en-US"/>
    </w:rPr>
  </w:style>
  <w:style w:type="paragraph" w:customStyle="1" w:styleId="XLargeG">
    <w:name w:val="__XLarge_G"/>
    <w:basedOn w:val="Normal"/>
    <w:next w:val="Normal"/>
    <w:rsid w:val="003B1A50"/>
    <w:pPr>
      <w:keepNext/>
      <w:keepLines/>
      <w:tabs>
        <w:tab w:val="clear" w:pos="431"/>
      </w:tabs>
      <w:suppressAutoHyphens/>
      <w:overflowPunct/>
      <w:adjustRightInd/>
      <w:snapToGrid/>
      <w:spacing w:before="240" w:after="240" w:line="420" w:lineRule="exact"/>
      <w:ind w:left="1134" w:right="1134"/>
      <w:jc w:val="left"/>
    </w:pPr>
    <w:rPr>
      <w:rFonts w:cs="Angsana New"/>
      <w:b/>
      <w:snapToGrid/>
      <w:sz w:val="40"/>
      <w:lang w:val="en-GB" w:eastAsia="en-US"/>
    </w:rPr>
  </w:style>
  <w:style w:type="paragraph" w:customStyle="1" w:styleId="Bullet1G">
    <w:name w:val="_Bullet 1_G"/>
    <w:basedOn w:val="Normal"/>
    <w:rsid w:val="003B1A50"/>
    <w:pPr>
      <w:numPr>
        <w:numId w:val="4"/>
      </w:numPr>
      <w:tabs>
        <w:tab w:val="clear" w:pos="431"/>
      </w:tabs>
      <w:suppressAutoHyphens/>
      <w:overflowPunct/>
      <w:adjustRightInd/>
      <w:snapToGrid/>
      <w:spacing w:after="120" w:line="240" w:lineRule="atLeast"/>
      <w:ind w:right="1134"/>
    </w:pPr>
    <w:rPr>
      <w:rFonts w:cs="Angsana New"/>
      <w:snapToGrid/>
      <w:sz w:val="20"/>
      <w:lang w:val="en-GB" w:eastAsia="en-US"/>
    </w:rPr>
  </w:style>
  <w:style w:type="paragraph" w:customStyle="1" w:styleId="Bullet2G">
    <w:name w:val="_Bullet 2_G"/>
    <w:basedOn w:val="Normal"/>
    <w:rsid w:val="003B1A50"/>
    <w:pPr>
      <w:numPr>
        <w:numId w:val="5"/>
      </w:numPr>
      <w:tabs>
        <w:tab w:val="clear" w:pos="431"/>
      </w:tabs>
      <w:suppressAutoHyphens/>
      <w:overflowPunct/>
      <w:adjustRightInd/>
      <w:snapToGrid/>
      <w:spacing w:after="120" w:line="240" w:lineRule="atLeast"/>
      <w:ind w:right="1134"/>
    </w:pPr>
    <w:rPr>
      <w:rFonts w:cs="Angsana New"/>
      <w:snapToGrid/>
      <w:sz w:val="20"/>
      <w:lang w:val="en-GB" w:eastAsia="en-US"/>
    </w:rPr>
  </w:style>
  <w:style w:type="paragraph" w:customStyle="1" w:styleId="H1G">
    <w:name w:val="_ H_1_G"/>
    <w:basedOn w:val="Normal"/>
    <w:next w:val="Normal"/>
    <w:link w:val="H1GChar"/>
    <w:rsid w:val="003B1A50"/>
    <w:pPr>
      <w:keepNext/>
      <w:keepLines/>
      <w:tabs>
        <w:tab w:val="clear" w:pos="431"/>
        <w:tab w:val="right" w:pos="851"/>
      </w:tabs>
      <w:suppressAutoHyphens/>
      <w:overflowPunct/>
      <w:adjustRightInd/>
      <w:snapToGrid/>
      <w:spacing w:before="360" w:after="240" w:line="270" w:lineRule="exact"/>
      <w:ind w:left="1134" w:right="1134" w:hanging="1134"/>
      <w:jc w:val="left"/>
    </w:pPr>
    <w:rPr>
      <w:rFonts w:cs="Angsana New"/>
      <w:b/>
      <w:snapToGrid/>
      <w:sz w:val="24"/>
      <w:lang w:val="en-GB" w:eastAsia="en-US"/>
    </w:rPr>
  </w:style>
  <w:style w:type="character" w:customStyle="1" w:styleId="H1GChar">
    <w:name w:val="_ H_1_G Char"/>
    <w:link w:val="H1G"/>
    <w:locked/>
    <w:rsid w:val="003B1A50"/>
    <w:rPr>
      <w:rFonts w:eastAsia="SimSun" w:cs="Angsana New"/>
      <w:b/>
      <w:sz w:val="24"/>
      <w:lang w:val="en-GB" w:eastAsia="en-US" w:bidi="ar-SA"/>
    </w:rPr>
  </w:style>
  <w:style w:type="paragraph" w:customStyle="1" w:styleId="H23G">
    <w:name w:val="_ H_2/3_G"/>
    <w:basedOn w:val="Normal"/>
    <w:next w:val="Normal"/>
    <w:rsid w:val="003B1A50"/>
    <w:pPr>
      <w:keepNext/>
      <w:keepLines/>
      <w:tabs>
        <w:tab w:val="clear" w:pos="431"/>
        <w:tab w:val="right" w:pos="851"/>
      </w:tabs>
      <w:suppressAutoHyphens/>
      <w:overflowPunct/>
      <w:adjustRightInd/>
      <w:snapToGrid/>
      <w:spacing w:before="240" w:after="120" w:line="240" w:lineRule="exact"/>
      <w:ind w:left="1134" w:right="1134" w:hanging="1134"/>
      <w:jc w:val="left"/>
    </w:pPr>
    <w:rPr>
      <w:rFonts w:cs="Angsana New"/>
      <w:b/>
      <w:snapToGrid/>
      <w:sz w:val="20"/>
      <w:lang w:val="en-GB" w:eastAsia="en-US"/>
    </w:rPr>
  </w:style>
  <w:style w:type="paragraph" w:customStyle="1" w:styleId="H4G">
    <w:name w:val="_ H_4_G"/>
    <w:basedOn w:val="Normal"/>
    <w:next w:val="Normal"/>
    <w:rsid w:val="003B1A50"/>
    <w:pPr>
      <w:keepNext/>
      <w:keepLines/>
      <w:tabs>
        <w:tab w:val="clear" w:pos="431"/>
        <w:tab w:val="right" w:pos="851"/>
      </w:tabs>
      <w:suppressAutoHyphens/>
      <w:overflowPunct/>
      <w:adjustRightInd/>
      <w:snapToGrid/>
      <w:spacing w:before="240" w:after="120" w:line="240" w:lineRule="exact"/>
      <w:ind w:left="1134" w:right="1134" w:hanging="1134"/>
      <w:jc w:val="left"/>
    </w:pPr>
    <w:rPr>
      <w:rFonts w:cs="Angsana New"/>
      <w:i/>
      <w:snapToGrid/>
      <w:sz w:val="20"/>
      <w:lang w:val="en-GB" w:eastAsia="en-US"/>
    </w:rPr>
  </w:style>
  <w:style w:type="paragraph" w:customStyle="1" w:styleId="H56G">
    <w:name w:val="_ H_5/6_G"/>
    <w:basedOn w:val="Normal"/>
    <w:next w:val="Normal"/>
    <w:rsid w:val="003B1A50"/>
    <w:pPr>
      <w:keepNext/>
      <w:keepLines/>
      <w:tabs>
        <w:tab w:val="clear" w:pos="431"/>
        <w:tab w:val="right" w:pos="851"/>
      </w:tabs>
      <w:suppressAutoHyphens/>
      <w:overflowPunct/>
      <w:adjustRightInd/>
      <w:snapToGrid/>
      <w:spacing w:before="240" w:after="120" w:line="240" w:lineRule="exact"/>
      <w:ind w:left="1134" w:right="1134" w:hanging="1134"/>
      <w:jc w:val="left"/>
    </w:pPr>
    <w:rPr>
      <w:rFonts w:cs="Angsana New"/>
      <w:snapToGrid/>
      <w:sz w:val="20"/>
      <w:lang w:val="en-GB" w:eastAsia="en-US"/>
    </w:rPr>
  </w:style>
  <w:style w:type="table" w:styleId="TableGrid">
    <w:name w:val="Table Grid"/>
    <w:basedOn w:val="TableNormal"/>
    <w:semiHidden/>
    <w:rsid w:val="003B1A50"/>
    <w:pPr>
      <w:suppressAutoHyphens/>
      <w:spacing w:line="240" w:lineRule="atLeast"/>
    </w:pPr>
    <w:rPr>
      <w:rFonts w:cs="Angsana Ne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NoSpacing">
    <w:name w:val="No Spacing"/>
    <w:link w:val="NoSpacingChar"/>
    <w:qFormat/>
    <w:rsid w:val="003B1A50"/>
    <w:rPr>
      <w:rFonts w:ascii="Calibri" w:eastAsia="Calibri" w:hAnsi="Calibri" w:cs="Angsana New"/>
      <w:sz w:val="22"/>
      <w:szCs w:val="22"/>
      <w:lang w:val="en-GB"/>
    </w:rPr>
  </w:style>
  <w:style w:type="character" w:customStyle="1" w:styleId="NoSpacingChar">
    <w:name w:val="No Spacing Char"/>
    <w:link w:val="NoSpacing"/>
    <w:rsid w:val="003B1A50"/>
    <w:rPr>
      <w:rFonts w:ascii="Calibri" w:eastAsia="Calibri" w:hAnsi="Calibri" w:cs="Angsana New"/>
      <w:sz w:val="22"/>
      <w:szCs w:val="22"/>
      <w:lang w:val="en-GB" w:eastAsia="en-US" w:bidi="ar-SA"/>
    </w:rPr>
  </w:style>
  <w:style w:type="character" w:customStyle="1" w:styleId="Smbolodenotaalpie">
    <w:name w:val="Símbolo de nota al pie"/>
    <w:rsid w:val="003B1A50"/>
    <w:rPr>
      <w:rFonts w:ascii="Times New Roman" w:hAnsi="Times New Roman"/>
      <w:sz w:val="18"/>
      <w:szCs w:val="18"/>
      <w:vertAlign w:val="superscript"/>
    </w:rPr>
  </w:style>
  <w:style w:type="paragraph" w:customStyle="1" w:styleId="NRcommentforCB">
    <w:name w:val="NR comment for CB"/>
    <w:basedOn w:val="NoSpacing"/>
    <w:link w:val="NRcommentforCBChar"/>
    <w:qFormat/>
    <w:rsid w:val="003B1A50"/>
    <w:pPr>
      <w:suppressAutoHyphens/>
      <w:spacing w:after="120"/>
      <w:jc w:val="both"/>
    </w:pPr>
    <w:rPr>
      <w:rFonts w:ascii="Times New Roman" w:hAnsi="Times New Roman"/>
      <w:b/>
      <w:i/>
      <w:lang w:val="en-US" w:eastAsia="ar-SA"/>
    </w:rPr>
  </w:style>
  <w:style w:type="character" w:customStyle="1" w:styleId="NRcommentforCBChar">
    <w:name w:val="NR comment for CB Char"/>
    <w:link w:val="NRcommentforCB"/>
    <w:rsid w:val="003B1A50"/>
    <w:rPr>
      <w:rFonts w:eastAsia="Calibri" w:cs="Angsana New"/>
      <w:b/>
      <w:i/>
      <w:sz w:val="22"/>
      <w:szCs w:val="22"/>
      <w:lang w:val="en-US" w:eastAsia="ar-SA" w:bidi="ar-SA"/>
    </w:rPr>
  </w:style>
  <w:style w:type="paragraph" w:styleId="DocumentMap">
    <w:name w:val="Document Map"/>
    <w:basedOn w:val="Normal"/>
    <w:semiHidden/>
    <w:rsid w:val="003B1A50"/>
    <w:pPr>
      <w:shd w:val="clear" w:color="auto" w:fill="000080"/>
      <w:tabs>
        <w:tab w:val="clear" w:pos="431"/>
      </w:tabs>
      <w:suppressAutoHyphens/>
      <w:overflowPunct/>
      <w:adjustRightInd/>
      <w:snapToGrid/>
      <w:spacing w:line="240" w:lineRule="atLeast"/>
      <w:ind w:left="1134" w:right="1134"/>
      <w:jc w:val="left"/>
    </w:pPr>
    <w:rPr>
      <w:rFonts w:ascii="Tahoma" w:hAnsi="Tahoma" w:cs="Angsana New"/>
      <w:snapToGrid/>
      <w:sz w:val="20"/>
      <w:szCs w:val="24"/>
      <w:lang w:val="en-GB" w:eastAsia="en-US"/>
    </w:rPr>
  </w:style>
  <w:style w:type="character" w:customStyle="1" w:styleId="highlight1">
    <w:name w:val="highlight1"/>
    <w:rsid w:val="003B1A50"/>
    <w:rPr>
      <w:shd w:val="clear" w:color="auto" w:fill="FFCC33"/>
    </w:rPr>
  </w:style>
  <w:style w:type="character" w:styleId="CommentReference">
    <w:name w:val="annotation reference"/>
    <w:rsid w:val="003B1A50"/>
    <w:rPr>
      <w:sz w:val="16"/>
      <w:szCs w:val="16"/>
    </w:rPr>
  </w:style>
  <w:style w:type="paragraph" w:styleId="CommentText">
    <w:name w:val="annotation text"/>
    <w:basedOn w:val="Normal"/>
    <w:link w:val="CommentTextChar"/>
    <w:rsid w:val="003B1A50"/>
    <w:pPr>
      <w:tabs>
        <w:tab w:val="clear" w:pos="431"/>
      </w:tabs>
      <w:suppressAutoHyphens/>
      <w:overflowPunct/>
      <w:adjustRightInd/>
      <w:snapToGrid/>
      <w:spacing w:line="240" w:lineRule="atLeast"/>
      <w:ind w:left="1134" w:right="1134"/>
      <w:jc w:val="left"/>
    </w:pPr>
    <w:rPr>
      <w:rFonts w:cs="Angsana New"/>
      <w:snapToGrid/>
      <w:sz w:val="20"/>
      <w:lang w:val="en-GB" w:eastAsia="en-US"/>
    </w:rPr>
  </w:style>
  <w:style w:type="character" w:customStyle="1" w:styleId="CommentTextChar">
    <w:name w:val="Comment Text Char"/>
    <w:link w:val="CommentText"/>
    <w:rsid w:val="003B1A50"/>
    <w:rPr>
      <w:rFonts w:eastAsia="SimSun" w:cs="Angsana New"/>
      <w:lang w:val="en-GB" w:eastAsia="en-US" w:bidi="ar-SA"/>
    </w:rPr>
  </w:style>
  <w:style w:type="paragraph" w:styleId="CommentSubject">
    <w:name w:val="annotation subject"/>
    <w:basedOn w:val="CommentText"/>
    <w:next w:val="CommentText"/>
    <w:link w:val="CommentSubjectChar"/>
    <w:rsid w:val="003B1A50"/>
    <w:rPr>
      <w:b/>
      <w:bCs/>
    </w:rPr>
  </w:style>
  <w:style w:type="character" w:customStyle="1" w:styleId="CommentSubjectChar">
    <w:name w:val="Comment Subject Char"/>
    <w:link w:val="CommentSubject"/>
    <w:rsid w:val="003B1A50"/>
    <w:rPr>
      <w:rFonts w:eastAsia="SimSun" w:cs="Angsana New"/>
      <w:b/>
      <w:bCs/>
      <w:lang w:val="en-GB" w:eastAsia="en-US" w:bidi="ar-SA"/>
    </w:rPr>
  </w:style>
  <w:style w:type="paragraph" w:styleId="BalloonText">
    <w:name w:val="Balloon Text"/>
    <w:basedOn w:val="Normal"/>
    <w:link w:val="BalloonTextChar"/>
    <w:rsid w:val="003B1A50"/>
    <w:pPr>
      <w:tabs>
        <w:tab w:val="clear" w:pos="431"/>
      </w:tabs>
      <w:suppressAutoHyphens/>
      <w:overflowPunct/>
      <w:adjustRightInd/>
      <w:snapToGrid/>
      <w:spacing w:line="240" w:lineRule="auto"/>
      <w:ind w:left="1134" w:right="1134"/>
      <w:jc w:val="left"/>
    </w:pPr>
    <w:rPr>
      <w:rFonts w:ascii="Tahoma" w:hAnsi="Tahoma" w:cs="Tahoma"/>
      <w:snapToGrid/>
      <w:sz w:val="16"/>
      <w:szCs w:val="16"/>
      <w:lang w:val="en-GB" w:eastAsia="en-US"/>
    </w:rPr>
  </w:style>
  <w:style w:type="character" w:customStyle="1" w:styleId="BalloonTextChar">
    <w:name w:val="Balloon Text Char"/>
    <w:link w:val="BalloonText"/>
    <w:rsid w:val="003B1A50"/>
    <w:rPr>
      <w:rFonts w:ascii="Tahoma" w:eastAsia="SimSun" w:hAnsi="Tahoma" w:cs="Tahoma"/>
      <w:sz w:val="16"/>
      <w:szCs w:val="16"/>
      <w:lang w:val="en-GB" w:eastAsia="en-US" w:bidi="ar-SA"/>
    </w:rPr>
  </w:style>
  <w:style w:type="paragraph" w:styleId="Revision">
    <w:name w:val="Revision"/>
    <w:hidden/>
    <w:semiHidden/>
    <w:rsid w:val="003B1A50"/>
    <w:rPr>
      <w:rFonts w:cs="Angsana New"/>
      <w:lang w:val="en-GB"/>
    </w:rPr>
  </w:style>
  <w:style w:type="character" w:customStyle="1" w:styleId="atn">
    <w:name w:val="atn"/>
    <w:basedOn w:val="DefaultParagraphFont"/>
    <w:rsid w:val="003B1A50"/>
  </w:style>
  <w:style w:type="character" w:customStyle="1" w:styleId="shorttext">
    <w:name w:val="short_text"/>
    <w:basedOn w:val="DefaultParagraphFont"/>
    <w:rsid w:val="003B1A50"/>
  </w:style>
  <w:style w:type="character" w:customStyle="1" w:styleId="longtext">
    <w:name w:val="long_text"/>
    <w:basedOn w:val="DefaultParagraphFont"/>
    <w:rsid w:val="003B1A50"/>
  </w:style>
  <w:style w:type="character" w:customStyle="1" w:styleId="SingleTxtGCChar">
    <w:name w:val="_ Single Txt_GC Char"/>
    <w:link w:val="SingleTxtGC"/>
    <w:locked/>
    <w:rsid w:val="00A074F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1009</Words>
  <Characters>5753</Characters>
  <Application>Microsoft Office Word</Application>
  <DocSecurity>4</DocSecurity>
  <Lines>47</Lines>
  <Paragraphs>13</Paragraphs>
  <ScaleCrop>false</ScaleCrop>
  <Company>CSD</Company>
  <LinksUpToDate>false</LinksUpToDate>
  <CharactersWithSpaces>6749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dc:creator>
  <cp:keywords/>
  <dc:description/>
  <cp:lastModifiedBy>Kong</cp:lastModifiedBy>
  <cp:revision>3</cp:revision>
  <cp:lastPrinted>2013-07-10T13:26:00Z</cp:lastPrinted>
  <dcterms:created xsi:type="dcterms:W3CDTF">2013-07-10T13:26:00Z</dcterms:created>
  <dcterms:modified xsi:type="dcterms:W3CDTF">2013-07-10T13:27:00Z</dcterms:modified>
</cp:coreProperties>
</file>