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623ª sesión</w:t>
      </w:r>
    </w:p>
    <w:p w:rsidR="00000000" w:rsidRDefault="00000000">
      <w:r>
        <w:t>Celebrada en la Sede, Nueva York, el viernes 11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 xml:space="preserve">Examen de los informes presentados por los Estados partes en virtud del artículo 18 de la Convención </w:t>
      </w:r>
      <w:r>
        <w:rPr>
          <w:i/>
        </w:rPr>
        <w:t>(continuación)</w:t>
      </w:r>
    </w:p>
    <w:p w:rsidR="00000000" w:rsidRDefault="00000000">
      <w:pPr>
        <w:pStyle w:val="SingleTxt"/>
      </w:pPr>
      <w:r>
        <w:tab/>
      </w:r>
      <w:r>
        <w:rPr>
          <w:i/>
        </w:rPr>
        <w:t xml:space="preserve">Cuarto y quinto informes periódicos combinados del Ecuador </w:t>
      </w:r>
      <w:r>
        <w:t>(</w:t>
      </w:r>
      <w:r>
        <w:rPr>
          <w:i/>
        </w:rPr>
        <w:t>continuación</w:t>
      </w:r>
      <w:r>
        <w:t>)</w:t>
      </w:r>
    </w:p>
    <w:p w:rsidR="00000000" w:rsidRDefault="00000000">
      <w:pPr>
        <w:pStyle w:val="SingleTxt"/>
        <w:spacing w:after="0" w:line="480" w:lineRule="auto"/>
        <w:rPr>
          <w:sz w:val="2"/>
        </w:rPr>
        <w:sectPr w:rsidR="00000000">
          <w:headerReference w:type="first" r:id="rId13"/>
          <w:footerReference w:type="first" r:id="rId14"/>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jc w:val="both"/>
        <w:rPr>
          <w:sz w:val="2"/>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en virtud del artículo 18 de la Convención </w:t>
      </w:r>
      <w:r>
        <w:rPr>
          <w:b w:val="0"/>
          <w:i/>
        </w:rPr>
        <w:t>(continuación)</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 xml:space="preserve">Cuarto y quinto informes periódicos combinados del Ecuador (continuación) </w:t>
      </w:r>
      <w:r>
        <w:rPr>
          <w:i w:val="0"/>
        </w:rPr>
        <w:t>(CEDAW/C/ECU/4-5, CEDAW/PSWG/2003/II/CRP.1/Add.1 y CEDAW/PSWG/2003/II/CRP.2)</w:t>
      </w:r>
    </w:p>
    <w:p w:rsidR="00000000" w:rsidRDefault="00000000">
      <w:pPr>
        <w:pStyle w:val="DualTxt"/>
        <w:spacing w:after="0" w:line="120" w:lineRule="exact"/>
        <w:rPr>
          <w:sz w:val="10"/>
        </w:rPr>
      </w:pPr>
    </w:p>
    <w:p w:rsidR="00000000" w:rsidRDefault="00000000">
      <w:pPr>
        <w:pStyle w:val="DualTxt"/>
      </w:pPr>
      <w:r>
        <w:t>1.</w:t>
      </w:r>
      <w:r>
        <w:tab/>
        <w:t>Por invitación de la Presidenta, la Sra. García A</w:t>
      </w:r>
      <w:r>
        <w:t>l</w:t>
      </w:r>
      <w:r>
        <w:t>varado y la Sra. Aguilar Montalvo toman asiento a la mesa del C</w:t>
      </w:r>
      <w:r>
        <w:t>o</w:t>
      </w:r>
      <w:r>
        <w:t>mité.</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12 a 14</w:t>
      </w:r>
    </w:p>
    <w:p w:rsidR="00000000" w:rsidRDefault="00000000">
      <w:pPr>
        <w:pStyle w:val="DualTxt"/>
        <w:spacing w:after="0" w:line="120" w:lineRule="exact"/>
        <w:rPr>
          <w:sz w:val="10"/>
        </w:rPr>
      </w:pPr>
    </w:p>
    <w:p w:rsidR="00000000" w:rsidRDefault="00000000">
      <w:pPr>
        <w:pStyle w:val="DualTxt"/>
      </w:pPr>
      <w:r>
        <w:t>2.</w:t>
      </w:r>
      <w:r>
        <w:tab/>
      </w:r>
      <w:r>
        <w:rPr>
          <w:b/>
        </w:rPr>
        <w:t>La Sra. García Alvarado</w:t>
      </w:r>
      <w:r>
        <w:t xml:space="preserve"> (Ecuador), refiriénd</w:t>
      </w:r>
      <w:r>
        <w:t>o</w:t>
      </w:r>
      <w:r>
        <w:t>se a la seguridad social y al seguro de salud, dice que su Gobierno está considerando la creación de un plan universal de seguro de salud. Actualmente, los funci</w:t>
      </w:r>
      <w:r>
        <w:t>o</w:t>
      </w:r>
      <w:r>
        <w:t>narios públicos tienen derecho a un seguro de salud p</w:t>
      </w:r>
      <w:r>
        <w:t>e</w:t>
      </w:r>
      <w:r>
        <w:t>ro en el sector privado sólo el 60% de los empleados tiene seguro médico proporcionado por los emplead</w:t>
      </w:r>
      <w:r>
        <w:t>o</w:t>
      </w:r>
      <w:r>
        <w:t>res, mientras que únicamente el 10% de la población rural está cubierta por algún tipo de seguro médico. El Gobierno del Ecuador es consciente del peligro que plantea la creación de un sistema privado de seg</w:t>
      </w:r>
      <w:r>
        <w:t>u</w:t>
      </w:r>
      <w:r>
        <w:t>ro médico, como sucedió en Chile, país donde gran parte de la población optó por no pagar las primas del seg</w:t>
      </w:r>
      <w:r>
        <w:t>u</w:t>
      </w:r>
      <w:r>
        <w:t xml:space="preserve">ro. </w:t>
      </w:r>
    </w:p>
    <w:p w:rsidR="00000000" w:rsidRDefault="00000000">
      <w:pPr>
        <w:pStyle w:val="DualTxt"/>
      </w:pPr>
      <w:r>
        <w:t>3.</w:t>
      </w:r>
      <w:r>
        <w:tab/>
        <w:t>Se creó un fondo para facilitar el acceso de las mujeres rurales al crédito. Además, el Consejo Naci</w:t>
      </w:r>
      <w:r>
        <w:t>o</w:t>
      </w:r>
      <w:r>
        <w:t>nal de las Mujeres (CONAMU) está cooperando en el marco del programa PADEMUR para aplicar medidas que mejoren la educación, la salud y los ingresos de las mujeres rurales. La reforma agraria comenzó en los d</w:t>
      </w:r>
      <w:r>
        <w:t>e</w:t>
      </w:r>
      <w:r>
        <w:t>cenios de 1960 y 1970 como una forma de asegurar una distribución equitativa de la tierra, transfiriendo su t</w:t>
      </w:r>
      <w:r>
        <w:t>e</w:t>
      </w:r>
      <w:r>
        <w:t>nencia de los latifundistas a la población rural, en pa</w:t>
      </w:r>
      <w:r>
        <w:t>r</w:t>
      </w:r>
      <w:r>
        <w:t>ticular a las poblaciones indígenas, para que éstas p</w:t>
      </w:r>
      <w:r>
        <w:t>u</w:t>
      </w:r>
      <w:r>
        <w:t>dieran recuperar sus tierras ancestrales. Los derechos de la mujer a la tierra no han mejorado y las reformas no han surtido los efectos deseados ya que a menudo las tierras redistribuidas eran de mala calidad. En co</w:t>
      </w:r>
      <w:r>
        <w:t>n</w:t>
      </w:r>
      <w:r>
        <w:t>secuencia, se están planeando otras medidas para g</w:t>
      </w:r>
      <w:r>
        <w:t>a</w:t>
      </w:r>
      <w:r>
        <w:t>rantizar una reforma agraria auténtica. No obstante, en el plano municipal, el Instituto Nacional de Desarrollo Agrario (INDA) ha distribuido predios municipales no cultivados.</w:t>
      </w:r>
    </w:p>
    <w:p w:rsidR="00000000" w:rsidRDefault="00000000">
      <w:pPr>
        <w:pStyle w:val="DualTxt"/>
      </w:pPr>
      <w:r>
        <w:t>4.</w:t>
      </w:r>
      <w:r>
        <w:tab/>
      </w:r>
      <w:r>
        <w:rPr>
          <w:b/>
        </w:rPr>
        <w:t>La Sra. Aguilar Montalvo</w:t>
      </w:r>
      <w:r>
        <w:t xml:space="preserve"> (Ecuador), refirié</w:t>
      </w:r>
      <w:r>
        <w:t>n</w:t>
      </w:r>
      <w:r>
        <w:t>dose al acceso de la mujer indígena a la justicia, en particular en materia de violencia intrafamiliar, dice que las autoridades policiales de todo el país tienen el cometido de aplicar la Ley contra la Violencia a la Mujer y la Familia. Las comisarías de la mujer, esp</w:t>
      </w:r>
      <w:r>
        <w:t>e</w:t>
      </w:r>
      <w:r>
        <w:t>cializadas en atender los casos de violencia intrafam</w:t>
      </w:r>
      <w:r>
        <w:t>i</w:t>
      </w:r>
      <w:r>
        <w:t>liar, existen solamente en las capitales de provincia y su jurisdicción se limita únicamente al cantón local. Es frecuente que a las mujeres indígenas les sea difícil r</w:t>
      </w:r>
      <w:r>
        <w:t>e</w:t>
      </w:r>
      <w:r>
        <w:t>currir a la justicia porque les resulta costoso trasladarse hasta la comisaría. Sin embargo, en las provincias con una población indígena importante en las que hay c</w:t>
      </w:r>
      <w:r>
        <w:t>o</w:t>
      </w:r>
      <w:r>
        <w:t>misarías de la mujer, muchas mujeres indígenas pr</w:t>
      </w:r>
      <w:r>
        <w:t>e</w:t>
      </w:r>
      <w:r>
        <w:t>sentan denuncias. Las organizaciones femeninas y las organizaciones de mujeres indígenas están tratando de aumentar la conciencia de los derechos de la mujer, p</w:t>
      </w:r>
      <w:r>
        <w:t>e</w:t>
      </w:r>
      <w:r>
        <w:t>ro como resultado de la garantía constitucional que ampara el sistema tradicional indígena de justicia, a</w:t>
      </w:r>
      <w:r>
        <w:t>d</w:t>
      </w:r>
      <w:r>
        <w:t>ministrado por ancianos y dirigentes respetados por la comunidad, se presiona mucho a las mujeres para que no hagan denuncias o las retiren, y para que los pr</w:t>
      </w:r>
      <w:r>
        <w:t>o</w:t>
      </w:r>
      <w:r>
        <w:t>blemas de violencia intrafamiliar se resuelvan dentro de la jurisdicción indígena, que tiende a no tener en cuenta ninguna consideración de género y que juzga la violencia de conformidad con los usos y costumbres tradicionales.</w:t>
      </w:r>
    </w:p>
    <w:p w:rsidR="00000000" w:rsidRDefault="00000000">
      <w:pPr>
        <w:pStyle w:val="DualTxt"/>
        <w:rPr>
          <w:caps/>
        </w:rPr>
      </w:pPr>
      <w:r>
        <w:t>5.</w:t>
      </w:r>
      <w:r>
        <w:tab/>
        <w:t>La oradora dice que el CONAMU alienta a las mujeres indígenas a recurrir a la justicia y está trab</w:t>
      </w:r>
      <w:r>
        <w:t>a</w:t>
      </w:r>
      <w:r>
        <w:t>jando con grupos de mujeres indígenas y no indígenas para destacar la importancia de los aspectos culturales e intersectoriales de la violencia contra la mujer. Pero la tarea no es fácil, ya que muchas organizaciones de mujeres indígenas no están vinculadas a las organiz</w:t>
      </w:r>
      <w:r>
        <w:t>a</w:t>
      </w:r>
      <w:r>
        <w:t>ciones femeninas nacionales. No obstante, se han real</w:t>
      </w:r>
      <w:r>
        <w:t>i</w:t>
      </w:r>
      <w:r>
        <w:t>zado dos importantes estudios sobre la violencia contra la mujer indígena: uno sobre las mujeres afroecuatori</w:t>
      </w:r>
      <w:r>
        <w:t>a</w:t>
      </w:r>
      <w:r>
        <w:t>nas menores de 15 años y otro sobre la eficacia de la ejecución de los programas en provincias con una p</w:t>
      </w:r>
      <w:r>
        <w:t>o</w:t>
      </w:r>
      <w:r>
        <w:t>blación indígena numerosa.</w:t>
      </w:r>
    </w:p>
    <w:p w:rsidR="00000000" w:rsidRDefault="00000000">
      <w:pPr>
        <w:pStyle w:val="DualTxt"/>
      </w:pPr>
      <w:r>
        <w:t>6.</w:t>
      </w:r>
      <w:r>
        <w:rPr>
          <w:b/>
        </w:rPr>
        <w:tab/>
        <w:t>La Sra. Morvai</w:t>
      </w:r>
      <w:r>
        <w:t xml:space="preserve"> dice que la situación del trabajo infantil en Ecuador es terrible y pregunta si hubo pr</w:t>
      </w:r>
      <w:r>
        <w:t>o</w:t>
      </w:r>
      <w:r>
        <w:t>testas a nivel nacional o internacional contra las empr</w:t>
      </w:r>
      <w:r>
        <w:t>e</w:t>
      </w:r>
      <w:r>
        <w:t xml:space="preserve">sas nacionales e internacionales que explotan la mano de obra infantil barata. </w:t>
      </w:r>
    </w:p>
    <w:p w:rsidR="00000000" w:rsidRDefault="00000000">
      <w:pPr>
        <w:pStyle w:val="DualTxt"/>
      </w:pPr>
      <w:r>
        <w:t>7.</w:t>
      </w:r>
      <w:r>
        <w:tab/>
      </w:r>
      <w:r>
        <w:rPr>
          <w:b/>
        </w:rPr>
        <w:t>La Sra. García Alvarado</w:t>
      </w:r>
      <w:r>
        <w:t xml:space="preserve"> (Ecuador) remite al Comité a las estadísticas de población económic</w:t>
      </w:r>
      <w:r>
        <w:t>a</w:t>
      </w:r>
      <w:r>
        <w:t>mente activa que figuran en el docume</w:t>
      </w:r>
      <w:r>
        <w:t>n</w:t>
      </w:r>
      <w:r>
        <w:t>to CEDAW/PSWG/2003/II/CRP.2 (respuestas a las preguntas 7 y 8). Entre los 10 y 19 años, trabajaban más varones que niñas, ya que tradicionalmente las muchachas salen a trabajar algunos años más tarde que los varones. Hay niños de tan sólo 3 ó 4 años que tr</w:t>
      </w:r>
      <w:r>
        <w:t>a</w:t>
      </w:r>
      <w:r>
        <w:t>bajan vendiendo goma de mascar en la calle. La orad</w:t>
      </w:r>
      <w:r>
        <w:t>o</w:t>
      </w:r>
      <w:r>
        <w:t>ra dice que hubo presiones para reducir la cantidad de niños que trabajaban mediante, por ejemplo, el boic</w:t>
      </w:r>
      <w:r>
        <w:t>o</w:t>
      </w:r>
      <w:r>
        <w:t>teo de las empresas bananeras y camaroneras ecuat</w:t>
      </w:r>
      <w:r>
        <w:t>o</w:t>
      </w:r>
      <w:r>
        <w:t>rianas para protestar contra la explotación de mano de obra infantil; le preocupan, sin embargo,  los efectos devastadores que estas medidas pueden tener en la ec</w:t>
      </w:r>
      <w:r>
        <w:t>o</w:t>
      </w:r>
      <w:r>
        <w:t>nomía y el mercado laboral. No obstante, el Gobierno ecuatoriano es consciente del problema y, aunque no haya una campaña importante y específica en la mat</w:t>
      </w:r>
      <w:r>
        <w:t>e</w:t>
      </w:r>
      <w:r>
        <w:t>ria, el Instituto Nacional del Niño y la Familia (INNFA) está trabajando para aumentar la toma de conciencia sobre este tema. La Constitución prohíbe el trabajo infantil, especialmente en las ocupaciones pel</w:t>
      </w:r>
      <w:r>
        <w:t>i</w:t>
      </w:r>
      <w:r>
        <w:t>grosas, pero, por el momento, la mano de obra infantil sigue formando parte del mercado laboral. La deleg</w:t>
      </w:r>
      <w:r>
        <w:t>a</w:t>
      </w:r>
      <w:r>
        <w:t>ción del Ecuador hará esfuerzos para que en el próximo informe haya más estadísticas sobre el t</w:t>
      </w:r>
      <w:r>
        <w:t>e</w:t>
      </w:r>
      <w:r>
        <w:t>ma.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pPr>
      <w:r>
        <w:t>8.</w:t>
      </w:r>
      <w:r>
        <w:tab/>
      </w:r>
      <w:r>
        <w:rPr>
          <w:b/>
        </w:rPr>
        <w:t xml:space="preserve">La Sra. Morvai </w:t>
      </w:r>
      <w:r>
        <w:t>manifiesta gran preocupación por la elevada tasa de sexualidad temprana y embar</w:t>
      </w:r>
      <w:r>
        <w:t>a</w:t>
      </w:r>
      <w:r>
        <w:t>zos adolescentes y pregunta si la situación es caract</w:t>
      </w:r>
      <w:r>
        <w:t>e</w:t>
      </w:r>
      <w:r>
        <w:t>rística únicamente de los segmentos más pobres de la población o si se observa también en las clases media y alta. Agradecería que se le proporcionaran estadísticas desglosadas por clase social.</w:t>
      </w:r>
    </w:p>
    <w:p w:rsidR="00000000" w:rsidRDefault="00000000">
      <w:pPr>
        <w:pStyle w:val="DualTxt"/>
      </w:pPr>
      <w:r>
        <w:t>9.</w:t>
      </w:r>
      <w:r>
        <w:tab/>
      </w:r>
      <w:r>
        <w:rPr>
          <w:b/>
        </w:rPr>
        <w:t>El Sr. Flinterman</w:t>
      </w:r>
      <w:r>
        <w:t xml:space="preserve"> se pregunta si en la reforma del Código Civil se eliminaron realmente todas las di</w:t>
      </w:r>
      <w:r>
        <w:t>s</w:t>
      </w:r>
      <w:r>
        <w:t>posiciones discriminatorias contra la mujer, por eje</w:t>
      </w:r>
      <w:r>
        <w:t>m</w:t>
      </w:r>
      <w:r>
        <w:t>plo prohibiendo que los antecedentes sexuales de la mujer fueran utilizados en los juicios por paternidad, reduciendo el plazo tras el cual la mujer puede contraer matrimonio nuevamente o no permitiendo que las prostitutas sean testigos en los juicios de divorcio. Le desconcierta que en el informe se indique que la edad mínima para contraer matrimonio es de 18 años (párr. 318) pero que casi el 32% de las mujeres entre 15 y 19 años estén casadas (párr. 313) y que no haya est</w:t>
      </w:r>
      <w:r>
        <w:t>a</w:t>
      </w:r>
      <w:r>
        <w:t>dísticas sobre los hombres en el mismo grupo de edad. Se pregunta si, en la práctica, habiendo consentimiento de los padres, la edad en la que la mujer puede contraer matrimonio es diferente a la del hombre; por lo tanto, solicita más información al respecto y también en rel</w:t>
      </w:r>
      <w:r>
        <w:t>a</w:t>
      </w:r>
      <w:r>
        <w:t>ción con la tasa de embarazos de adole</w:t>
      </w:r>
      <w:r>
        <w:t>s</w:t>
      </w:r>
      <w:r>
        <w:t>centes.</w:t>
      </w:r>
    </w:p>
    <w:p w:rsidR="00000000" w:rsidRDefault="00000000">
      <w:pPr>
        <w:pStyle w:val="DualTxt"/>
      </w:pPr>
      <w:r>
        <w:t>10.</w:t>
      </w:r>
      <w:r>
        <w:tab/>
      </w:r>
      <w:r>
        <w:rPr>
          <w:b/>
        </w:rPr>
        <w:t xml:space="preserve">La Sra. Gnacadja </w:t>
      </w:r>
      <w:r>
        <w:t>celebra la reforma legislativa pero dice que la puesta en práctica de los cambios t</w:t>
      </w:r>
      <w:r>
        <w:t>o</w:t>
      </w:r>
      <w:r>
        <w:t>davía deja mucho que desear. A pesar de los esfuerzos realizados, como por ejemplo la capacitación de jueces y fiscales, hay resistencia en el sistema judicial y la administración pública a la aplicación de los derechos de la mujer. Los juicios por causas de violencia intr</w:t>
      </w:r>
      <w:r>
        <w:t>a</w:t>
      </w:r>
      <w:r>
        <w:t>familiar y violación son muy largos y las sentencias j</w:t>
      </w:r>
      <w:r>
        <w:t>u</w:t>
      </w:r>
      <w:r>
        <w:t>diciales están influidas por los estereotipos. La oradora pregunta de qué manera el Gobierno prevé garantizar el respeto de los derechos de la mujer y cuál es el papel que debería desempeñar la Defensoría del Pueblo para lograr ese o</w:t>
      </w:r>
      <w:r>
        <w:t>b</w:t>
      </w:r>
      <w:r>
        <w:t>jetivo.</w:t>
      </w:r>
    </w:p>
    <w:p w:rsidR="00000000" w:rsidRDefault="00000000">
      <w:pPr>
        <w:pStyle w:val="DualTxt"/>
      </w:pPr>
      <w:r>
        <w:t>11.</w:t>
      </w:r>
      <w:r>
        <w:tab/>
        <w:t>Es importante modificar una práctica que existe en las poblaciones indígenas por la cual el hombre es el único que tiene derecho a disponer de la sociedad co</w:t>
      </w:r>
      <w:r>
        <w:t>n</w:t>
      </w:r>
      <w:r>
        <w:t>yugal. A tales efectos, habría que asegurar que se exija la firma de ambos cónyuges para vender los bienes. Si bien se ha indicado que la unión de hecho tiene los mismos derechos que el matrimonio si la pareja cumple con tres criterios, éstos no se han definido. Finalmente, aunque en los contratos civiles se requiere el consent</w:t>
      </w:r>
      <w:r>
        <w:t>i</w:t>
      </w:r>
      <w:r>
        <w:t>miento de ambos cónyuges, se pregunta cómo puede aplicarse imparcialmente este requisito cuando uno de los cónyuges es analfabeto y si hay algún otro método que pudiera utilizarse, como por ejemplo, una declar</w:t>
      </w:r>
      <w:r>
        <w:t>a</w:t>
      </w:r>
      <w:r>
        <w:t>ción oral.</w:t>
      </w:r>
    </w:p>
    <w:p w:rsidR="00000000" w:rsidRDefault="00000000">
      <w:pPr>
        <w:pStyle w:val="DualTxt"/>
      </w:pPr>
      <w:r>
        <w:t>12.</w:t>
      </w:r>
      <w:r>
        <w:tab/>
      </w:r>
      <w:r>
        <w:rPr>
          <w:b/>
        </w:rPr>
        <w:t xml:space="preserve">La Sra. Patten </w:t>
      </w:r>
      <w:r>
        <w:t>pregunta</w:t>
      </w:r>
      <w:r>
        <w:rPr>
          <w:b/>
        </w:rPr>
        <w:t xml:space="preserve"> </w:t>
      </w:r>
      <w:r>
        <w:t>si hay casos en que no se permitió contraer matrimonio a menores de 18 años aunque tuvieran la autorización de los padres, y si, en general, los juzgados están dispuestos a autorizar a las jóvenes menores de 18 años a contraer matrimonio. Agradecería que se presentara información más amplia sobre los proyectos de desarrollo social relativos a la familia y sus repercusiones en la vida de la mujer. También pregunta si las mujeres pueden acceder a asistencia jurídica al divorciarse y, en caso afirmativo, cuáles son los criterios para recibir dicha ayuda; si los bienes de la sociedad conyugal se dividen en partes iguales y si la mujer tiene derecho a recibir el pago de alimentos aunque la pareja no haya tenido h</w:t>
      </w:r>
      <w:r>
        <w:t>i</w:t>
      </w:r>
      <w:r>
        <w:t>jos.</w:t>
      </w:r>
    </w:p>
    <w:p w:rsidR="00000000" w:rsidRDefault="00000000">
      <w:pPr>
        <w:pStyle w:val="DualTxt"/>
      </w:pPr>
      <w:r>
        <w:t>13.</w:t>
      </w:r>
      <w:r>
        <w:tab/>
      </w:r>
      <w:r>
        <w:rPr>
          <w:b/>
        </w:rPr>
        <w:t xml:space="preserve">La Sra. Simonovic </w:t>
      </w:r>
      <w:r>
        <w:t>recuerda que de conformidad con el artículo 272 de la Constitución, los tratados i</w:t>
      </w:r>
      <w:r>
        <w:t>n</w:t>
      </w:r>
      <w:r>
        <w:t>ternacionales prevalecen sobre las leyes del país, pero se pregunta qué mecanismos existen o están previstos para garantizar la aplicación de la Constitución y los tratados internacionales, en particular de la Conve</w:t>
      </w:r>
      <w:r>
        <w:t>n</w:t>
      </w:r>
      <w:r>
        <w:t>ción. Las reformas de los Códigos Civil y Penal son una oportunidad para armonizar la legislación del Ecuador con las normas internacionales. La oradora d</w:t>
      </w:r>
      <w:r>
        <w:t>e</w:t>
      </w:r>
      <w:r>
        <w:t>sea saber si el Estado parte ha aprovechado esa oport</w:t>
      </w:r>
      <w:r>
        <w:t>u</w:t>
      </w:r>
      <w:r>
        <w:t>nidad en consulta con las organizaciones no gubern</w:t>
      </w:r>
      <w:r>
        <w:t>a</w:t>
      </w:r>
      <w:r>
        <w:t>mentales. Pregunta, por ejemplo, si en el nuevo Código Civil, actualmente pendiente de aprobación, se elimina la práctica discriminatoria que exige que la mujer esp</w:t>
      </w:r>
      <w:r>
        <w:t>e</w:t>
      </w:r>
      <w:r>
        <w:t>re un plazo determinado antes de volver a casarse. También deben ser revocadas las disposiciones del C</w:t>
      </w:r>
      <w:r>
        <w:t>ó</w:t>
      </w:r>
      <w:r>
        <w:t xml:space="preserve">digo Penal que consagran el concepto de defensa de la honra de la familia. </w:t>
      </w:r>
    </w:p>
    <w:p w:rsidR="00000000" w:rsidRDefault="00000000">
      <w:pPr>
        <w:pStyle w:val="DualTxt"/>
      </w:pPr>
      <w:r>
        <w:t>14.</w:t>
      </w:r>
      <w:r>
        <w:tab/>
      </w:r>
      <w:r>
        <w:rPr>
          <w:b/>
        </w:rPr>
        <w:t xml:space="preserve">La Sra. González Martínez </w:t>
      </w:r>
      <w:r>
        <w:t>dice que deben d</w:t>
      </w:r>
      <w:r>
        <w:t>e</w:t>
      </w:r>
      <w:r>
        <w:t>rogarse algunas disposiciones del Código Civil que son discriminatorias contra la mujer. Cita el uso de los a</w:t>
      </w:r>
      <w:r>
        <w:t>n</w:t>
      </w:r>
      <w:r>
        <w:t>tecedentes sexuales de la mujer en las decisiones de los juicios de paternidad y la imposición de un plazo para que la mujer pueda contraer nuevamente matrimonio, especialmente cuando la tecnología moderna puede establecer rápidamente la paternidad en caso de emb</w:t>
      </w:r>
      <w:r>
        <w:t>a</w:t>
      </w:r>
      <w:r>
        <w:t>razo. Agradecería recibir más información en materia de derecho de familia para determinar en qué medida las mujeres casadas han conseguido realmente la igua</w:t>
      </w:r>
      <w:r>
        <w:t>l</w:t>
      </w:r>
      <w:r>
        <w:t xml:space="preserve">dad de derechos. También solicita información sobre las causas y tipos de divorcio consagrados en el Código Civil. </w:t>
      </w:r>
    </w:p>
    <w:p w:rsidR="00000000" w:rsidRDefault="00000000">
      <w:pPr>
        <w:pStyle w:val="DualTxt"/>
      </w:pPr>
      <w:r>
        <w:t>15.</w:t>
      </w:r>
      <w:r>
        <w:tab/>
      </w:r>
      <w:r>
        <w:rPr>
          <w:b/>
        </w:rPr>
        <w:t>La Sra. Tavares da Silva</w:t>
      </w:r>
      <w:r>
        <w:t xml:space="preserve"> exhorta al Estado parte a formular políticas y programas amplios y exhaustivos en materia de aborto clandestino, en lugar de encome</w:t>
      </w:r>
      <w:r>
        <w:t>n</w:t>
      </w:r>
      <w:r>
        <w:t>dar esta labor a organizaciones no gubernamentales como la Red Interinstitucional de Atención de Salud de los Adolescentes o proyectos pilotos puntuales sobre educación sexual. Si en un solo programa se incluyera la salud, la educación y la información, y se alentara además la participación de los hombres y muchachos, no sólo disminuiría la cantidad de abortos sino que también se reduciría la tasa de deserción escolar y se pr</w:t>
      </w:r>
      <w:r>
        <w:t>e</w:t>
      </w:r>
      <w:r>
        <w:t xml:space="preserve">vendrían varios problemas de salud. </w:t>
      </w:r>
    </w:p>
    <w:p w:rsidR="00000000" w:rsidRDefault="00000000">
      <w:pPr>
        <w:pStyle w:val="DualTxt"/>
      </w:pPr>
      <w:r>
        <w:t>16.</w:t>
      </w:r>
      <w:r>
        <w:tab/>
        <w:t>La oradora, refiriéndose a la presión que se ejerce sobre las mujeres para que retiren las denuncias de violencia intrafamiliar formuladas ante los tribunales e instituciones indígenas, advierte que los derechos fu</w:t>
      </w:r>
      <w:r>
        <w:t>n</w:t>
      </w:r>
      <w:r>
        <w:t>damentales de la mujer no deben ser menoscabados so pretexto de pr</w:t>
      </w:r>
      <w:r>
        <w:t>o</w:t>
      </w:r>
      <w:r>
        <w:t>teger la diversidad cultural.</w:t>
      </w:r>
    </w:p>
    <w:p w:rsidR="00000000" w:rsidRDefault="00000000">
      <w:pPr>
        <w:pStyle w:val="DualTxt"/>
      </w:pPr>
      <w:r>
        <w:t>17.</w:t>
      </w:r>
      <w:r>
        <w:tab/>
      </w:r>
      <w:r>
        <w:rPr>
          <w:b/>
        </w:rPr>
        <w:t xml:space="preserve">La Sra. García Alvarado </w:t>
      </w:r>
      <w:r>
        <w:t>(Ecuador), respo</w:t>
      </w:r>
      <w:r>
        <w:t>n</w:t>
      </w:r>
      <w:r>
        <w:t>diendo a las preguntas de los miembros del Comité, d</w:t>
      </w:r>
      <w:r>
        <w:t>i</w:t>
      </w:r>
      <w:r>
        <w:t>ce que el Ministerio de Salud Pública tiene estadísticas generales sobre la tasa de natalidad pero que no están desglosadas por zona urbana y rural, clase social u or</w:t>
      </w:r>
      <w:r>
        <w:t>i</w:t>
      </w:r>
      <w:r>
        <w:t>gen étnico o racial. Como es lógico, la tasa de embar</w:t>
      </w:r>
      <w:r>
        <w:t>a</w:t>
      </w:r>
      <w:r>
        <w:t>zo es menor en las mujeres y adolescentes con niveles de educación más altos ya que comienzan a tener hijos más tarde en la vida. La oradora conviene en que el problema de las adolescentes embarazadas está menos relacionado con la sexualidad en la cultura ecuatoriana que con las condiciones de vida (baja esperanza de v</w:t>
      </w:r>
      <w:r>
        <w:t>i</w:t>
      </w:r>
      <w:r>
        <w:t>da, analfabetismo, falta de educación y uso insuficiente de anticonceptivos). No hay estadísticas sobre abortos clandestinos. El aborto es legal en algunos casos esp</w:t>
      </w:r>
      <w:r>
        <w:t>e</w:t>
      </w:r>
      <w:r>
        <w:t>ciales, concretamente en caso de violación y de incap</w:t>
      </w:r>
      <w:r>
        <w:t>a</w:t>
      </w:r>
      <w:r>
        <w:t>cidad mental de la mujer, o cuando peligra la salud de la madre o del niño. El aborto es la segunda causa de muerte en las adolesce</w:t>
      </w:r>
      <w:r>
        <w:t>n</w:t>
      </w:r>
      <w:r>
        <w:t>tes.</w:t>
      </w:r>
    </w:p>
    <w:p w:rsidR="00000000" w:rsidRDefault="00000000">
      <w:pPr>
        <w:pStyle w:val="DualTxt"/>
      </w:pPr>
      <w:r>
        <w:t>18.</w:t>
      </w:r>
      <w:r>
        <w:tab/>
        <w:t>El Consejo Nacional de las Mujeres (CONAMU) está trabajando junto con el Instituto Nacional de Des</w:t>
      </w:r>
      <w:r>
        <w:t>a</w:t>
      </w:r>
      <w:r>
        <w:t>rrollo Agrario para elaborar un modelo de título de propiedad conjunta de la tierra. Antes de las reformas introducidas al Código Civil en el decenio de 1980, el hombre, en calidad de jefe del hogar, podía vender los bienes de la esposa, incluso los heredados, sin el co</w:t>
      </w:r>
      <w:r>
        <w:t>n</w:t>
      </w:r>
      <w:r>
        <w:t>sentimiento de la mujer. Hoy, el hombre y la mujer ti</w:t>
      </w:r>
      <w:r>
        <w:t>e</w:t>
      </w:r>
      <w:r>
        <w:t>nen los mismos derechos en materia de administración de la sociedad conyugal. De conformidad con las nu</w:t>
      </w:r>
      <w:r>
        <w:t>e</w:t>
      </w:r>
      <w:r>
        <w:t>vas disposiciones, deben firmar conjuntamente en caso de compraventa de terrenos, inmuebles o viviendas, i</w:t>
      </w:r>
      <w:r>
        <w:t>n</w:t>
      </w:r>
      <w:r>
        <w:t>cluidos muebles. Los problemas se suscitan cuando la familia es analfabeta y la autorización es oral. El CONAMU ha recibido denuncias de mujeres a las que no se les permitió vender bienes sin el consentimiento del marido cuando éste había emigrado.</w:t>
      </w:r>
    </w:p>
    <w:p w:rsidR="00000000" w:rsidRDefault="00000000">
      <w:pPr>
        <w:pStyle w:val="DualTxt"/>
      </w:pPr>
      <w:r>
        <w:t>19.</w:t>
      </w:r>
      <w:r>
        <w:tab/>
      </w:r>
      <w:r>
        <w:rPr>
          <w:b/>
        </w:rPr>
        <w:t>La Sra. Aguilar Montalvo</w:t>
      </w:r>
      <w:r>
        <w:t xml:space="preserve"> dice</w:t>
      </w:r>
      <w:r>
        <w:rPr>
          <w:b/>
        </w:rPr>
        <w:t xml:space="preserve"> </w:t>
      </w:r>
      <w:r>
        <w:t>que, de acuerdo con el artículo 65 del Código de la Niñez y Adolesce</w:t>
      </w:r>
      <w:r>
        <w:t>n</w:t>
      </w:r>
      <w:r>
        <w:t xml:space="preserve">cia, recientemente aprobado por el Congreso Nacional, la edad para contraer matrimonio, sin el consentimiento de los padres, es de 15 años tanto para el hombre como para la mujer. </w:t>
      </w:r>
    </w:p>
    <w:p w:rsidR="00000000" w:rsidRDefault="00000000">
      <w:pPr>
        <w:pStyle w:val="DualTxt"/>
      </w:pPr>
      <w:r>
        <w:t>20.</w:t>
      </w:r>
      <w:r>
        <w:tab/>
        <w:t>La oradora dice que las mujeres prefieren que la violencia intrafamiliar se tipifique como contravención para obtener una sentencia en 48 horas y sin costo. El CONAMU elevó una propuesta al Consejo Nacional de la Judicatura y al Presidente de la Corte Suprema de Justicia para ubicar en un mismo lugar un juzgado de familia y un juzgado penal y conservar archivos com</w:t>
      </w:r>
      <w:r>
        <w:t>u</w:t>
      </w:r>
      <w:r>
        <w:t>nes en interés de las denunciantes. El Presidente de la Corte Suprema de Justicia promovió esta idea durante una videoconferencia nacional. De no haber inconv</w:t>
      </w:r>
      <w:r>
        <w:t>e</w:t>
      </w:r>
      <w:r>
        <w:t xml:space="preserve">nientes, esta iniciativa se concretará en el transcurso del año. </w:t>
      </w:r>
    </w:p>
    <w:p w:rsidR="00000000" w:rsidRDefault="00000000">
      <w:pPr>
        <w:pStyle w:val="DualTxt"/>
      </w:pPr>
      <w:r>
        <w:t>21.</w:t>
      </w:r>
      <w:r>
        <w:tab/>
        <w:t>Los derechos y deberes inherentes al matrimonio se aplican también a la unión de hecho a condición de que la pareja haya convivido bajo el mismo techo d</w:t>
      </w:r>
      <w:r>
        <w:t>u</w:t>
      </w:r>
      <w:r>
        <w:t>rante por lo menos dos años, según la declaración de testigos. Tanto en los matrimonios legales como en las uniones de hecho, la propiedad conjunta o “sociedad conyugal”, como se la conoce en el Ecuador, puede ser administrada por cualquiera de los cónyuges, pero las modalidades no se han explicitado en ninguna ley o norma. Se supone que el juez civil que celebra el cas</w:t>
      </w:r>
      <w:r>
        <w:t>a</w:t>
      </w:r>
      <w:r>
        <w:t>miento debe preguntar cuál de los cónyuges admini</w:t>
      </w:r>
      <w:r>
        <w:t>s</w:t>
      </w:r>
      <w:r>
        <w:t>trará la sociedad conyugal. No obstante, en el 90% de los casos, esa pregunta no se plantea y se supone que el administrador es el m</w:t>
      </w:r>
      <w:r>
        <w:t>a</w:t>
      </w:r>
      <w:r>
        <w:t xml:space="preserve">rido. </w:t>
      </w:r>
    </w:p>
    <w:p w:rsidR="00000000" w:rsidRDefault="00000000">
      <w:pPr>
        <w:pStyle w:val="DualTxt"/>
        <w:rPr>
          <w:spacing w:val="0"/>
        </w:rPr>
      </w:pPr>
      <w:r>
        <w:t>22.</w:t>
      </w:r>
      <w:r>
        <w:tab/>
        <w:t>La oradora dice que no hay limitaciones a la d</w:t>
      </w:r>
      <w:r>
        <w:t>i</w:t>
      </w:r>
      <w:r>
        <w:t>solución del matrimonio y que el procedimiento es igualitario. Se han propuesto algunas reformas al pr</w:t>
      </w:r>
      <w:r>
        <w:t>o</w:t>
      </w:r>
      <w:r>
        <w:t>yecto de Código de Familia en lo relativo a los ingr</w:t>
      </w:r>
      <w:r>
        <w:t>e</w:t>
      </w:r>
      <w:r>
        <w:t>sos. No obstante, el Código todavía no fue revisado en una segunda lectura. En la primera lectura, se establ</w:t>
      </w:r>
      <w:r>
        <w:t>e</w:t>
      </w:r>
      <w:r>
        <w:t>cía que todos los inmuebles y bienes se distribuirían en forma equitativa entre ambas partes. Las causas de d</w:t>
      </w:r>
      <w:r>
        <w:t>i</w:t>
      </w:r>
      <w:r>
        <w:t>vorcio son, entre otras, el adulterio, la sevicia, las inj</w:t>
      </w:r>
      <w:r>
        <w:t>u</w:t>
      </w:r>
      <w:r>
        <w:t>rias graves o actitud hostil, las amenazas graves, la tentativa de uno de los cónyuges contra la vida del otro, la ebriedad consuetudinaria y la toxicomanía o el contraer una enfermedad grave, incurable y contagiosa. Otras causas son el abandono voluntario e injustificado del otro cónyuge por más de un año, el hecho de que la mujer dé a luz, durante el matrimonio, un hijo conceb</w:t>
      </w:r>
      <w:r>
        <w:t>i</w:t>
      </w:r>
      <w:r>
        <w:t>do antes, o los actos ejecutados por uno de los cóny</w:t>
      </w:r>
      <w:r>
        <w:t>u</w:t>
      </w:r>
      <w:r>
        <w:t>ges con el fin de corromper al otro, o a uno o más de los hijos. Se presta atención prenatal y se pagan subs</w:t>
      </w:r>
      <w:r>
        <w:t>i</w:t>
      </w:r>
      <w:r>
        <w:t>dios aunque no se pueda probar la patern</w:t>
      </w:r>
      <w:r>
        <w:t>i</w:t>
      </w:r>
      <w:r>
        <w:t>dad.</w:t>
      </w:r>
    </w:p>
    <w:p w:rsidR="00000000" w:rsidRDefault="00000000">
      <w:pPr>
        <w:pStyle w:val="DualTxt"/>
      </w:pPr>
      <w:r>
        <w:t>23.</w:t>
      </w:r>
      <w:r>
        <w:tab/>
        <w:t>La Constitución ecuatoriana establece claramente que prevalecen por sobre la legislación nacional los instrumentos internacionales en los que el Ecuador sea Estado parte. La Comisión Parlamentaria de Asuntos de la Mujer, el Niño y la Familia tiene a su cargo la adaptación de la legislación nacional a las disposici</w:t>
      </w:r>
      <w:r>
        <w:t>o</w:t>
      </w:r>
      <w:r>
        <w:t>nes de los instrumentos internacionales, incluida la Convención, un proceso que llevará aproximadamente cuatro años.</w:t>
      </w:r>
      <w:r>
        <w:rPr>
          <w:rStyle w:val="CommentReference"/>
        </w:rPr>
        <w:t xml:space="preserve"> </w:t>
      </w:r>
      <w:r>
        <w:t>Mientras tanto, se invocan los tratados y convenciones internacionales en los casos de violencia familiar y delitos sexuales atendidos por las comisarías de la mujer y la familia, así como en algunos juzgados penales presididos por juezas o en las opiniones juríd</w:t>
      </w:r>
      <w:r>
        <w:t>i</w:t>
      </w:r>
      <w:r>
        <w:t>cas de fiscales con formación en materia de tratados y convenciones internacionales.</w:t>
      </w:r>
    </w:p>
    <w:p w:rsidR="00000000" w:rsidRDefault="00000000">
      <w:pPr>
        <w:pStyle w:val="DualTxt"/>
      </w:pPr>
      <w:r>
        <w:t>24.</w:t>
      </w:r>
      <w:r>
        <w:tab/>
      </w:r>
      <w:r>
        <w:rPr>
          <w:b/>
        </w:rPr>
        <w:t xml:space="preserve">La Sra. García Alvarado </w:t>
      </w:r>
      <w:r>
        <w:t>(Ecuador) dice que una de las primeras tareas de la Comisión Parlament</w:t>
      </w:r>
      <w:r>
        <w:t>a</w:t>
      </w:r>
      <w:r>
        <w:t>ria de Asuntos de la Mujer, el Niño y la Familia fue i</w:t>
      </w:r>
      <w:r>
        <w:t>n</w:t>
      </w:r>
      <w:r>
        <w:t>formar a las diputadas acerca de las disposiciones de la Convención, el Programa de Acción de la Conferencia Internacional sobre la Población y el Desarrollo, cel</w:t>
      </w:r>
      <w:r>
        <w:t>e</w:t>
      </w:r>
      <w:r>
        <w:t>brada en El Cairo, y la Declaración y Plataforma de Acción de Beijing. A pesar de la reforma del Código Civil, no se han podido eliminar totalmente muchas formas de discriminación, que persisten en las normas secundarias. Por ejemplo, sigue vigente el requisito por el cual la mujer no puede volver a contraer matrimonio sino hasta un año después del divorcio, o las limitaci</w:t>
      </w:r>
      <w:r>
        <w:t>o</w:t>
      </w:r>
      <w:r>
        <w:t xml:space="preserve">nes a la participación de la mujer en las cooperativas agrícolas y actividades de ordenación de los recursos hídricos, entre otros. </w:t>
      </w:r>
    </w:p>
    <w:p w:rsidR="00000000" w:rsidRDefault="00000000">
      <w:pPr>
        <w:pStyle w:val="DualTxt"/>
      </w:pPr>
      <w:r>
        <w:t>25.</w:t>
      </w:r>
      <w:r>
        <w:tab/>
        <w:t>La Defensoría del Pueblo presta apoyo y asiste</w:t>
      </w:r>
      <w:r>
        <w:t>n</w:t>
      </w:r>
      <w:r>
        <w:t>cia solamente en materia penal pero las organizaciones no gubernamentales prestan servicios similares en todo el país, en relación con el divorcio civil. Según la Constitución, el Ministerio Fiscal General tiene a su cargo la mediación, pero hay muchos centros de m</w:t>
      </w:r>
      <w:r>
        <w:t>e</w:t>
      </w:r>
      <w:r>
        <w:t xml:space="preserve">diación dirigidos por ONG. </w:t>
      </w:r>
    </w:p>
    <w:p w:rsidR="00000000" w:rsidRDefault="00000000">
      <w:pPr>
        <w:pStyle w:val="DualTxt"/>
      </w:pPr>
      <w:r>
        <w:t>26.</w:t>
      </w:r>
      <w:r>
        <w:tab/>
        <w:t>La oradora dice que están permitidos los delitos de honor y reconoce que, a pesar de las presiones eje</w:t>
      </w:r>
      <w:r>
        <w:t>r</w:t>
      </w:r>
      <w:r>
        <w:t>cidas por la Comisión Parlamentaria de Asuntos de la Mujer, el Niño y la Familia, la reforma de 1998 al C</w:t>
      </w:r>
      <w:r>
        <w:t>ó</w:t>
      </w:r>
      <w:r>
        <w:t>digo Penal no logró enmendar la legislación en la mat</w:t>
      </w:r>
      <w:r>
        <w:t>e</w:t>
      </w:r>
      <w:r>
        <w:t>ria, si bien ésta no se invoca desde hace 35 años. Está previsto que este tema sea tratado en una reforma más exhaustiva en la que participe el Ministerio Fiscal G</w:t>
      </w:r>
      <w:r>
        <w:t>e</w:t>
      </w:r>
      <w:r>
        <w:t>neral. El Ministerio Público será responsable de la aplicación del nuevo Código de Pr</w:t>
      </w:r>
      <w:r>
        <w:t>o</w:t>
      </w:r>
      <w:r>
        <w:t>cedimiento Penal.</w:t>
      </w:r>
    </w:p>
    <w:p w:rsidR="00000000" w:rsidRDefault="00000000">
      <w:pPr>
        <w:pStyle w:val="DualTxt"/>
      </w:pPr>
      <w:r>
        <w:t>27.</w:t>
      </w:r>
      <w:r>
        <w:tab/>
      </w:r>
      <w:r>
        <w:rPr>
          <w:b/>
        </w:rPr>
        <w:t xml:space="preserve">La Presidenta </w:t>
      </w:r>
      <w:r>
        <w:t>encomia al Estado parte por los esfuerzos desplegados para aplicar la Convención a p</w:t>
      </w:r>
      <w:r>
        <w:t>e</w:t>
      </w:r>
      <w:r>
        <w:t>sar de la difícil situación económica y política, así c</w:t>
      </w:r>
      <w:r>
        <w:t>o</w:t>
      </w:r>
      <w:r>
        <w:t>mo de los desastres naturales que asolaron al país. Son particularmente dignos de elogio los grandes progresos del Ecuador en materia legislativa, en particular la r</w:t>
      </w:r>
      <w:r>
        <w:t>e</w:t>
      </w:r>
      <w:r>
        <w:t>forma constitucional, las enmiendas a los Códigos P</w:t>
      </w:r>
      <w:r>
        <w:t>e</w:t>
      </w:r>
      <w:r>
        <w:t>nal y Civil y la adopción de nuevas leyes como la Ley contra la Violencia hacia la Mujer, la Niñez y la Fam</w:t>
      </w:r>
      <w:r>
        <w:t>i</w:t>
      </w:r>
      <w:r>
        <w:t>lia y la Ley de Amparo Laboral, en las que se disponen medidas temporales especiales. Pero se deben seguir haciendo esfuerzos para que la violencia contra la m</w:t>
      </w:r>
      <w:r>
        <w:t>u</w:t>
      </w:r>
      <w:r>
        <w:t>jer sea considerada una violación a los derechos hum</w:t>
      </w:r>
      <w:r>
        <w:t>a</w:t>
      </w:r>
      <w:r>
        <w:t>nos y la forma más fl</w:t>
      </w:r>
      <w:r>
        <w:t>a</w:t>
      </w:r>
      <w:r>
        <w:t xml:space="preserve">grante de discriminación. </w:t>
      </w:r>
    </w:p>
    <w:p w:rsidR="00000000" w:rsidRDefault="00000000">
      <w:pPr>
        <w:pStyle w:val="DualTxt"/>
      </w:pPr>
      <w:r>
        <w:t>28.</w:t>
      </w:r>
      <w:r>
        <w:tab/>
        <w:t>La oradora expresa preocupación por las inco</w:t>
      </w:r>
      <w:r>
        <w:t>n</w:t>
      </w:r>
      <w:r>
        <w:t>gruencias y discrepancias que hay entre la legislación nacional y su aplicación, en particular en materia de enseñanza y trabajo, las que han tenido repercusiones especialmente graves para las mujeres de los gr</w:t>
      </w:r>
      <w:r>
        <w:t>u</w:t>
      </w:r>
      <w:r>
        <w:t>pos más vulnerables. Asimismo, preocupa al Comité la baja tasa de alfabetización de las mujeres de las zonas rur</w:t>
      </w:r>
      <w:r>
        <w:t>a</w:t>
      </w:r>
      <w:r>
        <w:t>les.</w:t>
      </w:r>
    </w:p>
    <w:p w:rsidR="00000000" w:rsidRDefault="00000000">
      <w:pPr>
        <w:pStyle w:val="DualTxt"/>
      </w:pPr>
      <w:r>
        <w:t>29.</w:t>
      </w:r>
      <w:r>
        <w:tab/>
        <w:t>Está claro que es preciso imponer sanciones más severas y aplicar en forma más enérgica la ley vigente para proteger a las mujeres y niñas de la prostitución. La oradora también exhorta al Ecuador a adoptar leyes eficaces para eliminar los estereotipos y las tradiciones que discriminan contra la mujer casada. También deben hacerse respetar los derechos constitucionales en rel</w:t>
      </w:r>
      <w:r>
        <w:t>a</w:t>
      </w:r>
      <w:r>
        <w:t>ción con la administración de la propiedad.</w:t>
      </w:r>
    </w:p>
    <w:p w:rsidR="00000000" w:rsidRDefault="00000000">
      <w:pPr>
        <w:pStyle w:val="DualTxt"/>
      </w:pPr>
      <w:r>
        <w:t>30.</w:t>
      </w:r>
      <w:r>
        <w:tab/>
        <w:t>Es preciso hacer todo lo posible para que el poder judicial tome conciencia de esos problemas. La oradora espera que en el próximo informe periódico el Estado parte dé cuenta de los efectos de las medidas adoptadas para luchar contra la persistencia de la discriminación de género en la práctica y suministre información lab</w:t>
      </w:r>
      <w:r>
        <w:t>o</w:t>
      </w:r>
      <w:r>
        <w:t>ral desglosada por género, así como información sobre las repercusiones de la reforma educativa y programas de alfabetización para las mujeres rurales e indígenas. El Ecuador también debe encarar el problema de las adolescentes embarazadas y de las niñas que trabajan, y dejar bien claro que estos problemas constituyen una violación de los derechos humanos de la mujer.</w:t>
      </w:r>
    </w:p>
    <w:p w:rsidR="00000000" w:rsidRDefault="00000000">
      <w:pPr>
        <w:pStyle w:val="DualTxt"/>
      </w:pPr>
      <w:r>
        <w:t>31.</w:t>
      </w:r>
      <w:r>
        <w:tab/>
        <w:t>La oradora espera que se difundan ampliamente las observaciones finales del Comité, en particular a las organizaciones no gubernamentales. Felicita al Estado parte por la ratificación del Protocolo Facultativo de la Convención y lo exhorta a ratificar también la enmie</w:t>
      </w:r>
      <w:r>
        <w:t>n</w:t>
      </w:r>
      <w:r>
        <w:t>da del párrafo 1 del artículo 20 de la Convención.</w:t>
      </w:r>
    </w:p>
    <w:p w:rsidR="00000000" w:rsidRDefault="00000000">
      <w:pPr>
        <w:pStyle w:val="DualTxt"/>
      </w:pPr>
      <w:r>
        <w:t>32.</w:t>
      </w:r>
      <w:r>
        <w:tab/>
      </w:r>
      <w:r>
        <w:rPr>
          <w:b/>
        </w:rPr>
        <w:t>La Sra. García Alvarado</w:t>
      </w:r>
      <w:r>
        <w:t xml:space="preserve"> (Ecuador) agradece a los miembros del Comité por comprender las dificu</w:t>
      </w:r>
      <w:r>
        <w:t>l</w:t>
      </w:r>
      <w:r>
        <w:t xml:space="preserve">tades internas y externas con que se enfrenta su país. Actualmente se está estudiando la ratificación del </w:t>
      </w:r>
      <w:r>
        <w:br/>
        <w:t>párrafo 1 del artículo 20. La decisión del Gobierno será comun</w:t>
      </w:r>
      <w:r>
        <w:t>i</w:t>
      </w:r>
      <w:r>
        <w:t>cada al Comité a la brevedad.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16.15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NO&gt;&gt;N0342690S&lt;&lt;ODS JOB NO&gt;&gt;</w:t>
      </w:r>
    </w:p>
    <w:p w:rsidR="00000000" w:rsidRDefault="00000000">
      <w:pPr>
        <w:pStyle w:val="CommentText"/>
      </w:pPr>
      <w:r>
        <w:t>&lt;&lt;ODS DOC SYMBOL1&gt;&gt;CEDAW/C/SR.623&lt;&lt;ODS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tcPr>
        <w:p w:rsidR="00000000" w:rsidRDefault="00000000">
          <w:pPr>
            <w:pStyle w:val="Footer"/>
          </w:pPr>
          <w:fldSimple w:instr=" PAGE  \* MERGEFORMAT ">
            <w:r>
              <w:t>5</w:t>
            </w:r>
          </w:fldSimple>
        </w:p>
      </w:tc>
      <w:tc>
        <w:tcPr>
          <w:tcW w:w="5033" w:type="dxa"/>
        </w:tcPr>
        <w:p w:rsidR="00000000" w:rsidRDefault="00000000">
          <w:pPr>
            <w:pStyle w:val="Footer"/>
            <w:jc w:val="right"/>
            <w:rPr>
              <w:b w:val="0"/>
              <w:sz w:val="14"/>
            </w:rPr>
          </w:pPr>
          <w:fldSimple w:instr=" FILENAME \* Lower  \* MERGEFORMAT ">
            <w:r>
              <w:rPr>
                <w:b w:val="0"/>
                <w:sz w:val="14"/>
              </w:rPr>
              <w:t>0342690s.doc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fldSimple w:instr=" FILENAME \* Lower  \* MERGEFORMAT ">
            <w:r>
              <w:rPr>
                <w:b w:val="0"/>
                <w:sz w:val="14"/>
              </w:rPr>
              <w:t>0342690s.doc</w:t>
            </w:r>
          </w:fldSimple>
        </w:p>
      </w:tc>
      <w:tc>
        <w:tcPr>
          <w:tcW w:w="5033" w:type="dxa"/>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03-42690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*0342690*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03-42687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*0342687*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CEDAW/C/SR.623</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26 de enero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2/01/2004 19:44:11"/>
    <w:docVar w:name="DocCategory" w:val="SROthers"/>
    <w:docVar w:name="DocType" w:val="Final"/>
    <w:docVar w:name="JobNo" w:val="0342690S"/>
    <w:docVar w:name="OandT" w:val="pb"/>
    <w:docVar w:name="Symbol1" w:val="CEDAW/C/SR.62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6</Pages>
  <Words>3214</Words>
  <Characters>18321</Characters>
  <Application>Microsoft Office Outlook</Application>
  <DocSecurity>4</DocSecurity>
  <Lines>152</Lines>
  <Paragraphs>36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22499</CharactersWithSpaces>
  <SharedDoc>false</SharedDoc>
  <HLinks>
    <vt:vector size="12" baseType="variant">
      <vt:variant>
        <vt:i4>4522087</vt:i4>
      </vt:variant>
      <vt:variant>
        <vt:i4>23446</vt:i4>
      </vt:variant>
      <vt:variant>
        <vt:i4>1025</vt:i4>
      </vt:variant>
      <vt:variant>
        <vt:i4>1</vt:i4>
      </vt:variant>
      <vt:variant>
        <vt:lpwstr>C:\Program Files\Microsoft Office\WordMacros\_unlogo.wpg</vt:lpwstr>
      </vt:variant>
      <vt:variant>
        <vt:lpwstr/>
      </vt:variant>
      <vt:variant>
        <vt:i4>4522087</vt:i4>
      </vt:variant>
      <vt:variant>
        <vt:i4>24259</vt:i4>
      </vt:variant>
      <vt:variant>
        <vt:i4>1026</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barrezueta, Piedad</dc:creator>
  <cp:keywords/>
  <dc:description/>
  <cp:lastModifiedBy>RONQUILLO, Sonnia</cp:lastModifiedBy>
  <cp:revision>25</cp:revision>
  <cp:lastPrinted>2004-01-23T10:58:00Z</cp:lastPrinted>
  <dcterms:created xsi:type="dcterms:W3CDTF">2004-01-22T18:44:00Z</dcterms:created>
  <dcterms:modified xsi:type="dcterms:W3CDTF">2004-01-23T11:02:00Z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0342690</vt:lpwstr>
  </property>
  <property fmtid="{D5CDD505-2E9C-101B-9397-08002B2CF9AE}" pid="3" name="Symbol1">
    <vt:lpwstr>CEDAW/C/SR.623</vt:lpwstr>
  </property>
  <property fmtid="{D5CDD505-2E9C-101B-9397-08002B2CF9AE}" pid="4" name="Symbol2">
    <vt:lpwstr/>
  </property>
  <property fmtid="{D5CDD505-2E9C-101B-9397-08002B2CF9AE}" pid="5" name="Translator">
    <vt:lpwstr/>
  </property>
  <property fmtid="{D5CDD505-2E9C-101B-9397-08002B2CF9AE}" pid="6" name="Operator">
    <vt:lpwstr>pb</vt:lpwstr>
  </property>
  <property fmtid="{D5CDD505-2E9C-101B-9397-08002B2CF9AE}" pid="7" name="DraftPages">
    <vt:lpwstr> </vt:lpwstr>
  </property>
  <property fmtid="{D5CDD505-2E9C-101B-9397-08002B2CF9AE}" pid="8" name="Comment">
    <vt:lpwstr/>
  </property>
</Properties>
</file>