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1ABAB" w14:textId="77777777" w:rsidR="00483E94" w:rsidRPr="00C2512C" w:rsidRDefault="000E378D" w:rsidP="00483E94">
      <w:pPr>
        <w:spacing w:after="360"/>
        <w:jc w:val="right"/>
        <w:outlineLvl w:val="0"/>
        <w:rPr>
          <w:bCs/>
          <w:lang w:val="fr-FR"/>
        </w:rPr>
      </w:pPr>
      <w:r>
        <w:rPr>
          <w:bCs/>
          <w:lang w:val="fr-FR"/>
        </w:rPr>
        <w:t>A/80/18</w:t>
      </w:r>
    </w:p>
    <w:p w14:paraId="2413C16C" w14:textId="77777777" w:rsidR="00483E94" w:rsidRPr="00FA3966" w:rsidRDefault="001D12EC" w:rsidP="00483E94">
      <w:pPr>
        <w:ind w:left="1134"/>
        <w:rPr>
          <w:lang w:val="fr-FR"/>
        </w:rPr>
      </w:pPr>
      <w:r>
        <w:rPr>
          <w:noProof/>
          <w:lang w:eastAsia="fr-CH"/>
        </w:rPr>
        <w:drawing>
          <wp:inline distT="0" distB="0" distL="0" distR="0" wp14:anchorId="1CBB7A53" wp14:editId="5F5077E0">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24F02148" w14:textId="77777777" w:rsidR="00483E94" w:rsidRPr="00FA3966" w:rsidRDefault="00483E94" w:rsidP="00C2512C">
      <w:pPr>
        <w:pStyle w:val="XLargeG"/>
        <w:spacing w:after="800"/>
        <w:rPr>
          <w:lang w:val="fr-FR"/>
        </w:rPr>
      </w:pPr>
      <w:r w:rsidRPr="00FA3966">
        <w:rPr>
          <w:lang w:val="fr-FR"/>
        </w:rPr>
        <w:t>Nations Unies</w:t>
      </w:r>
    </w:p>
    <w:p w14:paraId="2B3980DA" w14:textId="2C027116" w:rsidR="00483E94" w:rsidRPr="00C66C3B" w:rsidRDefault="00483E94" w:rsidP="00D944F3">
      <w:pPr>
        <w:pStyle w:val="STitleLG"/>
      </w:pPr>
      <w:r w:rsidRPr="00C66C3B">
        <w:t xml:space="preserve">Rapport du </w:t>
      </w:r>
      <w:r w:rsidR="005E5363" w:rsidRPr="005E5363">
        <w:rPr>
          <w:bCs/>
          <w:lang w:val="fr-CH"/>
        </w:rPr>
        <w:t xml:space="preserve">Comité </w:t>
      </w:r>
      <w:r w:rsidR="005E5363">
        <w:rPr>
          <w:bCs/>
          <w:lang w:val="fr-CH"/>
        </w:rPr>
        <w:br/>
      </w:r>
      <w:r w:rsidR="005E5363" w:rsidRPr="005E5363">
        <w:rPr>
          <w:bCs/>
          <w:lang w:val="fr-CH"/>
        </w:rPr>
        <w:t>pour l’élimination de la discrimination raciale</w:t>
      </w:r>
    </w:p>
    <w:p w14:paraId="5810FFCA" w14:textId="6D201D85" w:rsidR="00483E94" w:rsidRPr="00C66C3B" w:rsidRDefault="005E5363" w:rsidP="00D944F3">
      <w:pPr>
        <w:pStyle w:val="STitleMG"/>
      </w:pPr>
      <w:r>
        <w:rPr>
          <w:bCs/>
        </w:rPr>
        <w:t>113</w:t>
      </w:r>
      <w:r>
        <w:rPr>
          <w:bCs/>
          <w:vertAlign w:val="superscript"/>
        </w:rPr>
        <w:t>e</w:t>
      </w:r>
      <w:r>
        <w:rPr>
          <w:bCs/>
        </w:rPr>
        <w:t> </w:t>
      </w:r>
      <w:r w:rsidR="00483E94" w:rsidRPr="00C66C3B">
        <w:t xml:space="preserve"> session</w:t>
      </w:r>
    </w:p>
    <w:p w14:paraId="1F31C4FF" w14:textId="6BFE0483" w:rsidR="00D944F3" w:rsidRDefault="00483E94" w:rsidP="005E5363">
      <w:pPr>
        <w:pStyle w:val="STitleMG"/>
        <w:spacing w:after="120"/>
      </w:pPr>
      <w:r w:rsidRPr="00FF1F47">
        <w:t>(</w:t>
      </w:r>
      <w:r w:rsidR="005E5363">
        <w:rPr>
          <w:bCs/>
        </w:rPr>
        <w:t>5-23 août 2024</w:t>
      </w:r>
      <w:r w:rsidRPr="00FF1F47">
        <w:t>)</w:t>
      </w:r>
    </w:p>
    <w:p w14:paraId="67FF1961" w14:textId="2E468CA5" w:rsidR="005E5363" w:rsidRPr="00C66C3B" w:rsidRDefault="005E5363" w:rsidP="005E5363">
      <w:pPr>
        <w:pStyle w:val="STitleMG"/>
      </w:pPr>
      <w:r>
        <w:rPr>
          <w:bCs/>
        </w:rPr>
        <w:t>114</w:t>
      </w:r>
      <w:r>
        <w:rPr>
          <w:bCs/>
          <w:vertAlign w:val="superscript"/>
        </w:rPr>
        <w:t>e</w:t>
      </w:r>
      <w:r>
        <w:rPr>
          <w:bCs/>
        </w:rPr>
        <w:t> </w:t>
      </w:r>
      <w:r w:rsidRPr="00C66C3B">
        <w:t xml:space="preserve"> session</w:t>
      </w:r>
    </w:p>
    <w:p w14:paraId="407D8AE2" w14:textId="7F0B51C4" w:rsidR="005E5363" w:rsidRDefault="005E5363" w:rsidP="005E5363">
      <w:pPr>
        <w:pStyle w:val="STitleMG"/>
        <w:spacing w:after="120"/>
      </w:pPr>
      <w:r w:rsidRPr="00FF1F47">
        <w:t>(</w:t>
      </w:r>
      <w:r>
        <w:rPr>
          <w:bCs/>
        </w:rPr>
        <w:t>25 novembre-13 décembre 2024</w:t>
      </w:r>
      <w:r w:rsidRPr="00FF1F47">
        <w:t>)</w:t>
      </w:r>
    </w:p>
    <w:p w14:paraId="2B45E87A" w14:textId="696068F7" w:rsidR="005E5363" w:rsidRPr="00C66C3B" w:rsidRDefault="005E5363" w:rsidP="005E5363">
      <w:pPr>
        <w:pStyle w:val="STitleMG"/>
      </w:pPr>
      <w:r>
        <w:rPr>
          <w:bCs/>
        </w:rPr>
        <w:t>115</w:t>
      </w:r>
      <w:r>
        <w:rPr>
          <w:bCs/>
          <w:vertAlign w:val="superscript"/>
        </w:rPr>
        <w:t>e</w:t>
      </w:r>
      <w:r>
        <w:rPr>
          <w:bCs/>
        </w:rPr>
        <w:t> </w:t>
      </w:r>
      <w:r w:rsidRPr="00C66C3B">
        <w:t xml:space="preserve"> session</w:t>
      </w:r>
    </w:p>
    <w:p w14:paraId="778EBB82" w14:textId="5BF434C4" w:rsidR="005E5363" w:rsidRPr="00C66C3B" w:rsidRDefault="005E5363" w:rsidP="005E5363">
      <w:pPr>
        <w:pStyle w:val="STitleMG"/>
      </w:pPr>
      <w:r w:rsidRPr="00FF1F47">
        <w:t>(</w:t>
      </w:r>
      <w:r>
        <w:rPr>
          <w:bCs/>
        </w:rPr>
        <w:t>22 avril-9 mai 2025</w:t>
      </w:r>
      <w:r w:rsidRPr="00FF1F47">
        <w:t>)</w:t>
      </w:r>
    </w:p>
    <w:p w14:paraId="535F3198" w14:textId="77777777" w:rsidR="00483E94" w:rsidRPr="00FA3966" w:rsidRDefault="00483E94" w:rsidP="00FC4149">
      <w:pPr>
        <w:pStyle w:val="XLargeG"/>
        <w:spacing w:before="4000"/>
        <w:rPr>
          <w:lang w:val="fr-FR"/>
        </w:rPr>
      </w:pPr>
      <w:r w:rsidRPr="00FA3966">
        <w:rPr>
          <w:lang w:val="fr-FR"/>
        </w:rPr>
        <w:t>Assemblée générale</w:t>
      </w:r>
    </w:p>
    <w:p w14:paraId="05FE6E96" w14:textId="515106C7" w:rsidR="003D346F" w:rsidRDefault="00483E94" w:rsidP="00FC4149">
      <w:pPr>
        <w:pStyle w:val="HChG"/>
        <w:tabs>
          <w:tab w:val="clear" w:pos="851"/>
        </w:tabs>
        <w:spacing w:before="0" w:after="0"/>
        <w:ind w:firstLine="0"/>
        <w:rPr>
          <w:lang w:val="fr-FR"/>
        </w:rPr>
      </w:pPr>
      <w:r w:rsidRPr="00FA3966">
        <w:rPr>
          <w:lang w:val="fr-FR"/>
        </w:rPr>
        <w:t>Documents officiels</w:t>
      </w:r>
      <w:r w:rsidR="00FC4149">
        <w:rPr>
          <w:lang w:val="fr-FR"/>
        </w:rPr>
        <w:br/>
      </w:r>
      <w:r w:rsidR="005E5363">
        <w:rPr>
          <w:bCs/>
          <w:lang w:val="fr-FR"/>
        </w:rPr>
        <w:t>Quatre-vingtième</w:t>
      </w:r>
      <w:r>
        <w:rPr>
          <w:lang w:val="fr-FR"/>
        </w:rPr>
        <w:t xml:space="preserve"> </w:t>
      </w:r>
      <w:r w:rsidRPr="00FA3966">
        <w:rPr>
          <w:lang w:val="fr-FR"/>
        </w:rPr>
        <w:t>session</w:t>
      </w:r>
      <w:r w:rsidR="00FC4149">
        <w:rPr>
          <w:lang w:val="fr-FR"/>
        </w:rPr>
        <w:br/>
      </w:r>
      <w:r w:rsidRPr="00FA3966">
        <w:rPr>
          <w:lang w:val="fr-FR"/>
        </w:rPr>
        <w:t>Supplément n</w:t>
      </w:r>
      <w:r w:rsidRPr="00FA3966">
        <w:rPr>
          <w:vertAlign w:val="superscript"/>
          <w:lang w:val="fr-FR"/>
        </w:rPr>
        <w:t>o</w:t>
      </w:r>
      <w:r w:rsidRPr="00FA3966">
        <w:rPr>
          <w:lang w:val="fr-FR"/>
        </w:rPr>
        <w:t xml:space="preserve"> </w:t>
      </w:r>
      <w:r w:rsidR="005E5363">
        <w:rPr>
          <w:lang w:val="fr-FR"/>
        </w:rPr>
        <w:t>18</w:t>
      </w:r>
      <w:r w:rsidR="00FB1C8F">
        <w:rPr>
          <w:lang w:val="fr-FR"/>
        </w:rPr>
        <w:t xml:space="preserve"> </w:t>
      </w:r>
      <w:r w:rsidRPr="00FA3966">
        <w:rPr>
          <w:lang w:val="fr-FR"/>
        </w:rPr>
        <w:t>(</w:t>
      </w:r>
      <w:r w:rsidR="000E378D">
        <w:rPr>
          <w:lang w:val="fr-FR"/>
        </w:rPr>
        <w:t>A/80/18</w:t>
      </w:r>
      <w:r w:rsidRPr="00FA3966">
        <w:rPr>
          <w:lang w:val="fr-FR"/>
        </w:rPr>
        <w:t>)</w:t>
      </w:r>
    </w:p>
    <w:p w14:paraId="0CE52638" w14:textId="77777777" w:rsidR="003D346F" w:rsidRDefault="003D346F">
      <w:pPr>
        <w:suppressAutoHyphens w:val="0"/>
        <w:kinsoku/>
        <w:overflowPunct/>
        <w:autoSpaceDE/>
        <w:autoSpaceDN/>
        <w:adjustRightInd/>
        <w:snapToGrid/>
        <w:spacing w:line="240" w:lineRule="auto"/>
        <w:rPr>
          <w:b/>
          <w:sz w:val="28"/>
          <w:szCs w:val="28"/>
          <w:lang w:val="fr-FR"/>
        </w:rPr>
      </w:pPr>
      <w:r>
        <w:rPr>
          <w:b/>
          <w:sz w:val="28"/>
          <w:szCs w:val="28"/>
          <w:lang w:val="fr-FR"/>
        </w:rPr>
        <w:br w:type="page"/>
      </w:r>
    </w:p>
    <w:p w14:paraId="4DF7EEE3" w14:textId="77777777" w:rsidR="00483E94" w:rsidRDefault="00483E94" w:rsidP="003D346F">
      <w:pPr>
        <w:rPr>
          <w:lang w:val="fr-FR"/>
        </w:rPr>
      </w:pPr>
    </w:p>
    <w:p w14:paraId="3B944B50" w14:textId="77777777" w:rsidR="00483E94" w:rsidRDefault="00483E94" w:rsidP="00C451B9">
      <w:pPr>
        <w:sectPr w:rsidR="00483E94" w:rsidSect="000E378D">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5"/>
      </w:tblGrid>
      <w:tr w:rsidR="00D944F3" w14:paraId="449D7133" w14:textId="77777777" w:rsidTr="00D944F3">
        <w:tc>
          <w:tcPr>
            <w:tcW w:w="4814" w:type="dxa"/>
          </w:tcPr>
          <w:p w14:paraId="431A1587" w14:textId="77777777" w:rsidR="00D944F3" w:rsidRPr="00FA3966" w:rsidRDefault="00D944F3" w:rsidP="00D944F3">
            <w:pPr>
              <w:rPr>
                <w:b/>
                <w:sz w:val="24"/>
                <w:szCs w:val="24"/>
                <w:lang w:val="fr-FR"/>
              </w:rPr>
            </w:pPr>
            <w:r w:rsidRPr="00FA3966">
              <w:rPr>
                <w:b/>
                <w:sz w:val="24"/>
                <w:szCs w:val="24"/>
                <w:lang w:val="fr-FR"/>
              </w:rPr>
              <w:lastRenderedPageBreak/>
              <w:t>Assemblée générale</w:t>
            </w:r>
          </w:p>
          <w:p w14:paraId="5AB8B13C" w14:textId="77777777" w:rsidR="00D944F3" w:rsidRPr="00FA3966" w:rsidRDefault="00D944F3" w:rsidP="00D944F3">
            <w:pPr>
              <w:rPr>
                <w:sz w:val="24"/>
                <w:szCs w:val="24"/>
                <w:lang w:val="fr-FR"/>
              </w:rPr>
            </w:pPr>
            <w:r w:rsidRPr="00FA3966">
              <w:rPr>
                <w:sz w:val="24"/>
                <w:szCs w:val="24"/>
                <w:lang w:val="fr-FR"/>
              </w:rPr>
              <w:t>Documents officiels</w:t>
            </w:r>
          </w:p>
          <w:p w14:paraId="7A7438CA" w14:textId="27FDB3F6" w:rsidR="00D944F3" w:rsidRPr="00FA3966" w:rsidRDefault="005E5363" w:rsidP="00D944F3">
            <w:pPr>
              <w:rPr>
                <w:sz w:val="24"/>
                <w:szCs w:val="24"/>
                <w:lang w:val="fr-FR"/>
              </w:rPr>
            </w:pPr>
            <w:r w:rsidRPr="00057355">
              <w:rPr>
                <w:color w:val="000000"/>
                <w:sz w:val="24"/>
                <w:szCs w:val="24"/>
                <w:lang w:val="fr-FR"/>
              </w:rPr>
              <w:t>Quatre-vingtième</w:t>
            </w:r>
            <w:r w:rsidR="00D944F3">
              <w:rPr>
                <w:sz w:val="24"/>
                <w:szCs w:val="24"/>
                <w:lang w:val="fr-FR"/>
              </w:rPr>
              <w:t xml:space="preserve"> </w:t>
            </w:r>
            <w:r w:rsidR="00D944F3" w:rsidRPr="00FA3966">
              <w:rPr>
                <w:sz w:val="24"/>
                <w:szCs w:val="24"/>
                <w:lang w:val="fr-FR"/>
              </w:rPr>
              <w:t>session</w:t>
            </w:r>
          </w:p>
          <w:p w14:paraId="57B39019" w14:textId="05B11D44" w:rsidR="00D944F3" w:rsidRDefault="00D944F3" w:rsidP="00D944F3">
            <w:pPr>
              <w:rPr>
                <w:lang w:val="fr-FR"/>
              </w:rPr>
            </w:pPr>
            <w:r w:rsidRPr="00FA3966">
              <w:rPr>
                <w:sz w:val="24"/>
                <w:szCs w:val="24"/>
                <w:lang w:val="fr-FR"/>
              </w:rPr>
              <w:t>Supplément n</w:t>
            </w:r>
            <w:r w:rsidRPr="00FA3966">
              <w:rPr>
                <w:sz w:val="24"/>
                <w:szCs w:val="24"/>
                <w:vertAlign w:val="superscript"/>
                <w:lang w:val="fr-FR"/>
              </w:rPr>
              <w:t>o</w:t>
            </w:r>
            <w:r w:rsidRPr="00FA3966">
              <w:rPr>
                <w:sz w:val="24"/>
                <w:szCs w:val="24"/>
                <w:lang w:val="fr-FR"/>
              </w:rPr>
              <w:t xml:space="preserve"> </w:t>
            </w:r>
            <w:r w:rsidR="005E5363">
              <w:rPr>
                <w:sz w:val="24"/>
                <w:szCs w:val="24"/>
                <w:lang w:val="fr-FR"/>
              </w:rPr>
              <w:t>18</w:t>
            </w:r>
          </w:p>
        </w:tc>
        <w:tc>
          <w:tcPr>
            <w:tcW w:w="4815" w:type="dxa"/>
          </w:tcPr>
          <w:p w14:paraId="1EABEC85" w14:textId="77777777" w:rsidR="00D944F3" w:rsidRDefault="000E378D" w:rsidP="00D944F3">
            <w:pPr>
              <w:jc w:val="right"/>
              <w:rPr>
                <w:lang w:val="fr-FR"/>
              </w:rPr>
            </w:pPr>
            <w:r>
              <w:rPr>
                <w:bCs/>
                <w:lang w:val="fr-FR"/>
              </w:rPr>
              <w:t>A/80/18</w:t>
            </w:r>
          </w:p>
        </w:tc>
      </w:tr>
    </w:tbl>
    <w:p w14:paraId="670C84EC" w14:textId="71957A09" w:rsidR="00541BE4" w:rsidRPr="00FA3966" w:rsidRDefault="00541BE4" w:rsidP="00D944F3">
      <w:pPr>
        <w:pStyle w:val="SMG"/>
        <w:spacing w:before="1134" w:after="480"/>
        <w:rPr>
          <w:szCs w:val="40"/>
          <w:lang w:val="fr-FR"/>
        </w:rPr>
      </w:pPr>
      <w:r w:rsidRPr="00FA3966">
        <w:rPr>
          <w:lang w:val="fr-FR"/>
        </w:rPr>
        <w:t xml:space="preserve">Rapport du </w:t>
      </w:r>
      <w:r w:rsidR="005E5363">
        <w:rPr>
          <w:bCs/>
          <w:lang w:val="fr-FR"/>
        </w:rPr>
        <w:t xml:space="preserve">Comité pour l’élimination </w:t>
      </w:r>
      <w:r w:rsidR="005E5363">
        <w:rPr>
          <w:bCs/>
          <w:lang w:val="fr-FR"/>
        </w:rPr>
        <w:br/>
        <w:t>de la discrimination raciale</w:t>
      </w:r>
    </w:p>
    <w:p w14:paraId="665431F1" w14:textId="313B3737" w:rsidR="000A097F" w:rsidRDefault="005E5363" w:rsidP="00FC4149">
      <w:pPr>
        <w:pStyle w:val="SSG"/>
        <w:rPr>
          <w:lang w:val="fr-FR"/>
        </w:rPr>
      </w:pPr>
      <w:r>
        <w:rPr>
          <w:bCs/>
          <w:lang w:val="fr-FR"/>
        </w:rPr>
        <w:t>113</w:t>
      </w:r>
      <w:r w:rsidRPr="005E5363">
        <w:rPr>
          <w:bCs/>
          <w:vertAlign w:val="superscript"/>
          <w:lang w:val="fr-FR"/>
        </w:rPr>
        <w:t>e</w:t>
      </w:r>
      <w:r w:rsidR="00541BE4">
        <w:rPr>
          <w:lang w:val="fr-FR"/>
        </w:rPr>
        <w:t xml:space="preserve"> </w:t>
      </w:r>
      <w:r w:rsidR="00541BE4" w:rsidRPr="00FA3966">
        <w:rPr>
          <w:lang w:val="fr-FR"/>
        </w:rPr>
        <w:t>session</w:t>
      </w:r>
    </w:p>
    <w:p w14:paraId="2F78F503" w14:textId="540DB053" w:rsidR="005E5363" w:rsidRDefault="00541BE4" w:rsidP="001A2FE8">
      <w:pPr>
        <w:pStyle w:val="SSG"/>
        <w:spacing w:after="120"/>
        <w:rPr>
          <w:lang w:val="fr-FR"/>
        </w:rPr>
      </w:pPr>
      <w:r w:rsidRPr="00FA3966">
        <w:rPr>
          <w:lang w:val="fr-FR"/>
        </w:rPr>
        <w:t>(</w:t>
      </w:r>
      <w:r w:rsidR="005E5363">
        <w:rPr>
          <w:bCs/>
          <w:lang w:val="fr-FR"/>
        </w:rPr>
        <w:t>5-23 août 2024</w:t>
      </w:r>
      <w:r w:rsidRPr="00FA3966">
        <w:rPr>
          <w:lang w:val="fr-FR"/>
        </w:rPr>
        <w:t>)</w:t>
      </w:r>
      <w:r w:rsidR="001A2FE8">
        <w:rPr>
          <w:lang w:val="fr-FR"/>
        </w:rPr>
        <w:br/>
      </w:r>
      <w:r w:rsidR="005E5363">
        <w:rPr>
          <w:bCs/>
          <w:lang w:val="fr-FR"/>
        </w:rPr>
        <w:t>114</w:t>
      </w:r>
      <w:r w:rsidR="005E5363" w:rsidRPr="005E5363">
        <w:rPr>
          <w:bCs/>
          <w:vertAlign w:val="superscript"/>
          <w:lang w:val="fr-FR"/>
        </w:rPr>
        <w:t>e</w:t>
      </w:r>
      <w:r w:rsidR="005E5363">
        <w:rPr>
          <w:lang w:val="fr-FR"/>
        </w:rPr>
        <w:t xml:space="preserve"> </w:t>
      </w:r>
      <w:r w:rsidR="005E5363" w:rsidRPr="00FA3966">
        <w:rPr>
          <w:lang w:val="fr-FR"/>
        </w:rPr>
        <w:t>session</w:t>
      </w:r>
      <w:r w:rsidR="001A2FE8">
        <w:rPr>
          <w:lang w:val="fr-FR"/>
        </w:rPr>
        <w:br/>
      </w:r>
      <w:r w:rsidR="005E5363" w:rsidRPr="00FA3966">
        <w:rPr>
          <w:lang w:val="fr-FR"/>
        </w:rPr>
        <w:t>(</w:t>
      </w:r>
      <w:r w:rsidR="005E5363">
        <w:rPr>
          <w:bCs/>
          <w:lang w:val="fr-FR"/>
        </w:rPr>
        <w:t>25 novembre-13 décembre 2024</w:t>
      </w:r>
      <w:r w:rsidR="005E5363" w:rsidRPr="00FA3966">
        <w:rPr>
          <w:lang w:val="fr-FR"/>
        </w:rPr>
        <w:t>)</w:t>
      </w:r>
      <w:r w:rsidR="001A2FE8">
        <w:rPr>
          <w:lang w:val="fr-FR"/>
        </w:rPr>
        <w:br/>
      </w:r>
      <w:r w:rsidR="005E5363">
        <w:rPr>
          <w:bCs/>
          <w:lang w:val="fr-FR"/>
        </w:rPr>
        <w:t>115</w:t>
      </w:r>
      <w:r w:rsidR="005E5363" w:rsidRPr="005E5363">
        <w:rPr>
          <w:bCs/>
          <w:vertAlign w:val="superscript"/>
          <w:lang w:val="fr-FR"/>
        </w:rPr>
        <w:t>e</w:t>
      </w:r>
      <w:r w:rsidR="005E5363">
        <w:rPr>
          <w:lang w:val="fr-FR"/>
        </w:rPr>
        <w:t xml:space="preserve"> </w:t>
      </w:r>
      <w:r w:rsidR="005E5363" w:rsidRPr="00FA3966">
        <w:rPr>
          <w:lang w:val="fr-FR"/>
        </w:rPr>
        <w:t>session</w:t>
      </w:r>
      <w:r w:rsidR="001A2FE8">
        <w:rPr>
          <w:lang w:val="fr-FR"/>
        </w:rPr>
        <w:br/>
      </w:r>
      <w:r w:rsidR="005E5363" w:rsidRPr="00FA3966">
        <w:rPr>
          <w:lang w:val="fr-FR"/>
        </w:rPr>
        <w:t>(</w:t>
      </w:r>
      <w:r w:rsidR="005E5363">
        <w:rPr>
          <w:bCs/>
          <w:lang w:val="fr-FR"/>
        </w:rPr>
        <w:t>22 avril-9 mai 2025</w:t>
      </w:r>
      <w:r w:rsidR="005E5363" w:rsidRPr="00FA3966">
        <w:rPr>
          <w:lang w:val="fr-FR"/>
        </w:rPr>
        <w:t>)</w:t>
      </w:r>
    </w:p>
    <w:p w14:paraId="0D233237" w14:textId="77777777" w:rsidR="005E5363" w:rsidRPr="005E5363" w:rsidRDefault="005E5363" w:rsidP="005E5363">
      <w:pPr>
        <w:rPr>
          <w:lang w:val="fr-FR"/>
        </w:rPr>
      </w:pPr>
    </w:p>
    <w:p w14:paraId="512472FF" w14:textId="77777777" w:rsidR="00DF4D0D" w:rsidRDefault="001D12EC" w:rsidP="00BF2362">
      <w:pPr>
        <w:spacing w:before="6400"/>
        <w:ind w:left="1134"/>
        <w:outlineLvl w:val="0"/>
      </w:pPr>
      <w:r>
        <w:rPr>
          <w:noProof/>
          <w:lang w:eastAsia="fr-CH"/>
        </w:rPr>
        <w:drawing>
          <wp:inline distT="0" distB="0" distL="0" distR="0" wp14:anchorId="41908D54" wp14:editId="618A9679">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14:paraId="7E5C8EB4" w14:textId="5EAD3306" w:rsidR="00541BE4" w:rsidRPr="00B840C1" w:rsidRDefault="00541BE4" w:rsidP="00541BE4">
      <w:pPr>
        <w:ind w:left="1134"/>
        <w:outlineLvl w:val="0"/>
        <w:rPr>
          <w:bCs/>
          <w:sz w:val="24"/>
          <w:szCs w:val="24"/>
          <w:lang w:val="fr-FR"/>
        </w:rPr>
      </w:pPr>
      <w:r w:rsidRPr="00B840C1">
        <w:rPr>
          <w:bCs/>
          <w:noProof/>
          <w:sz w:val="28"/>
          <w:lang w:val="fr-FR"/>
        </w:rPr>
        <w:t>Nations Unies</w:t>
      </w:r>
      <w:r w:rsidRPr="00B840C1">
        <w:rPr>
          <w:bCs/>
          <w:sz w:val="28"/>
          <w:lang w:val="fr-FR"/>
        </w:rPr>
        <w:t xml:space="preserve"> • New York, </w:t>
      </w:r>
      <w:r w:rsidR="005E5363">
        <w:rPr>
          <w:bCs/>
          <w:sz w:val="28"/>
          <w:lang w:val="fr-FR"/>
        </w:rPr>
        <w:t>2025</w:t>
      </w:r>
    </w:p>
    <w:p w14:paraId="3FDB8913" w14:textId="77777777" w:rsidR="007B0ECA" w:rsidRDefault="00541BE4" w:rsidP="00541BE4">
      <w:pPr>
        <w:spacing w:before="4800" w:after="120"/>
        <w:ind w:left="1134"/>
        <w:rPr>
          <w:lang w:val="fr-FR"/>
        </w:rPr>
      </w:pPr>
      <w:r w:rsidRPr="00FA3966">
        <w:rPr>
          <w:lang w:val="fr-FR"/>
        </w:rPr>
        <w:br w:type="page"/>
      </w:r>
    </w:p>
    <w:p w14:paraId="64267724" w14:textId="77777777" w:rsidR="007B0ECA" w:rsidRDefault="007B0ECA" w:rsidP="005813E3">
      <w:pPr>
        <w:tabs>
          <w:tab w:val="left" w:pos="2035"/>
        </w:tabs>
        <w:spacing w:before="4800" w:after="120"/>
        <w:ind w:left="1134" w:firstLine="567"/>
        <w:rPr>
          <w:lang w:val="fr-FR"/>
        </w:rPr>
      </w:pPr>
    </w:p>
    <w:p w14:paraId="32B586BB" w14:textId="77777777" w:rsidR="00541BE4" w:rsidRPr="00FA3966" w:rsidRDefault="00541BE4" w:rsidP="007B0ECA">
      <w:pPr>
        <w:spacing w:before="1400" w:after="120"/>
        <w:ind w:left="1134"/>
        <w:rPr>
          <w:i/>
          <w:lang w:val="fr-FR"/>
        </w:rPr>
      </w:pPr>
      <w:r w:rsidRPr="00FA3966">
        <w:rPr>
          <w:i/>
          <w:lang w:val="fr-FR"/>
        </w:rPr>
        <w:t>Note</w:t>
      </w:r>
    </w:p>
    <w:p w14:paraId="78FE87ED" w14:textId="77777777" w:rsidR="00541BE4" w:rsidRDefault="00541BE4" w:rsidP="005E5363">
      <w:pPr>
        <w:pStyle w:val="SingleTxtG"/>
        <w:spacing w:after="10000"/>
        <w:ind w:firstLine="567"/>
        <w:rPr>
          <w:bCs/>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14:paraId="5A82C727" w14:textId="1063BD29" w:rsidR="005E5363" w:rsidRDefault="005E5363" w:rsidP="00270821">
      <w:pPr>
        <w:pStyle w:val="SingleTxtG"/>
        <w:ind w:firstLine="567"/>
      </w:pPr>
      <w:r w:rsidRPr="005E5363">
        <w:t>ISSN 0252-1288</w:t>
      </w:r>
    </w:p>
    <w:p w14:paraId="7FF94C95" w14:textId="77777777" w:rsidR="005E5363" w:rsidRPr="00FA3966" w:rsidRDefault="005E5363" w:rsidP="00270821">
      <w:pPr>
        <w:pStyle w:val="SingleTxtG"/>
        <w:ind w:firstLine="567"/>
        <w:rPr>
          <w:lang w:val="fr-FR"/>
        </w:rPr>
      </w:pPr>
    </w:p>
    <w:p w14:paraId="57B180B0" w14:textId="77777777" w:rsidR="00541BE4" w:rsidRDefault="00541BE4" w:rsidP="00C451B9">
      <w:pPr>
        <w:sectPr w:rsidR="00541BE4" w:rsidSect="000E378D">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4FA2C7DD" w14:textId="7DBD418F" w:rsidR="00EF7D1D" w:rsidRPr="00BB0DAE" w:rsidRDefault="00A669DA" w:rsidP="00A669DA">
      <w:pPr>
        <w:spacing w:after="480"/>
        <w:jc w:val="right"/>
      </w:pPr>
      <w:r w:rsidRPr="00BB0DAE">
        <w:lastRenderedPageBreak/>
        <w:t>[</w:t>
      </w:r>
      <w:r w:rsidR="005E5363">
        <w:rPr>
          <w:lang w:val="fr-FR"/>
        </w:rPr>
        <w:t>15 octobre 2025</w:t>
      </w:r>
      <w:r w:rsidRPr="00BB0DAE">
        <w:t>]</w:t>
      </w:r>
    </w:p>
    <w:p w14:paraId="216C8841" w14:textId="27F1BE6C" w:rsidR="000E378D" w:rsidRPr="005E5363" w:rsidRDefault="005E5363" w:rsidP="005E5363">
      <w:pPr>
        <w:spacing w:after="120"/>
        <w:rPr>
          <w:sz w:val="28"/>
        </w:rPr>
      </w:pPr>
      <w:r w:rsidRPr="005E5363">
        <w:rPr>
          <w:sz w:val="28"/>
        </w:rPr>
        <w:t>Table des matières</w:t>
      </w:r>
    </w:p>
    <w:p w14:paraId="599379C4" w14:textId="7141B150" w:rsidR="005E5363" w:rsidRPr="005E5363" w:rsidRDefault="005E5363" w:rsidP="005E5363">
      <w:pPr>
        <w:tabs>
          <w:tab w:val="right" w:pos="9638"/>
        </w:tabs>
        <w:spacing w:after="120"/>
        <w:ind w:left="283"/>
        <w:rPr>
          <w:i/>
          <w:sz w:val="18"/>
        </w:rPr>
      </w:pPr>
      <w:r w:rsidRPr="005E5363">
        <w:rPr>
          <w:i/>
          <w:sz w:val="18"/>
        </w:rPr>
        <w:tab/>
        <w:t>Page</w:t>
      </w:r>
    </w:p>
    <w:p w14:paraId="6914C2F0" w14:textId="76D19967" w:rsidR="005E5363" w:rsidRDefault="005E5363" w:rsidP="005E5363">
      <w:pPr>
        <w:tabs>
          <w:tab w:val="right" w:pos="850"/>
          <w:tab w:val="right" w:leader="dot" w:pos="8787"/>
          <w:tab w:val="right" w:pos="9638"/>
        </w:tabs>
        <w:spacing w:after="120"/>
        <w:ind w:left="1134" w:hanging="1134"/>
      </w:pPr>
      <w:r>
        <w:tab/>
      </w:r>
      <w:r>
        <w:tab/>
      </w:r>
      <w:r w:rsidR="001A2FE8">
        <w:rPr>
          <w:lang w:val="fr-FR"/>
        </w:rPr>
        <w:t>Lettre d’envoi</w:t>
      </w:r>
      <w:r>
        <w:tab/>
      </w:r>
      <w:r>
        <w:tab/>
      </w:r>
      <w:r w:rsidR="00E82B5B">
        <w:t>1</w:t>
      </w:r>
    </w:p>
    <w:p w14:paraId="20057247" w14:textId="003C3B0F" w:rsidR="005E5363" w:rsidRDefault="005E5363" w:rsidP="005E5363">
      <w:pPr>
        <w:tabs>
          <w:tab w:val="right" w:pos="850"/>
          <w:tab w:val="right" w:leader="dot" w:pos="8787"/>
          <w:tab w:val="right" w:pos="9638"/>
        </w:tabs>
        <w:spacing w:after="120"/>
        <w:ind w:left="1134" w:hanging="1134"/>
      </w:pPr>
      <w:r w:rsidRPr="005E5363">
        <w:rPr>
          <w:i/>
          <w:sz w:val="18"/>
        </w:rPr>
        <w:t>Chapitre</w:t>
      </w:r>
    </w:p>
    <w:p w14:paraId="7300A870" w14:textId="0D2A65C1" w:rsidR="005E5363" w:rsidRDefault="005E5363" w:rsidP="005E5363">
      <w:pPr>
        <w:tabs>
          <w:tab w:val="right" w:pos="850"/>
          <w:tab w:val="right" w:leader="dot" w:pos="8787"/>
          <w:tab w:val="right" w:pos="9638"/>
        </w:tabs>
        <w:spacing w:after="120"/>
        <w:ind w:left="1134" w:hanging="1134"/>
      </w:pPr>
      <w:r>
        <w:tab/>
        <w:t>I.</w:t>
      </w:r>
      <w:r>
        <w:tab/>
      </w:r>
      <w:r w:rsidR="001A2FE8">
        <w:rPr>
          <w:lang w:val="fr-FR"/>
        </w:rPr>
        <w:t>Questions d’organisation et questions connexes</w:t>
      </w:r>
      <w:r>
        <w:tab/>
      </w:r>
      <w:r>
        <w:tab/>
      </w:r>
      <w:r w:rsidR="00E82B5B">
        <w:t>3</w:t>
      </w:r>
    </w:p>
    <w:p w14:paraId="503F8C93" w14:textId="2E8E5250" w:rsidR="005E5363" w:rsidRDefault="005E5363" w:rsidP="005E5363">
      <w:pPr>
        <w:tabs>
          <w:tab w:val="right" w:leader="dot" w:pos="8787"/>
          <w:tab w:val="right" w:pos="9638"/>
        </w:tabs>
        <w:spacing w:after="120"/>
        <w:ind w:left="1559" w:hanging="425"/>
      </w:pPr>
      <w:r>
        <w:t>A.</w:t>
      </w:r>
      <w:r>
        <w:tab/>
      </w:r>
      <w:r w:rsidR="001A2FE8">
        <w:rPr>
          <w:bCs/>
          <w:lang w:val="fr-FR"/>
        </w:rPr>
        <w:t xml:space="preserve">États Parties à la Convention internationale sur l’élimination </w:t>
      </w:r>
      <w:r w:rsidR="001A2FE8">
        <w:rPr>
          <w:bCs/>
          <w:lang w:val="fr-FR"/>
        </w:rPr>
        <w:br/>
        <w:t>de toutes les formes de discrimination raciale</w:t>
      </w:r>
      <w:r>
        <w:tab/>
      </w:r>
      <w:r>
        <w:tab/>
      </w:r>
      <w:r w:rsidR="00E82B5B">
        <w:t>3</w:t>
      </w:r>
    </w:p>
    <w:p w14:paraId="5D965C73" w14:textId="24F89F8E" w:rsidR="005E5363" w:rsidRDefault="005E5363" w:rsidP="005E5363">
      <w:pPr>
        <w:tabs>
          <w:tab w:val="right" w:leader="dot" w:pos="8787"/>
          <w:tab w:val="right" w:pos="9638"/>
        </w:tabs>
        <w:spacing w:after="120"/>
        <w:ind w:left="1559" w:hanging="425"/>
      </w:pPr>
      <w:r>
        <w:t>B.</w:t>
      </w:r>
      <w:r>
        <w:tab/>
      </w:r>
      <w:r w:rsidR="00E82B5B">
        <w:rPr>
          <w:bCs/>
          <w:lang w:val="fr-FR"/>
        </w:rPr>
        <w:t>Sessions et ordres du jour</w:t>
      </w:r>
      <w:r>
        <w:tab/>
      </w:r>
      <w:r>
        <w:tab/>
      </w:r>
      <w:r w:rsidR="00E82B5B">
        <w:t>3</w:t>
      </w:r>
    </w:p>
    <w:p w14:paraId="6C6590AD" w14:textId="710DD1EA" w:rsidR="005E5363" w:rsidRDefault="005E5363" w:rsidP="005E5363">
      <w:pPr>
        <w:tabs>
          <w:tab w:val="right" w:leader="dot" w:pos="8787"/>
          <w:tab w:val="right" w:pos="9638"/>
        </w:tabs>
        <w:spacing w:after="120"/>
        <w:ind w:left="1559" w:hanging="425"/>
      </w:pPr>
      <w:r>
        <w:t>C.</w:t>
      </w:r>
      <w:r>
        <w:tab/>
      </w:r>
      <w:r w:rsidR="00E82B5B">
        <w:rPr>
          <w:bCs/>
          <w:lang w:val="fr-FR"/>
        </w:rPr>
        <w:t>Composition</w:t>
      </w:r>
      <w:r>
        <w:tab/>
      </w:r>
      <w:r>
        <w:tab/>
      </w:r>
      <w:r w:rsidR="00E82B5B">
        <w:t>3</w:t>
      </w:r>
    </w:p>
    <w:p w14:paraId="0F6C2214" w14:textId="4523DBA8" w:rsidR="005E5363" w:rsidRDefault="005E5363" w:rsidP="005E5363">
      <w:pPr>
        <w:tabs>
          <w:tab w:val="right" w:leader="dot" w:pos="8787"/>
          <w:tab w:val="right" w:pos="9638"/>
        </w:tabs>
        <w:spacing w:after="120"/>
        <w:ind w:left="1559" w:hanging="425"/>
      </w:pPr>
      <w:r>
        <w:t>D.</w:t>
      </w:r>
      <w:r>
        <w:tab/>
      </w:r>
      <w:r w:rsidR="00E82B5B">
        <w:rPr>
          <w:bCs/>
          <w:lang w:val="fr-FR"/>
        </w:rPr>
        <w:t>Bureau du Comité</w:t>
      </w:r>
      <w:r>
        <w:tab/>
      </w:r>
      <w:r>
        <w:tab/>
      </w:r>
      <w:r w:rsidR="00E82B5B">
        <w:t>4</w:t>
      </w:r>
    </w:p>
    <w:p w14:paraId="42641C07" w14:textId="0BAEA4A2" w:rsidR="005E5363" w:rsidRDefault="005E5363" w:rsidP="005E5363">
      <w:pPr>
        <w:tabs>
          <w:tab w:val="right" w:leader="dot" w:pos="8787"/>
          <w:tab w:val="right" w:pos="9638"/>
        </w:tabs>
        <w:spacing w:after="120"/>
        <w:ind w:left="1559" w:hanging="425"/>
      </w:pPr>
      <w:r>
        <w:t>E.</w:t>
      </w:r>
      <w:r>
        <w:tab/>
      </w:r>
      <w:r w:rsidR="00E82B5B">
        <w:rPr>
          <w:bCs/>
          <w:lang w:val="fr-FR"/>
        </w:rPr>
        <w:t xml:space="preserve">Coopération avec l’Organisation internationale du Travail, le Haut-Commissariat </w:t>
      </w:r>
      <w:r w:rsidR="00E82B5B">
        <w:rPr>
          <w:bCs/>
          <w:lang w:val="fr-FR"/>
        </w:rPr>
        <w:br/>
        <w:t xml:space="preserve">des Nations Unies pour les réfugiés, l’Organisation des Nations Unies pour l’éducation, </w:t>
      </w:r>
      <w:r w:rsidR="00E82B5B">
        <w:rPr>
          <w:bCs/>
          <w:lang w:val="fr-FR"/>
        </w:rPr>
        <w:br/>
        <w:t xml:space="preserve">la science et la culture, les procédures spéciales du Conseil des droits de l’homme </w:t>
      </w:r>
      <w:r w:rsidR="00E82B5B">
        <w:rPr>
          <w:bCs/>
          <w:lang w:val="fr-FR"/>
        </w:rPr>
        <w:br/>
        <w:t>et les mécanismes régionaux des droits de l’homme</w:t>
      </w:r>
      <w:r>
        <w:tab/>
      </w:r>
      <w:r>
        <w:tab/>
      </w:r>
      <w:r w:rsidR="00E82B5B">
        <w:t>4</w:t>
      </w:r>
    </w:p>
    <w:p w14:paraId="15940C51" w14:textId="0AA515A6" w:rsidR="005E5363" w:rsidRDefault="005E5363" w:rsidP="005E5363">
      <w:pPr>
        <w:tabs>
          <w:tab w:val="right" w:leader="dot" w:pos="8787"/>
          <w:tab w:val="right" w:pos="9638"/>
        </w:tabs>
        <w:spacing w:after="120"/>
        <w:ind w:left="1559" w:hanging="425"/>
      </w:pPr>
      <w:r>
        <w:t>F.</w:t>
      </w:r>
      <w:r>
        <w:tab/>
      </w:r>
      <w:r w:rsidR="00E82B5B">
        <w:rPr>
          <w:bCs/>
          <w:lang w:val="fr-FR"/>
        </w:rPr>
        <w:t>Questions diverses</w:t>
      </w:r>
      <w:r>
        <w:tab/>
      </w:r>
      <w:r>
        <w:tab/>
      </w:r>
      <w:r w:rsidR="00E82B5B">
        <w:t>5</w:t>
      </w:r>
    </w:p>
    <w:p w14:paraId="6BA935BF" w14:textId="7A3C2B69" w:rsidR="005E5363" w:rsidRDefault="005E5363" w:rsidP="005E5363">
      <w:pPr>
        <w:tabs>
          <w:tab w:val="right" w:leader="dot" w:pos="8787"/>
          <w:tab w:val="right" w:pos="9638"/>
        </w:tabs>
        <w:spacing w:after="120"/>
        <w:ind w:left="1559" w:hanging="425"/>
      </w:pPr>
      <w:r>
        <w:t>G.</w:t>
      </w:r>
      <w:r>
        <w:tab/>
      </w:r>
      <w:r w:rsidR="00E82B5B">
        <w:rPr>
          <w:bCs/>
          <w:lang w:val="fr-FR"/>
        </w:rPr>
        <w:t>Adoption du rapport annuel du Comité</w:t>
      </w:r>
      <w:r>
        <w:tab/>
      </w:r>
      <w:r>
        <w:tab/>
      </w:r>
      <w:r w:rsidR="00E82B5B">
        <w:t>5</w:t>
      </w:r>
    </w:p>
    <w:p w14:paraId="294BE2F3" w14:textId="1FD143C4" w:rsidR="005E5363" w:rsidRDefault="005E5363" w:rsidP="005E5363">
      <w:pPr>
        <w:tabs>
          <w:tab w:val="right" w:pos="850"/>
          <w:tab w:val="right" w:leader="dot" w:pos="8787"/>
          <w:tab w:val="right" w:pos="9638"/>
        </w:tabs>
        <w:spacing w:after="120"/>
        <w:ind w:left="1134" w:hanging="1134"/>
      </w:pPr>
      <w:r>
        <w:tab/>
        <w:t>II.</w:t>
      </w:r>
      <w:r>
        <w:tab/>
      </w:r>
      <w:r w:rsidR="00E82B5B">
        <w:rPr>
          <w:bCs/>
          <w:lang w:val="fr-FR"/>
        </w:rPr>
        <w:t>Examen de situations au titre des procédures d’alerte rapide et d’intervention d’urgence</w:t>
      </w:r>
      <w:r>
        <w:tab/>
      </w:r>
      <w:r>
        <w:tab/>
      </w:r>
      <w:r w:rsidR="00E82B5B">
        <w:t>6</w:t>
      </w:r>
    </w:p>
    <w:p w14:paraId="5F4E581F" w14:textId="3A21863A" w:rsidR="005E5363" w:rsidRDefault="005E5363" w:rsidP="005E5363">
      <w:pPr>
        <w:tabs>
          <w:tab w:val="right" w:leader="dot" w:pos="8787"/>
          <w:tab w:val="right" w:pos="9638"/>
        </w:tabs>
        <w:spacing w:after="120"/>
        <w:ind w:left="1559" w:hanging="425"/>
      </w:pPr>
      <w:r>
        <w:t>A.</w:t>
      </w:r>
      <w:r>
        <w:tab/>
      </w:r>
      <w:r w:rsidR="00E82B5B">
        <w:rPr>
          <w:bCs/>
          <w:lang w:val="fr-FR"/>
        </w:rPr>
        <w:t>Décision</w:t>
      </w:r>
      <w:r>
        <w:tab/>
      </w:r>
      <w:r>
        <w:tab/>
      </w:r>
      <w:r w:rsidR="00E82B5B">
        <w:t>6</w:t>
      </w:r>
    </w:p>
    <w:p w14:paraId="5B9780EA" w14:textId="41411F58" w:rsidR="005E5363" w:rsidRDefault="005E5363" w:rsidP="005E5363">
      <w:pPr>
        <w:tabs>
          <w:tab w:val="right" w:leader="dot" w:pos="8787"/>
          <w:tab w:val="right" w:pos="9638"/>
        </w:tabs>
        <w:spacing w:after="120"/>
        <w:ind w:left="1559" w:hanging="425"/>
      </w:pPr>
      <w:r>
        <w:t>B.</w:t>
      </w:r>
      <w:r>
        <w:tab/>
      </w:r>
      <w:r w:rsidR="00E82B5B">
        <w:rPr>
          <w:bCs/>
          <w:lang w:val="fr-FR"/>
        </w:rPr>
        <w:t>Déclarations</w:t>
      </w:r>
      <w:r>
        <w:tab/>
      </w:r>
      <w:r>
        <w:tab/>
      </w:r>
      <w:r w:rsidR="00E82B5B">
        <w:t>8</w:t>
      </w:r>
    </w:p>
    <w:p w14:paraId="5E39812D" w14:textId="31703FF1" w:rsidR="005E5363" w:rsidRDefault="005E5363" w:rsidP="005E5363">
      <w:pPr>
        <w:tabs>
          <w:tab w:val="right" w:leader="dot" w:pos="8787"/>
          <w:tab w:val="right" w:pos="9638"/>
        </w:tabs>
        <w:spacing w:after="120"/>
        <w:ind w:left="1559" w:hanging="425"/>
      </w:pPr>
      <w:r>
        <w:t>C.</w:t>
      </w:r>
      <w:r>
        <w:tab/>
      </w:r>
      <w:r w:rsidR="00E82B5B">
        <w:rPr>
          <w:lang w:val="fr-FR"/>
        </w:rPr>
        <w:t>Lettres</w:t>
      </w:r>
      <w:r>
        <w:tab/>
      </w:r>
      <w:r>
        <w:tab/>
      </w:r>
      <w:r w:rsidR="00E82B5B">
        <w:t>10</w:t>
      </w:r>
    </w:p>
    <w:p w14:paraId="1C763644" w14:textId="6C14D42A" w:rsidR="005E5363" w:rsidRDefault="005E5363" w:rsidP="005E5363">
      <w:pPr>
        <w:tabs>
          <w:tab w:val="right" w:pos="850"/>
          <w:tab w:val="right" w:leader="dot" w:pos="8787"/>
          <w:tab w:val="right" w:pos="9638"/>
        </w:tabs>
        <w:spacing w:after="120"/>
        <w:ind w:left="1134" w:hanging="1134"/>
      </w:pPr>
      <w:r>
        <w:tab/>
        <w:t>III.</w:t>
      </w:r>
      <w:r>
        <w:tab/>
      </w:r>
      <w:r w:rsidR="00E82B5B">
        <w:rPr>
          <w:bCs/>
          <w:lang w:val="fr-FR"/>
        </w:rPr>
        <w:t xml:space="preserve">Examen des rapports, observations et renseignements soumis par les États Parties </w:t>
      </w:r>
      <w:r w:rsidR="00E82B5B">
        <w:rPr>
          <w:bCs/>
          <w:lang w:val="fr-FR"/>
        </w:rPr>
        <w:br/>
        <w:t>en application de l’article 9 de la Convention</w:t>
      </w:r>
      <w:r>
        <w:tab/>
      </w:r>
      <w:r>
        <w:tab/>
      </w:r>
      <w:r w:rsidR="00E82B5B">
        <w:t>13</w:t>
      </w:r>
    </w:p>
    <w:p w14:paraId="7E0C8CD1" w14:textId="77A4FD81" w:rsidR="005E5363" w:rsidRDefault="005E5363" w:rsidP="005E5363">
      <w:pPr>
        <w:tabs>
          <w:tab w:val="right" w:pos="850"/>
          <w:tab w:val="right" w:leader="dot" w:pos="8787"/>
          <w:tab w:val="right" w:pos="9638"/>
        </w:tabs>
        <w:spacing w:after="120"/>
        <w:ind w:left="1134" w:hanging="1134"/>
      </w:pPr>
      <w:r>
        <w:tab/>
        <w:t>IV.</w:t>
      </w:r>
      <w:r>
        <w:tab/>
      </w:r>
      <w:r w:rsidR="00E82B5B">
        <w:rPr>
          <w:bCs/>
          <w:lang w:val="fr-FR"/>
        </w:rPr>
        <w:t xml:space="preserve">Suivi de l’examen des rapports soumis par les États Parties en application de l’article 9 </w:t>
      </w:r>
      <w:r w:rsidR="00E82B5B">
        <w:rPr>
          <w:bCs/>
          <w:lang w:val="fr-FR"/>
        </w:rPr>
        <w:br/>
        <w:t>de la Convention</w:t>
      </w:r>
      <w:r>
        <w:tab/>
      </w:r>
      <w:r>
        <w:tab/>
      </w:r>
      <w:r w:rsidR="00E82B5B">
        <w:t>14</w:t>
      </w:r>
    </w:p>
    <w:p w14:paraId="42831E05" w14:textId="6443A7DB" w:rsidR="005E5363" w:rsidRDefault="005E5363" w:rsidP="005E5363">
      <w:pPr>
        <w:tabs>
          <w:tab w:val="right" w:pos="850"/>
          <w:tab w:val="right" w:leader="dot" w:pos="8787"/>
          <w:tab w:val="right" w:pos="9638"/>
        </w:tabs>
        <w:spacing w:after="120"/>
        <w:ind w:left="1134" w:hanging="1134"/>
      </w:pPr>
      <w:r>
        <w:tab/>
        <w:t>V.</w:t>
      </w:r>
      <w:r>
        <w:tab/>
      </w:r>
      <w:r w:rsidR="00E82B5B">
        <w:rPr>
          <w:lang w:val="fr-FR"/>
        </w:rPr>
        <w:t>Examen des communications soumises au titre de l’article 11 de la Convention</w:t>
      </w:r>
      <w:r>
        <w:tab/>
      </w:r>
      <w:r>
        <w:tab/>
      </w:r>
      <w:r w:rsidR="00E82B5B">
        <w:t>15</w:t>
      </w:r>
    </w:p>
    <w:p w14:paraId="42E895AE" w14:textId="64336FEB" w:rsidR="002B40F2" w:rsidRDefault="002B40F2" w:rsidP="005E5363">
      <w:pPr>
        <w:tabs>
          <w:tab w:val="right" w:pos="850"/>
          <w:tab w:val="right" w:leader="dot" w:pos="8787"/>
          <w:tab w:val="right" w:pos="9638"/>
        </w:tabs>
        <w:spacing w:after="120"/>
        <w:ind w:left="1134" w:hanging="1134"/>
      </w:pPr>
      <w:r>
        <w:tab/>
      </w:r>
      <w:r>
        <w:tab/>
      </w:r>
      <w:r>
        <w:rPr>
          <w:bCs/>
          <w:lang w:val="fr-FR"/>
        </w:rPr>
        <w:t xml:space="preserve">Suivi des recommandations formulées par la commission ad hoc de conciliation chargée </w:t>
      </w:r>
      <w:r>
        <w:rPr>
          <w:bCs/>
          <w:lang w:val="fr-FR"/>
        </w:rPr>
        <w:br/>
      </w:r>
      <w:r>
        <w:rPr>
          <w:bCs/>
          <w:lang w:val="fr-FR"/>
        </w:rPr>
        <w:t xml:space="preserve">d’examiner la communication interétatique soumise par l’État de Palestine contre Israël </w:t>
      </w:r>
      <w:r>
        <w:rPr>
          <w:bCs/>
          <w:lang w:val="fr-FR"/>
        </w:rPr>
        <w:br/>
      </w:r>
      <w:r>
        <w:rPr>
          <w:bCs/>
          <w:lang w:val="fr-FR"/>
        </w:rPr>
        <w:t>au titre de l’article 11 de la Convention</w:t>
      </w:r>
      <w:r>
        <w:tab/>
      </w:r>
      <w:r>
        <w:tab/>
        <w:t>15</w:t>
      </w:r>
    </w:p>
    <w:p w14:paraId="3B237577" w14:textId="33120382" w:rsidR="005E5363" w:rsidRDefault="005E5363" w:rsidP="005E5363">
      <w:pPr>
        <w:tabs>
          <w:tab w:val="right" w:pos="850"/>
          <w:tab w:val="right" w:leader="dot" w:pos="8787"/>
          <w:tab w:val="right" w:pos="9638"/>
        </w:tabs>
        <w:spacing w:after="120"/>
        <w:ind w:left="1134" w:hanging="1134"/>
      </w:pPr>
      <w:r>
        <w:tab/>
        <w:t>VI.</w:t>
      </w:r>
      <w:r>
        <w:tab/>
      </w:r>
      <w:r w:rsidR="00E82B5B">
        <w:rPr>
          <w:bCs/>
          <w:lang w:val="fr-FR"/>
        </w:rPr>
        <w:t>Méthodes de travail et Règlement intérieur</w:t>
      </w:r>
      <w:r>
        <w:tab/>
      </w:r>
      <w:r>
        <w:tab/>
      </w:r>
      <w:r w:rsidR="00E82B5B">
        <w:t>17</w:t>
      </w:r>
    </w:p>
    <w:p w14:paraId="5A5E334A" w14:textId="58A50394" w:rsidR="005E5363" w:rsidRDefault="005E5363" w:rsidP="005E5363">
      <w:pPr>
        <w:tabs>
          <w:tab w:val="right" w:pos="850"/>
          <w:tab w:val="right" w:leader="dot" w:pos="8787"/>
          <w:tab w:val="right" w:pos="9638"/>
        </w:tabs>
        <w:spacing w:after="120"/>
        <w:ind w:left="1134" w:hanging="1134"/>
      </w:pPr>
      <w:r>
        <w:tab/>
        <w:t>VII.</w:t>
      </w:r>
      <w:r>
        <w:tab/>
      </w:r>
      <w:r w:rsidR="00E82B5B">
        <w:rPr>
          <w:bCs/>
          <w:lang w:val="fr-FR"/>
        </w:rPr>
        <w:t>États Parties dont les rapports sont très en retard</w:t>
      </w:r>
      <w:r>
        <w:tab/>
      </w:r>
      <w:r>
        <w:tab/>
      </w:r>
      <w:r w:rsidR="00E82B5B">
        <w:t>18</w:t>
      </w:r>
    </w:p>
    <w:p w14:paraId="0F16FF2D" w14:textId="567F7185" w:rsidR="005E5363" w:rsidRDefault="005E5363" w:rsidP="005E5363">
      <w:pPr>
        <w:tabs>
          <w:tab w:val="right" w:leader="dot" w:pos="8787"/>
          <w:tab w:val="right" w:pos="9638"/>
        </w:tabs>
        <w:spacing w:after="120"/>
        <w:ind w:left="1559" w:hanging="425"/>
      </w:pPr>
      <w:r>
        <w:t>A.</w:t>
      </w:r>
      <w:r>
        <w:tab/>
      </w:r>
      <w:r w:rsidR="00E82B5B">
        <w:rPr>
          <w:bCs/>
          <w:lang w:val="fr-FR"/>
        </w:rPr>
        <w:t>Rapports en retard d’au moins dix ans</w:t>
      </w:r>
      <w:r>
        <w:tab/>
      </w:r>
      <w:r>
        <w:tab/>
      </w:r>
      <w:r w:rsidR="00E82B5B">
        <w:t>18</w:t>
      </w:r>
    </w:p>
    <w:p w14:paraId="004820AB" w14:textId="6E1FBFA5" w:rsidR="005E5363" w:rsidRDefault="005E5363" w:rsidP="005E5363">
      <w:pPr>
        <w:tabs>
          <w:tab w:val="right" w:leader="dot" w:pos="8787"/>
          <w:tab w:val="right" w:pos="9638"/>
        </w:tabs>
        <w:spacing w:after="120"/>
        <w:ind w:left="1559" w:hanging="425"/>
      </w:pPr>
      <w:r>
        <w:t>B.</w:t>
      </w:r>
      <w:r>
        <w:tab/>
      </w:r>
      <w:r w:rsidR="00E82B5B">
        <w:rPr>
          <w:bCs/>
          <w:lang w:val="fr-FR"/>
        </w:rPr>
        <w:t>Rapports en retard d’au moins cinq ans</w:t>
      </w:r>
      <w:r>
        <w:tab/>
      </w:r>
      <w:r>
        <w:tab/>
      </w:r>
      <w:r w:rsidR="00E82B5B">
        <w:t>20</w:t>
      </w:r>
    </w:p>
    <w:p w14:paraId="6A19DFE3" w14:textId="79220875" w:rsidR="005E5363" w:rsidRDefault="005E5363" w:rsidP="005E5363">
      <w:pPr>
        <w:tabs>
          <w:tab w:val="right" w:leader="dot" w:pos="8787"/>
          <w:tab w:val="right" w:pos="9638"/>
        </w:tabs>
        <w:spacing w:after="120"/>
        <w:ind w:left="1559" w:hanging="425"/>
      </w:pPr>
      <w:r>
        <w:t>C.</w:t>
      </w:r>
      <w:r>
        <w:tab/>
      </w:r>
      <w:r w:rsidR="00E82B5B">
        <w:rPr>
          <w:bCs/>
          <w:lang w:val="fr-FR"/>
        </w:rPr>
        <w:t xml:space="preserve">Mesures que le Comité a prises pour amener les États Parties à soumettre </w:t>
      </w:r>
      <w:r w:rsidR="00E82B5B">
        <w:rPr>
          <w:bCs/>
          <w:lang w:val="fr-FR"/>
        </w:rPr>
        <w:br/>
        <w:t>leurs rapports</w:t>
      </w:r>
      <w:r>
        <w:tab/>
      </w:r>
      <w:r>
        <w:tab/>
      </w:r>
      <w:r w:rsidR="00E82B5B">
        <w:t>20</w:t>
      </w:r>
    </w:p>
    <w:p w14:paraId="3EDD0A25" w14:textId="6A895486" w:rsidR="005E5363" w:rsidRDefault="005E5363" w:rsidP="005E5363">
      <w:pPr>
        <w:tabs>
          <w:tab w:val="right" w:pos="850"/>
          <w:tab w:val="right" w:leader="dot" w:pos="8787"/>
          <w:tab w:val="right" w:pos="9638"/>
        </w:tabs>
        <w:spacing w:after="120"/>
        <w:ind w:left="1134" w:hanging="1134"/>
      </w:pPr>
      <w:r>
        <w:tab/>
        <w:t>VIII.</w:t>
      </w:r>
      <w:r>
        <w:tab/>
      </w:r>
      <w:r w:rsidR="00E82B5B">
        <w:rPr>
          <w:bCs/>
          <w:lang w:val="fr-FR"/>
        </w:rPr>
        <w:t>Examen des communications soumises au titre de l’article 14 de la Convention</w:t>
      </w:r>
      <w:r>
        <w:tab/>
      </w:r>
      <w:r>
        <w:tab/>
      </w:r>
      <w:r w:rsidR="00E82B5B">
        <w:t>22</w:t>
      </w:r>
    </w:p>
    <w:p w14:paraId="40DB0795" w14:textId="7E353808" w:rsidR="005E5363" w:rsidRDefault="005E5363" w:rsidP="005E5363">
      <w:pPr>
        <w:tabs>
          <w:tab w:val="right" w:pos="850"/>
          <w:tab w:val="right" w:leader="dot" w:pos="8787"/>
          <w:tab w:val="right" w:pos="9638"/>
        </w:tabs>
        <w:spacing w:after="120"/>
        <w:ind w:left="1134" w:hanging="1134"/>
      </w:pPr>
      <w:r>
        <w:tab/>
        <w:t>IX.</w:t>
      </w:r>
      <w:r>
        <w:tab/>
      </w:r>
      <w:r w:rsidR="00E82B5B">
        <w:rPr>
          <w:bCs/>
          <w:lang w:val="fr-FR"/>
        </w:rPr>
        <w:t xml:space="preserve">Suite donnée à la Conférence mondiale contre le racisme, la discrimination raciale, </w:t>
      </w:r>
      <w:r w:rsidR="00E82B5B">
        <w:rPr>
          <w:bCs/>
          <w:lang w:val="fr-FR"/>
        </w:rPr>
        <w:br/>
        <w:t xml:space="preserve">la xénophobie et l’intolérance qui y est associée et à la Conférence d’examen de Durban </w:t>
      </w:r>
      <w:r w:rsidR="00E82B5B">
        <w:rPr>
          <w:bCs/>
          <w:lang w:val="fr-FR"/>
        </w:rPr>
        <w:br/>
        <w:t>et activités de promotion liées à la Convention</w:t>
      </w:r>
      <w:r>
        <w:tab/>
      </w:r>
      <w:r>
        <w:tab/>
      </w:r>
      <w:r w:rsidR="00E82B5B">
        <w:t>23</w:t>
      </w:r>
    </w:p>
    <w:p w14:paraId="2DBEA650" w14:textId="35322082" w:rsidR="005E5363" w:rsidRDefault="005E5363" w:rsidP="005E5363">
      <w:pPr>
        <w:tabs>
          <w:tab w:val="right" w:pos="850"/>
          <w:tab w:val="right" w:leader="dot" w:pos="8787"/>
          <w:tab w:val="right" w:pos="9638"/>
        </w:tabs>
        <w:spacing w:after="120"/>
        <w:ind w:left="1134" w:hanging="1134"/>
      </w:pPr>
      <w:r>
        <w:tab/>
        <w:t>X.</w:t>
      </w:r>
      <w:r>
        <w:tab/>
      </w:r>
      <w:r w:rsidR="00E82B5B">
        <w:rPr>
          <w:bCs/>
          <w:lang w:val="fr-FR"/>
        </w:rPr>
        <w:t>Recommandations générales</w:t>
      </w:r>
      <w:r>
        <w:tab/>
      </w:r>
      <w:r>
        <w:tab/>
      </w:r>
      <w:r w:rsidR="005154B1">
        <w:t>25</w:t>
      </w:r>
    </w:p>
    <w:p w14:paraId="23BEFE07" w14:textId="688CD42B" w:rsidR="005E5363" w:rsidRDefault="005E5363" w:rsidP="005E5363">
      <w:pPr>
        <w:tabs>
          <w:tab w:val="right" w:leader="dot" w:pos="8787"/>
          <w:tab w:val="right" w:pos="9638"/>
        </w:tabs>
        <w:spacing w:after="120"/>
        <w:ind w:left="1559" w:hanging="425"/>
      </w:pPr>
      <w:r>
        <w:t>A.</w:t>
      </w:r>
      <w:r>
        <w:tab/>
      </w:r>
      <w:r w:rsidR="00E82B5B">
        <w:rPr>
          <w:bCs/>
          <w:lang w:val="fr-FR"/>
        </w:rPr>
        <w:t>Recommandation générale n</w:t>
      </w:r>
      <w:r w:rsidR="00E82B5B">
        <w:rPr>
          <w:bCs/>
          <w:vertAlign w:val="superscript"/>
          <w:lang w:val="fr-FR"/>
        </w:rPr>
        <w:t>o</w:t>
      </w:r>
      <w:r w:rsidR="00E82B5B">
        <w:rPr>
          <w:bCs/>
          <w:lang w:val="fr-FR"/>
        </w:rPr>
        <w:t xml:space="preserve"> 37 (2024) sur l’égalité et le droit </w:t>
      </w:r>
      <w:r w:rsidR="00E82B5B">
        <w:rPr>
          <w:bCs/>
          <w:lang w:val="fr-FR"/>
        </w:rPr>
        <w:br/>
        <w:t xml:space="preserve">de ne pas faire l’objet de discrimination raciale </w:t>
      </w:r>
      <w:r w:rsidR="00E82B5B">
        <w:rPr>
          <w:bCs/>
          <w:lang w:val="fr-FR"/>
        </w:rPr>
        <w:br/>
        <w:t>dans la jouissance du droit à la santé</w:t>
      </w:r>
      <w:r>
        <w:tab/>
      </w:r>
      <w:r>
        <w:tab/>
      </w:r>
      <w:r w:rsidR="005154B1">
        <w:t>25</w:t>
      </w:r>
    </w:p>
    <w:p w14:paraId="71241F31" w14:textId="0B645C01" w:rsidR="005E5363" w:rsidRDefault="005E5363" w:rsidP="005154B1">
      <w:pPr>
        <w:keepNext/>
        <w:keepLines/>
        <w:tabs>
          <w:tab w:val="right" w:leader="dot" w:pos="8787"/>
          <w:tab w:val="right" w:pos="9638"/>
        </w:tabs>
        <w:spacing w:after="120"/>
        <w:ind w:left="1559" w:hanging="425"/>
      </w:pPr>
      <w:r>
        <w:lastRenderedPageBreak/>
        <w:t>B.</w:t>
      </w:r>
      <w:r>
        <w:tab/>
      </w:r>
      <w:r w:rsidR="00E82B5B">
        <w:rPr>
          <w:bCs/>
          <w:lang w:val="fr-FR"/>
        </w:rPr>
        <w:t>Recommandations/observations générales conjointes n</w:t>
      </w:r>
      <w:r w:rsidR="00E82B5B">
        <w:rPr>
          <w:bCs/>
          <w:vertAlign w:val="superscript"/>
          <w:lang w:val="fr-FR"/>
        </w:rPr>
        <w:t>os</w:t>
      </w:r>
      <w:r w:rsidR="00E82B5B">
        <w:rPr>
          <w:bCs/>
          <w:lang w:val="fr-FR"/>
        </w:rPr>
        <w:t xml:space="preserve"> 38 et 39 du Comité </w:t>
      </w:r>
      <w:r w:rsidR="00E82B5B">
        <w:rPr>
          <w:bCs/>
          <w:lang w:val="fr-FR"/>
        </w:rPr>
        <w:br/>
        <w:t>pour l’élimination de la discrimination raciale et n</w:t>
      </w:r>
      <w:r w:rsidR="00E82B5B">
        <w:rPr>
          <w:bCs/>
          <w:vertAlign w:val="superscript"/>
          <w:lang w:val="fr-FR"/>
        </w:rPr>
        <w:t>os</w:t>
      </w:r>
      <w:r w:rsidR="00E82B5B">
        <w:rPr>
          <w:bCs/>
          <w:lang w:val="fr-FR"/>
        </w:rPr>
        <w:t xml:space="preserve"> 7 et 8 du Comité </w:t>
      </w:r>
      <w:r w:rsidR="00E82B5B">
        <w:rPr>
          <w:bCs/>
          <w:lang w:val="fr-FR"/>
        </w:rPr>
        <w:br/>
        <w:t xml:space="preserve">pour la protection des droits de tous les travailleurs migrants et des membres </w:t>
      </w:r>
      <w:r w:rsidR="00E82B5B">
        <w:rPr>
          <w:bCs/>
          <w:lang w:val="fr-FR"/>
        </w:rPr>
        <w:br/>
        <w:t xml:space="preserve">de leur famille, portant sur l’élimination de la xénophobie à l’égard </w:t>
      </w:r>
      <w:r w:rsidR="005154B1">
        <w:rPr>
          <w:bCs/>
          <w:lang w:val="fr-FR"/>
        </w:rPr>
        <w:br/>
      </w:r>
      <w:r w:rsidR="00E82B5B">
        <w:rPr>
          <w:bCs/>
          <w:lang w:val="fr-FR"/>
        </w:rPr>
        <w:t>des migrants et autres personnes perçues comme telles</w:t>
      </w:r>
      <w:r>
        <w:tab/>
      </w:r>
      <w:r>
        <w:tab/>
      </w:r>
      <w:r w:rsidR="005154B1">
        <w:t>25</w:t>
      </w:r>
    </w:p>
    <w:p w14:paraId="11CD940A" w14:textId="0749FDD0" w:rsidR="005E5363" w:rsidRDefault="005E5363" w:rsidP="005E5363">
      <w:pPr>
        <w:tabs>
          <w:tab w:val="right" w:leader="dot" w:pos="8787"/>
          <w:tab w:val="right" w:pos="9638"/>
        </w:tabs>
        <w:spacing w:after="120"/>
        <w:ind w:left="1559" w:hanging="425"/>
      </w:pPr>
      <w:r>
        <w:t>C.</w:t>
      </w:r>
      <w:r>
        <w:tab/>
      </w:r>
      <w:r w:rsidR="005154B1">
        <w:rPr>
          <w:bCs/>
          <w:lang w:val="fr-FR"/>
        </w:rPr>
        <w:t>Recommandation générale n</w:t>
      </w:r>
      <w:r w:rsidR="005154B1">
        <w:rPr>
          <w:bCs/>
          <w:vertAlign w:val="superscript"/>
          <w:lang w:val="fr-FR"/>
        </w:rPr>
        <w:t>o</w:t>
      </w:r>
      <w:r w:rsidR="005154B1">
        <w:rPr>
          <w:bCs/>
          <w:lang w:val="fr-FR"/>
        </w:rPr>
        <w:t xml:space="preserve"> 40 sur les </w:t>
      </w:r>
      <w:r w:rsidR="005154B1" w:rsidRPr="00F65294">
        <w:rPr>
          <w:bCs/>
          <w:lang w:val="fr-FR"/>
        </w:rPr>
        <w:t xml:space="preserve">réparations des injustices </w:t>
      </w:r>
      <w:r w:rsidR="005154B1">
        <w:rPr>
          <w:bCs/>
          <w:lang w:val="fr-FR"/>
        </w:rPr>
        <w:br/>
      </w:r>
      <w:r w:rsidR="005154B1" w:rsidRPr="00F65294">
        <w:rPr>
          <w:bCs/>
          <w:lang w:val="fr-FR"/>
        </w:rPr>
        <w:t xml:space="preserve">liées à la traite transatlantique des Africains réduits en esclavage </w:t>
      </w:r>
      <w:r w:rsidR="005154B1">
        <w:rPr>
          <w:bCs/>
          <w:lang w:val="fr-FR"/>
        </w:rPr>
        <w:br/>
      </w:r>
      <w:r w:rsidR="005154B1" w:rsidRPr="00F65294">
        <w:rPr>
          <w:bCs/>
          <w:lang w:val="fr-FR"/>
        </w:rPr>
        <w:t xml:space="preserve">et déshumanisés et sur les préjudices et crimes dont continuent </w:t>
      </w:r>
      <w:r w:rsidR="005154B1">
        <w:rPr>
          <w:bCs/>
          <w:lang w:val="fr-FR"/>
        </w:rPr>
        <w:br/>
      </w:r>
      <w:r w:rsidR="005154B1" w:rsidRPr="00F65294">
        <w:rPr>
          <w:bCs/>
          <w:lang w:val="fr-FR"/>
        </w:rPr>
        <w:t>d</w:t>
      </w:r>
      <w:r w:rsidR="005154B1">
        <w:rPr>
          <w:bCs/>
          <w:lang w:val="fr-FR"/>
        </w:rPr>
        <w:t>’</w:t>
      </w:r>
      <w:r w:rsidR="005154B1" w:rsidRPr="00F65294">
        <w:rPr>
          <w:bCs/>
          <w:lang w:val="fr-FR"/>
        </w:rPr>
        <w:t>être victimes les personnes d</w:t>
      </w:r>
      <w:r w:rsidR="005154B1">
        <w:rPr>
          <w:bCs/>
          <w:lang w:val="fr-FR"/>
        </w:rPr>
        <w:t>’</w:t>
      </w:r>
      <w:r w:rsidR="005154B1" w:rsidRPr="00F65294">
        <w:rPr>
          <w:bCs/>
          <w:lang w:val="fr-FR"/>
        </w:rPr>
        <w:t>ascendance africaine</w:t>
      </w:r>
      <w:r>
        <w:tab/>
      </w:r>
      <w:r>
        <w:tab/>
      </w:r>
      <w:r w:rsidR="005154B1">
        <w:t>25</w:t>
      </w:r>
    </w:p>
    <w:p w14:paraId="36E34592" w14:textId="110A0127" w:rsidR="005E5363" w:rsidRDefault="005E5363" w:rsidP="005E5363">
      <w:pPr>
        <w:tabs>
          <w:tab w:val="right" w:pos="850"/>
          <w:tab w:val="right" w:leader="dot" w:pos="8787"/>
          <w:tab w:val="right" w:pos="9638"/>
        </w:tabs>
        <w:spacing w:after="120"/>
        <w:ind w:left="1134" w:hanging="1134"/>
      </w:pPr>
      <w:r>
        <w:tab/>
        <w:t>XI.</w:t>
      </w:r>
      <w:r>
        <w:tab/>
      </w:r>
      <w:r w:rsidR="005154B1">
        <w:rPr>
          <w:bCs/>
          <w:lang w:val="fr-FR"/>
        </w:rPr>
        <w:t xml:space="preserve">Examen des copies de pétitions, des copies de rapports et d’autres renseignements </w:t>
      </w:r>
      <w:r w:rsidR="005154B1">
        <w:rPr>
          <w:bCs/>
          <w:lang w:val="fr-FR"/>
        </w:rPr>
        <w:br/>
        <w:t xml:space="preserve">relatifs aux territoires sous tutelle, aux territoires non autonomes et à tous les autres </w:t>
      </w:r>
      <w:r w:rsidR="005154B1">
        <w:rPr>
          <w:bCs/>
          <w:lang w:val="fr-FR"/>
        </w:rPr>
        <w:br/>
        <w:t xml:space="preserve">territoires auxquels s’applique la résolution 1514 (XV) de l’Assemblée générale, </w:t>
      </w:r>
      <w:r w:rsidR="005154B1">
        <w:rPr>
          <w:bCs/>
          <w:lang w:val="fr-FR"/>
        </w:rPr>
        <w:br/>
        <w:t>conformément à l’article 15 de la Convention</w:t>
      </w:r>
      <w:r>
        <w:tab/>
      </w:r>
      <w:r>
        <w:tab/>
      </w:r>
      <w:r w:rsidR="005154B1">
        <w:t>27</w:t>
      </w:r>
    </w:p>
    <w:p w14:paraId="47F0BB8B" w14:textId="032F1214" w:rsidR="005E5363" w:rsidRDefault="005E5363" w:rsidP="005E5363">
      <w:pPr>
        <w:tabs>
          <w:tab w:val="right" w:pos="850"/>
          <w:tab w:val="right" w:leader="dot" w:pos="8787"/>
          <w:tab w:val="right" w:pos="9638"/>
        </w:tabs>
        <w:spacing w:after="120"/>
        <w:ind w:left="1134" w:hanging="1134"/>
      </w:pPr>
      <w:r>
        <w:tab/>
        <w:t>XII.</w:t>
      </w:r>
      <w:r>
        <w:tab/>
      </w:r>
      <w:r w:rsidR="005154B1">
        <w:rPr>
          <w:bCs/>
          <w:lang w:val="fr-FR"/>
        </w:rPr>
        <w:t>Représailles</w:t>
      </w:r>
      <w:r>
        <w:tab/>
      </w:r>
      <w:r>
        <w:tab/>
      </w:r>
      <w:r w:rsidR="005154B1">
        <w:t>28</w:t>
      </w:r>
    </w:p>
    <w:p w14:paraId="0607DCD6" w14:textId="77777777" w:rsidR="005E5363" w:rsidRDefault="005E5363" w:rsidP="0060322E">
      <w:pPr>
        <w:tabs>
          <w:tab w:val="right" w:pos="850"/>
          <w:tab w:val="left" w:pos="1134"/>
          <w:tab w:val="left" w:pos="1559"/>
          <w:tab w:val="left" w:pos="1984"/>
          <w:tab w:val="left" w:leader="dot" w:pos="8929"/>
          <w:tab w:val="right" w:pos="9638"/>
        </w:tabs>
        <w:spacing w:after="120"/>
      </w:pPr>
    </w:p>
    <w:p w14:paraId="3F6B3489" w14:textId="77777777" w:rsidR="000E378D" w:rsidRDefault="000E378D">
      <w:pPr>
        <w:suppressAutoHyphens w:val="0"/>
        <w:kinsoku/>
        <w:overflowPunct/>
        <w:autoSpaceDE/>
        <w:autoSpaceDN/>
        <w:adjustRightInd/>
        <w:snapToGrid/>
        <w:spacing w:line="240" w:lineRule="auto"/>
        <w:sectPr w:rsidR="000E378D" w:rsidSect="000E378D">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52EE8470" w14:textId="77777777" w:rsidR="005E5363" w:rsidRPr="007E0FB5" w:rsidRDefault="005E5363" w:rsidP="005E5363">
      <w:pPr>
        <w:pStyle w:val="HChG"/>
      </w:pPr>
      <w:r>
        <w:rPr>
          <w:lang w:val="fr-FR"/>
        </w:rPr>
        <w:lastRenderedPageBreak/>
        <w:tab/>
      </w:r>
      <w:r>
        <w:rPr>
          <w:lang w:val="fr-FR"/>
        </w:rPr>
        <w:tab/>
        <w:t>Lettre d’envoi</w:t>
      </w:r>
      <w:bookmarkStart w:id="0" w:name="_Toc428794275"/>
      <w:bookmarkStart w:id="1" w:name="_Toc17361288"/>
      <w:bookmarkStart w:id="2" w:name="_Toc48752311"/>
      <w:bookmarkStart w:id="3" w:name="_Toc48816864"/>
      <w:bookmarkStart w:id="4" w:name="_Toc81563217"/>
      <w:bookmarkStart w:id="5" w:name="_Toc113263026"/>
      <w:bookmarkStart w:id="6" w:name="_Toc176248173"/>
      <w:bookmarkStart w:id="7" w:name="_Toc176248838"/>
      <w:bookmarkEnd w:id="0"/>
      <w:bookmarkEnd w:id="1"/>
      <w:bookmarkEnd w:id="2"/>
      <w:bookmarkEnd w:id="3"/>
      <w:bookmarkEnd w:id="4"/>
      <w:bookmarkEnd w:id="5"/>
      <w:bookmarkEnd w:id="6"/>
      <w:bookmarkEnd w:id="7"/>
    </w:p>
    <w:p w14:paraId="235BA092" w14:textId="77777777" w:rsidR="005E5363" w:rsidRPr="007E0FB5" w:rsidRDefault="005E5363" w:rsidP="005E5363">
      <w:pPr>
        <w:pStyle w:val="SingleTxtG"/>
        <w:jc w:val="right"/>
      </w:pPr>
      <w:r>
        <w:rPr>
          <w:lang w:val="fr-FR"/>
        </w:rPr>
        <w:t>29 août 2025</w:t>
      </w:r>
    </w:p>
    <w:p w14:paraId="0D2BB963" w14:textId="0BB0D3FE" w:rsidR="005E5363" w:rsidRPr="007E0FB5" w:rsidRDefault="00387D3E" w:rsidP="005E5363">
      <w:pPr>
        <w:pStyle w:val="SingleTxtG"/>
      </w:pPr>
      <w:r>
        <w:rPr>
          <w:lang w:val="fr-FR"/>
        </w:rPr>
        <w:tab/>
      </w:r>
      <w:r w:rsidR="005E5363">
        <w:rPr>
          <w:lang w:val="fr-FR"/>
        </w:rPr>
        <w:t>Monsieur le Secrétaire général,</w:t>
      </w:r>
    </w:p>
    <w:p w14:paraId="6173D538" w14:textId="3A8C405F" w:rsidR="005E5363" w:rsidRPr="007E0FB5" w:rsidRDefault="005E5363" w:rsidP="005E5363">
      <w:pPr>
        <w:pStyle w:val="SingleTxtG"/>
      </w:pPr>
      <w:r>
        <w:rPr>
          <w:lang w:val="fr-FR"/>
        </w:rPr>
        <w:tab/>
        <w:t>J’ai l’honneur de vous faire tenir le rapport annuel du Comité pour l’élimination de la discrimination raciale</w:t>
      </w:r>
      <w:r w:rsidR="007A599E" w:rsidRPr="007A599E">
        <w:rPr>
          <w:lang w:val="fr-FR"/>
        </w:rPr>
        <w:t>.</w:t>
      </w:r>
    </w:p>
    <w:p w14:paraId="33C79F69" w14:textId="3A7444CF" w:rsidR="005E5363" w:rsidRPr="007E0FB5" w:rsidRDefault="005E5363" w:rsidP="005E5363">
      <w:pPr>
        <w:pStyle w:val="SingleTxtG"/>
      </w:pPr>
      <w:r>
        <w:rPr>
          <w:lang w:val="fr-FR"/>
        </w:rPr>
        <w:tab/>
        <w:t>Le rapport comprend des renseignements relatifs aux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du Comité, qui se sont respectivement tenues du 5 au 23 août 2024, du 25 novembre au 13 décembre 2024 et du 22 avril au 9 mai 2025</w:t>
      </w:r>
      <w:r w:rsidR="007A599E" w:rsidRPr="007A599E">
        <w:rPr>
          <w:lang w:val="fr-FR"/>
        </w:rPr>
        <w:t>.</w:t>
      </w:r>
    </w:p>
    <w:p w14:paraId="0C3B3F5D" w14:textId="76420508" w:rsidR="005E5363" w:rsidRPr="007E0FB5" w:rsidRDefault="005E5363" w:rsidP="005E5363">
      <w:pPr>
        <w:pStyle w:val="SingleTxtG"/>
      </w:pPr>
      <w:r>
        <w:rPr>
          <w:lang w:val="fr-FR"/>
        </w:rPr>
        <w:tab/>
        <w:t>Cent quatre-vingt-deux États ont ratifié la Convention internationale sur l’élimination de toutes les formes de discrimination raciale, base normative sur laquelle doivent reposer les efforts internationaux de lutte contre la discrimination raciale</w:t>
      </w:r>
      <w:r w:rsidR="007A599E" w:rsidRPr="007A599E">
        <w:rPr>
          <w:lang w:val="fr-FR"/>
        </w:rPr>
        <w:t>.</w:t>
      </w:r>
      <w:r>
        <w:rPr>
          <w:lang w:val="fr-FR"/>
        </w:rPr>
        <w:t xml:space="preserve"> </w:t>
      </w:r>
    </w:p>
    <w:p w14:paraId="57FA7972" w14:textId="03F96573" w:rsidR="005E5363" w:rsidRPr="007E0FB5" w:rsidRDefault="005E5363" w:rsidP="005E5363">
      <w:pPr>
        <w:pStyle w:val="SingleTxtG"/>
        <w:rPr>
          <w:rFonts w:asciiTheme="majorBidi" w:hAnsiTheme="majorBidi" w:cstheme="majorBidi"/>
        </w:rPr>
      </w:pPr>
      <w:r>
        <w:rPr>
          <w:lang w:val="fr-FR"/>
        </w:rPr>
        <w:tab/>
        <w:t>À ses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et au cours des périodes intersessions, le Comité a continué de s’acquitter d’une charge de travail importante, liée notamment à l’examen des rapports des États Parties (voir chap</w:t>
      </w:r>
      <w:r w:rsidR="007A599E" w:rsidRPr="007A599E">
        <w:rPr>
          <w:lang w:val="fr-FR"/>
        </w:rPr>
        <w:t>.</w:t>
      </w:r>
      <w:r>
        <w:rPr>
          <w:lang w:val="fr-FR"/>
        </w:rPr>
        <w:t> III) et à l’examen de la situation de plusieurs États Parties au titre de ses procédures d’alerte rapide et d’intervention d’urgence (voir chap</w:t>
      </w:r>
      <w:r w:rsidR="007A599E" w:rsidRPr="007A599E">
        <w:rPr>
          <w:lang w:val="fr-FR"/>
        </w:rPr>
        <w:t>.</w:t>
      </w:r>
      <w:r>
        <w:rPr>
          <w:lang w:val="fr-FR"/>
        </w:rPr>
        <w:t> II)</w:t>
      </w:r>
      <w:r w:rsidR="007A599E" w:rsidRPr="007A599E">
        <w:rPr>
          <w:lang w:val="fr-FR"/>
        </w:rPr>
        <w:t>.</w:t>
      </w:r>
      <w:r>
        <w:rPr>
          <w:lang w:val="fr-FR"/>
        </w:rPr>
        <w:t xml:space="preserve"> En outre, au</w:t>
      </w:r>
      <w:r w:rsidRPr="00CD1EDE">
        <w:rPr>
          <w:lang w:val="fr-FR"/>
        </w:rPr>
        <w:t xml:space="preserve"> </w:t>
      </w:r>
      <w:r>
        <w:rPr>
          <w:lang w:val="fr-FR"/>
        </w:rPr>
        <w:t>titre de sa procédure de suivi des observations finales et de l’examen des rapports des États Parties (voir chap</w:t>
      </w:r>
      <w:r w:rsidR="007A599E" w:rsidRPr="007A599E">
        <w:rPr>
          <w:lang w:val="fr-FR"/>
        </w:rPr>
        <w:t>.</w:t>
      </w:r>
      <w:r>
        <w:rPr>
          <w:lang w:val="fr-FR"/>
        </w:rPr>
        <w:t> IV), il a examiné des informations communiquées par plusieurs États Parties</w:t>
      </w:r>
      <w:r w:rsidR="007A599E" w:rsidRPr="007A599E">
        <w:rPr>
          <w:lang w:val="fr-FR"/>
        </w:rPr>
        <w:t>.</w:t>
      </w:r>
    </w:p>
    <w:p w14:paraId="3F120020" w14:textId="4DD5C61B" w:rsidR="005E5363" w:rsidRPr="007E0FB5" w:rsidRDefault="005E5363" w:rsidP="005E5363">
      <w:pPr>
        <w:pStyle w:val="SingleTxtG"/>
        <w:rPr>
          <w:rFonts w:asciiTheme="majorBidi" w:hAnsiTheme="majorBidi" w:cstheme="majorBidi"/>
        </w:rPr>
      </w:pPr>
      <w:r>
        <w:rPr>
          <w:lang w:val="fr-FR"/>
        </w:rPr>
        <w:tab/>
        <w:t>À sa 113</w:t>
      </w:r>
      <w:r>
        <w:rPr>
          <w:vertAlign w:val="superscript"/>
          <w:lang w:val="fr-FR"/>
        </w:rPr>
        <w:t>e</w:t>
      </w:r>
      <w:r>
        <w:rPr>
          <w:lang w:val="fr-FR"/>
        </w:rPr>
        <w:t> session, le Comité a adopté sa recommandation générale n</w:t>
      </w:r>
      <w:r>
        <w:rPr>
          <w:vertAlign w:val="superscript"/>
          <w:lang w:val="fr-FR"/>
        </w:rPr>
        <w:t>o</w:t>
      </w:r>
      <w:r>
        <w:rPr>
          <w:lang w:val="fr-FR"/>
        </w:rPr>
        <w:t> 37 (2024) sur l’égalité et le droit de ne pas faire l’objet de discrimination raciale dans la jouissance du droit à la santé</w:t>
      </w:r>
      <w:r w:rsidR="007A599E" w:rsidRPr="007A599E">
        <w:rPr>
          <w:lang w:val="fr-FR"/>
        </w:rPr>
        <w:t>.</w:t>
      </w:r>
      <w:r>
        <w:rPr>
          <w:lang w:val="fr-FR"/>
        </w:rPr>
        <w:t xml:space="preserve"> À sa 115</w:t>
      </w:r>
      <w:r>
        <w:rPr>
          <w:vertAlign w:val="superscript"/>
          <w:lang w:val="fr-FR"/>
        </w:rPr>
        <w:t>e</w:t>
      </w:r>
      <w:r>
        <w:rPr>
          <w:lang w:val="fr-FR"/>
        </w:rPr>
        <w:t> session, il a adopté son Règlement intérieur révisé</w:t>
      </w:r>
      <w:r w:rsidRPr="00803B71">
        <w:rPr>
          <w:rStyle w:val="Appelnotedebasdep"/>
        </w:rPr>
        <w:footnoteReference w:id="2"/>
      </w:r>
      <w:r w:rsidR="007A599E" w:rsidRPr="007A599E">
        <w:rPr>
          <w:lang w:val="fr-FR"/>
        </w:rPr>
        <w:t>.</w:t>
      </w:r>
    </w:p>
    <w:p w14:paraId="309BB32D" w14:textId="1D0B1072" w:rsidR="005E5363" w:rsidRPr="007E0FB5" w:rsidRDefault="005E5363" w:rsidP="005E5363">
      <w:pPr>
        <w:pStyle w:val="SingleTxtG"/>
        <w:tabs>
          <w:tab w:val="left" w:pos="7371"/>
        </w:tabs>
        <w:rPr>
          <w:rFonts w:asciiTheme="majorBidi" w:hAnsiTheme="majorBidi" w:cstheme="majorBidi"/>
        </w:rPr>
      </w:pPr>
      <w:r>
        <w:rPr>
          <w:lang w:val="fr-FR"/>
        </w:rPr>
        <w:tab/>
        <w:t>À sa 114</w:t>
      </w:r>
      <w:r>
        <w:rPr>
          <w:vertAlign w:val="superscript"/>
          <w:lang w:val="fr-FR"/>
        </w:rPr>
        <w:t>e</w:t>
      </w:r>
      <w:r>
        <w:rPr>
          <w:lang w:val="fr-FR"/>
        </w:rPr>
        <w:t> session, le Comité a nommé une rapporteuse chargée d’assurer le suivi de l’application des recommandations formulées par la commission de conciliation ad hoc qu’il avait établie en application de l’article 12 de la Convention comme suite à la réception de la communication interétatique soumise par l’État de Palestine contre Israël au titre de l’article 11 de la Convention</w:t>
      </w:r>
      <w:r w:rsidRPr="00803B71">
        <w:rPr>
          <w:rStyle w:val="Appelnotedebasdep"/>
        </w:rPr>
        <w:footnoteReference w:id="3"/>
      </w:r>
      <w:r w:rsidR="007A599E" w:rsidRPr="007A599E">
        <w:rPr>
          <w:lang w:val="fr-FR"/>
        </w:rPr>
        <w:t>.</w:t>
      </w:r>
    </w:p>
    <w:p w14:paraId="6035A03C" w14:textId="34BD58F3" w:rsidR="005E5363" w:rsidRPr="007E0FB5" w:rsidRDefault="005E5363" w:rsidP="005E5363">
      <w:pPr>
        <w:pStyle w:val="SingleTxtG"/>
      </w:pPr>
      <w:r>
        <w:rPr>
          <w:lang w:val="fr-FR"/>
        </w:rPr>
        <w:tab/>
        <w:t>Toujours à sa 114</w:t>
      </w:r>
      <w:r>
        <w:rPr>
          <w:vertAlign w:val="superscript"/>
          <w:lang w:val="fr-FR"/>
        </w:rPr>
        <w:t>e</w:t>
      </w:r>
      <w:r>
        <w:rPr>
          <w:lang w:val="fr-FR"/>
        </w:rPr>
        <w:t> session, le Comité a décidé de célébrer le soixantième anniversaire de la Convention en organisant des activités pendant toute une année à compter de la Journée internationale pour l’élimination de la discrimination raciale, le 21 mars 2025</w:t>
      </w:r>
      <w:r w:rsidR="007A599E" w:rsidRPr="007A599E">
        <w:rPr>
          <w:lang w:val="fr-FR"/>
        </w:rPr>
        <w:t>.</w:t>
      </w:r>
      <w:r>
        <w:rPr>
          <w:lang w:val="fr-FR"/>
        </w:rPr>
        <w:t xml:space="preserve"> Il a établi une note de synthèse</w:t>
      </w:r>
      <w:r w:rsidRPr="00803B71">
        <w:rPr>
          <w:rStyle w:val="Appelnotedebasdep"/>
        </w:rPr>
        <w:footnoteReference w:id="4"/>
      </w:r>
      <w:r>
        <w:rPr>
          <w:lang w:val="fr-FR"/>
        </w:rPr>
        <w:t>, fait des déclarations lors de plusieurs événements et encouragé toutes les parties prenantes à prendre l’initiative de promouvoir l’application de la Convention et à participer à l’événement de haut niveau destiné à marquer cet anniversaire, qui doit se tenir à Genève le 4 décembre 2025</w:t>
      </w:r>
      <w:r w:rsidR="007A599E" w:rsidRPr="007A599E">
        <w:rPr>
          <w:lang w:val="fr-FR"/>
        </w:rPr>
        <w:t>.</w:t>
      </w:r>
      <w:r>
        <w:rPr>
          <w:lang w:val="fr-FR"/>
        </w:rPr>
        <w:t xml:space="preserve"> Il a créé une page Web pour diffuser des informations sur les activités et les événements commémoratifs et centraliser les ressources multimédias et les autres ressources et produits liés à cet anniversaire</w:t>
      </w:r>
      <w:r w:rsidRPr="00803B71">
        <w:rPr>
          <w:rStyle w:val="Appelnotedebasdep"/>
        </w:rPr>
        <w:footnoteReference w:id="5"/>
      </w:r>
      <w:r w:rsidR="007A599E" w:rsidRPr="007A599E">
        <w:rPr>
          <w:lang w:val="fr-FR"/>
        </w:rPr>
        <w:t>.</w:t>
      </w:r>
    </w:p>
    <w:p w14:paraId="0451044E" w14:textId="24A5F41C" w:rsidR="005E5363" w:rsidRPr="007E0FB5" w:rsidRDefault="005E5363" w:rsidP="005E5363">
      <w:pPr>
        <w:pStyle w:val="SingleTxtG"/>
      </w:pPr>
      <w:r>
        <w:rPr>
          <w:lang w:val="fr-FR"/>
        </w:rPr>
        <w:tab/>
        <w:t>Le Comité a continué de resserrer sa coopération avec les mécanismes régionaux de protection des droits de l’homme, notamment la Commission européenne contre le racisme et l’intolérance, la Commission africaine des droits de l’homme et des peuples et la Commission interaméricaine des droits de l’homme, ainsi qu’avec les mécanismes de l’Organisation des Nations Unies chargés des droits de l’homme, par l’intermédiaire de ses coordonnateurs et de son secrétariat</w:t>
      </w:r>
      <w:r w:rsidR="007A599E" w:rsidRPr="007A599E">
        <w:rPr>
          <w:lang w:val="fr-FR"/>
        </w:rPr>
        <w:t>.</w:t>
      </w:r>
    </w:p>
    <w:p w14:paraId="331EC408" w14:textId="4E2F84DD" w:rsidR="005E5363" w:rsidRPr="007E0FB5" w:rsidRDefault="005E5363" w:rsidP="005E5363">
      <w:pPr>
        <w:pStyle w:val="SingleTxtG"/>
        <w:rPr>
          <w:rFonts w:asciiTheme="majorBidi" w:hAnsiTheme="majorBidi" w:cstheme="majorBidi"/>
        </w:rPr>
      </w:pPr>
      <w:r>
        <w:rPr>
          <w:lang w:val="fr-FR"/>
        </w:rPr>
        <w:tab/>
        <w:t>Agissant au titre de ses procédures d’alerte rapide et d’intervention d’urgence pour prévenir les violations graves de la Convention et intervenir en cas de violation, le Comité a adopté la décision </w:t>
      </w:r>
      <w:r w:rsidRPr="00117B2A">
        <w:rPr>
          <w:lang w:val="fr-FR"/>
        </w:rPr>
        <w:t>2 (2024)</w:t>
      </w:r>
      <w:r>
        <w:rPr>
          <w:lang w:val="fr-FR"/>
        </w:rPr>
        <w:t xml:space="preserve"> du 12 décembre 2024 concernant Israël et l’État de Palestine</w:t>
      </w:r>
      <w:r w:rsidR="007A599E" w:rsidRPr="007A599E">
        <w:rPr>
          <w:lang w:val="fr-FR"/>
        </w:rPr>
        <w:t>.</w:t>
      </w:r>
      <w:r>
        <w:rPr>
          <w:lang w:val="fr-FR"/>
        </w:rPr>
        <w:t xml:space="preserve"> Il </w:t>
      </w:r>
      <w:r>
        <w:rPr>
          <w:lang w:val="fr-FR"/>
        </w:rPr>
        <w:lastRenderedPageBreak/>
        <w:t>a publié deux déclarations : la déclaration </w:t>
      </w:r>
      <w:r w:rsidRPr="00117B2A">
        <w:rPr>
          <w:lang w:val="fr-FR"/>
        </w:rPr>
        <w:t>1 (2024)</w:t>
      </w:r>
      <w:r>
        <w:rPr>
          <w:lang w:val="fr-FR"/>
        </w:rPr>
        <w:t xml:space="preserve"> du 29 juin 2024 sur la situation des Rohingya ayant fui le Myanmar pour l’Inde et la déclaration </w:t>
      </w:r>
      <w:r w:rsidRPr="00117B2A">
        <w:rPr>
          <w:lang w:val="fr-FR"/>
        </w:rPr>
        <w:t>1 (2025)</w:t>
      </w:r>
      <w:r>
        <w:rPr>
          <w:lang w:val="fr-FR"/>
        </w:rPr>
        <w:t xml:space="preserve"> du 9 mai 2025 sur la crise humanitaire catastrophique dans le Territoire palestinien occupé, celle-ci s’inscrivant également dans le cadre du suivi des travaux de la commission de conciliation ad hoc</w:t>
      </w:r>
      <w:r w:rsidR="007A599E" w:rsidRPr="007A599E">
        <w:rPr>
          <w:lang w:val="fr-FR"/>
        </w:rPr>
        <w:t>.</w:t>
      </w:r>
      <w:r>
        <w:rPr>
          <w:lang w:val="fr-FR"/>
        </w:rPr>
        <w:t xml:space="preserve"> Il a également envoyé 22 lettres publiques</w:t>
      </w:r>
      <w:r w:rsidR="007A599E" w:rsidRPr="007A599E">
        <w:rPr>
          <w:lang w:val="fr-FR"/>
        </w:rPr>
        <w:t>.</w:t>
      </w:r>
    </w:p>
    <w:p w14:paraId="3E533A60" w14:textId="08E2D43B" w:rsidR="005E5363" w:rsidRPr="007E0FB5" w:rsidRDefault="005E5363" w:rsidP="005E5363">
      <w:pPr>
        <w:pStyle w:val="SingleTxtG"/>
        <w:rPr>
          <w:rFonts w:asciiTheme="majorBidi" w:hAnsiTheme="majorBidi" w:cstheme="majorBidi"/>
        </w:rPr>
      </w:pPr>
      <w:r>
        <w:rPr>
          <w:lang w:val="fr-FR"/>
        </w:rPr>
        <w:tab/>
        <w:t>Avec le Comité pour la protection des droits de tous les travailleurs migrants et des membres de leur famille, le Comité a poursuivi l’élaboration du projet de recommandations/observations générales conjointes portant sur l’élimination de la xénophobie à l’égard des migrants et autres personnes perçues comme telles, à propos duquel des consultations mondiales et régionales ont été organisées en 2024</w:t>
      </w:r>
      <w:r w:rsidR="007A599E" w:rsidRPr="007A599E">
        <w:rPr>
          <w:lang w:val="fr-FR"/>
        </w:rPr>
        <w:t>.</w:t>
      </w:r>
      <w:r>
        <w:rPr>
          <w:lang w:val="fr-FR"/>
        </w:rPr>
        <w:t xml:space="preserve"> Le Comité a également entamé l’élaboration d’une recommandation générale sur les réparations des injustices liées à la traite transatlantique des Africains réduits en esclavage et déshumanisés et sur les préjudices et crimes dont continuent d’être victimes les personnes d’ascendance africaine, en lançant un appel à contributions et en consacrant une demi-journée de débat général à la question à sa 115</w:t>
      </w:r>
      <w:r>
        <w:rPr>
          <w:vertAlign w:val="superscript"/>
          <w:lang w:val="fr-FR"/>
        </w:rPr>
        <w:t>e</w:t>
      </w:r>
      <w:r>
        <w:rPr>
          <w:lang w:val="fr-FR"/>
        </w:rPr>
        <w:t> session</w:t>
      </w:r>
      <w:r w:rsidRPr="00803B71">
        <w:rPr>
          <w:rStyle w:val="Appelnotedebasdep"/>
        </w:rPr>
        <w:footnoteReference w:id="6"/>
      </w:r>
      <w:r w:rsidR="007A599E" w:rsidRPr="007A599E">
        <w:rPr>
          <w:lang w:val="fr-FR"/>
        </w:rPr>
        <w:t>.</w:t>
      </w:r>
    </w:p>
    <w:p w14:paraId="19F35C0E" w14:textId="7977FC79" w:rsidR="005E5363" w:rsidRPr="007E0FB5" w:rsidRDefault="005E5363" w:rsidP="005E5363">
      <w:pPr>
        <w:pStyle w:val="SingleTxtG"/>
        <w:rPr>
          <w:rFonts w:asciiTheme="majorBidi" w:hAnsiTheme="majorBidi" w:cstheme="majorBidi"/>
        </w:rPr>
      </w:pPr>
      <w:r>
        <w:rPr>
          <w:lang w:val="fr-FR"/>
        </w:rPr>
        <w:tab/>
        <w:t>Le Comité regrette profondément que la crise de liquidités que traverse l’Organisation des Nations Unies, qui a conduit à l’annulation de sa session prévue en août 2025, affaiblisse considérablement sa capacité de s’acquitter de son mandat</w:t>
      </w:r>
      <w:r w:rsidR="007A599E" w:rsidRPr="007A599E">
        <w:rPr>
          <w:lang w:val="fr-FR"/>
        </w:rPr>
        <w:t>.</w:t>
      </w:r>
      <w:r>
        <w:rPr>
          <w:lang w:val="fr-FR"/>
        </w:rPr>
        <w:t xml:space="preserve"> Si elle n’est pas enrayée, cette crise sapera encore davantage le fonctionnement de l’ensemble des organes conventionnels et compromettra sérieusement la capacité du Comité de surveiller l’application de la Convention et d’assurer le suivi des engagements pris lors de la Conférence mondiale contre le racisme, la discrimination raciale, la xénophobie et l’intolérance qui y est associée</w:t>
      </w:r>
      <w:r w:rsidR="007A599E" w:rsidRPr="007A599E">
        <w:rPr>
          <w:lang w:val="fr-FR"/>
        </w:rPr>
        <w:t>.</w:t>
      </w:r>
      <w:r>
        <w:rPr>
          <w:lang w:val="fr-FR"/>
        </w:rPr>
        <w:t xml:space="preserve"> Dans un monde de plus en plus polarisé, où, une fois de plus, des voix incitent ouvertement à la discrimination raciale, alors que l’on connaît parfaitement les conséquences désastreuses que cela peut avoir, nous vous demandons de veiller à préserver, autant que faire se peut, la capacité du Comité de mener à bien sa mission essentielle</w:t>
      </w:r>
      <w:r w:rsidR="007A599E" w:rsidRPr="007A599E">
        <w:rPr>
          <w:lang w:val="fr-FR"/>
        </w:rPr>
        <w:t>.</w:t>
      </w:r>
    </w:p>
    <w:p w14:paraId="281F3D22" w14:textId="0E52D9C3" w:rsidR="005E5363" w:rsidRPr="007E0FB5" w:rsidRDefault="005E5363" w:rsidP="005E5363">
      <w:pPr>
        <w:pStyle w:val="SingleTxtG"/>
        <w:rPr>
          <w:rFonts w:asciiTheme="majorBidi" w:hAnsiTheme="majorBidi" w:cstheme="majorBidi"/>
        </w:rPr>
      </w:pPr>
      <w:r>
        <w:rPr>
          <w:lang w:val="fr-FR"/>
        </w:rPr>
        <w:tab/>
        <w:t>Veuillez agréer, Monsieur le Secrétaire général, les assurances de ma très haute considération</w:t>
      </w:r>
      <w:r w:rsidR="007A599E" w:rsidRPr="007A599E">
        <w:rPr>
          <w:lang w:val="fr-FR"/>
        </w:rPr>
        <w:t>.</w:t>
      </w:r>
    </w:p>
    <w:p w14:paraId="2D518145" w14:textId="19C171DF" w:rsidR="005E5363" w:rsidRPr="007E0FB5" w:rsidRDefault="005E5363" w:rsidP="005E5363">
      <w:pPr>
        <w:pStyle w:val="SingleTxtG"/>
        <w:spacing w:before="480"/>
        <w:contextualSpacing/>
        <w:jc w:val="right"/>
      </w:pPr>
      <w:r>
        <w:rPr>
          <w:lang w:val="fr-FR"/>
        </w:rPr>
        <w:t xml:space="preserve">Le Président du Comité pour l’élimination </w:t>
      </w:r>
      <w:r w:rsidR="00387D3E">
        <w:rPr>
          <w:lang w:val="fr-FR"/>
        </w:rPr>
        <w:br/>
      </w:r>
      <w:r>
        <w:rPr>
          <w:lang w:val="fr-FR"/>
        </w:rPr>
        <w:t xml:space="preserve">de la discrimination raciale </w:t>
      </w:r>
      <w:r w:rsidR="00117B2A">
        <w:rPr>
          <w:lang w:val="fr-FR"/>
        </w:rPr>
        <w:br/>
      </w:r>
      <w:r>
        <w:rPr>
          <w:lang w:val="fr-FR"/>
        </w:rPr>
        <w:t xml:space="preserve">(Signé) </w:t>
      </w:r>
      <w:proofErr w:type="spellStart"/>
      <w:r>
        <w:rPr>
          <w:lang w:val="fr-FR"/>
        </w:rPr>
        <w:t>Michał</w:t>
      </w:r>
      <w:proofErr w:type="spellEnd"/>
      <w:r>
        <w:rPr>
          <w:lang w:val="fr-FR"/>
        </w:rPr>
        <w:t xml:space="preserve"> </w:t>
      </w:r>
      <w:proofErr w:type="spellStart"/>
      <w:r>
        <w:rPr>
          <w:b/>
          <w:bCs/>
          <w:lang w:val="fr-FR"/>
        </w:rPr>
        <w:t>Balcerzak</w:t>
      </w:r>
      <w:proofErr w:type="spellEnd"/>
    </w:p>
    <w:p w14:paraId="6B9657BA" w14:textId="5BA37CB2" w:rsidR="005E5363" w:rsidRPr="007E0FB5" w:rsidRDefault="005E5363" w:rsidP="005E5363">
      <w:pPr>
        <w:pStyle w:val="SingleTxtG"/>
        <w:jc w:val="left"/>
      </w:pPr>
      <w:r>
        <w:rPr>
          <w:lang w:val="fr-FR"/>
        </w:rPr>
        <w:t>S</w:t>
      </w:r>
      <w:r w:rsidR="007A599E" w:rsidRPr="007A599E">
        <w:rPr>
          <w:lang w:val="fr-FR"/>
        </w:rPr>
        <w:t>.</w:t>
      </w:r>
      <w:r>
        <w:rPr>
          <w:lang w:val="fr-FR"/>
        </w:rPr>
        <w:t xml:space="preserve"> E</w:t>
      </w:r>
      <w:r w:rsidR="007A599E" w:rsidRPr="007A599E">
        <w:rPr>
          <w:lang w:val="fr-FR"/>
        </w:rPr>
        <w:t>.</w:t>
      </w:r>
      <w:r>
        <w:rPr>
          <w:lang w:val="fr-FR"/>
        </w:rPr>
        <w:t xml:space="preserve"> M</w:t>
      </w:r>
      <w:r w:rsidR="007A599E" w:rsidRPr="007A599E">
        <w:rPr>
          <w:lang w:val="fr-FR"/>
        </w:rPr>
        <w:t>.</w:t>
      </w:r>
      <w:r>
        <w:rPr>
          <w:lang w:val="fr-FR"/>
        </w:rPr>
        <w:t xml:space="preserve"> António Guterres </w:t>
      </w:r>
      <w:r w:rsidR="00117B2A">
        <w:rPr>
          <w:lang w:val="fr-FR"/>
        </w:rPr>
        <w:br/>
      </w:r>
      <w:r>
        <w:rPr>
          <w:lang w:val="fr-FR"/>
        </w:rPr>
        <w:t xml:space="preserve">Secrétaire général de l’Organisation des Nations Unies </w:t>
      </w:r>
      <w:r w:rsidR="00117B2A">
        <w:rPr>
          <w:lang w:val="fr-FR"/>
        </w:rPr>
        <w:br/>
      </w:r>
      <w:r>
        <w:rPr>
          <w:lang w:val="fr-FR"/>
        </w:rPr>
        <w:t>New York</w:t>
      </w:r>
    </w:p>
    <w:p w14:paraId="01B07588" w14:textId="77777777" w:rsidR="005E5363" w:rsidRPr="007E0FB5" w:rsidRDefault="005E5363" w:rsidP="005E5363">
      <w:r w:rsidRPr="007E0FB5">
        <w:br w:type="page"/>
      </w:r>
    </w:p>
    <w:p w14:paraId="699998BA" w14:textId="023F455F" w:rsidR="005E5363" w:rsidRPr="007E0FB5" w:rsidRDefault="005E5363" w:rsidP="005E5363">
      <w:pPr>
        <w:pStyle w:val="HChG"/>
      </w:pPr>
      <w:bookmarkStart w:id="8" w:name="_Toc428794276"/>
      <w:bookmarkStart w:id="9" w:name="_Toc17361289"/>
      <w:bookmarkStart w:id="10" w:name="_Toc48752312"/>
      <w:bookmarkStart w:id="11" w:name="_Toc48816865"/>
      <w:bookmarkStart w:id="12" w:name="_Toc81563218"/>
      <w:bookmarkStart w:id="13" w:name="_Toc113263027"/>
      <w:bookmarkStart w:id="14" w:name="_Toc176248174"/>
      <w:bookmarkStart w:id="15" w:name="_Toc176248839"/>
      <w:r>
        <w:rPr>
          <w:lang w:val="fr-FR"/>
        </w:rPr>
        <w:lastRenderedPageBreak/>
        <w:tab/>
        <w:t>I</w:t>
      </w:r>
      <w:r w:rsidR="007A599E" w:rsidRPr="007A599E">
        <w:rPr>
          <w:lang w:val="fr-FR"/>
        </w:rPr>
        <w:t>.</w:t>
      </w:r>
      <w:r>
        <w:rPr>
          <w:lang w:val="fr-FR"/>
        </w:rPr>
        <w:tab/>
        <w:t>Questions d’organisation et questions connexes</w:t>
      </w:r>
      <w:bookmarkEnd w:id="8"/>
      <w:bookmarkEnd w:id="9"/>
      <w:bookmarkEnd w:id="10"/>
      <w:bookmarkEnd w:id="11"/>
      <w:bookmarkEnd w:id="12"/>
      <w:bookmarkEnd w:id="13"/>
      <w:bookmarkEnd w:id="14"/>
      <w:bookmarkEnd w:id="15"/>
    </w:p>
    <w:p w14:paraId="44850BDD" w14:textId="67F6FCE0" w:rsidR="005E5363" w:rsidRPr="007E0FB5" w:rsidRDefault="005E5363" w:rsidP="005E5363">
      <w:pPr>
        <w:pStyle w:val="H1G"/>
      </w:pPr>
      <w:r>
        <w:rPr>
          <w:bCs/>
          <w:lang w:val="fr-FR"/>
        </w:rPr>
        <w:tab/>
        <w:t>A</w:t>
      </w:r>
      <w:r w:rsidR="007A599E" w:rsidRPr="007A599E">
        <w:rPr>
          <w:bCs/>
          <w:lang w:val="fr-FR"/>
        </w:rPr>
        <w:t>.</w:t>
      </w:r>
      <w:r>
        <w:rPr>
          <w:lang w:val="fr-FR"/>
        </w:rPr>
        <w:tab/>
      </w:r>
      <w:r>
        <w:rPr>
          <w:bCs/>
          <w:lang w:val="fr-FR"/>
        </w:rPr>
        <w:t xml:space="preserve">États Parties à la Convention internationale sur l’élimination </w:t>
      </w:r>
      <w:r w:rsidR="00117B2A">
        <w:rPr>
          <w:bCs/>
          <w:lang w:val="fr-FR"/>
        </w:rPr>
        <w:br/>
      </w:r>
      <w:r>
        <w:rPr>
          <w:bCs/>
          <w:lang w:val="fr-FR"/>
        </w:rPr>
        <w:t>de toutes les formes de discrimination raciale</w:t>
      </w:r>
      <w:bookmarkStart w:id="16" w:name="_Toc428794277"/>
      <w:bookmarkStart w:id="17" w:name="_Toc17361290"/>
      <w:bookmarkStart w:id="18" w:name="_Toc48752313"/>
      <w:bookmarkStart w:id="19" w:name="_Toc48816866"/>
      <w:bookmarkStart w:id="20" w:name="_Toc81563219"/>
      <w:bookmarkStart w:id="21" w:name="_Toc113263028"/>
      <w:bookmarkStart w:id="22" w:name="_Toc176248175"/>
      <w:bookmarkStart w:id="23" w:name="_Toc176248840"/>
      <w:bookmarkEnd w:id="16"/>
      <w:bookmarkEnd w:id="17"/>
      <w:bookmarkEnd w:id="18"/>
      <w:bookmarkEnd w:id="19"/>
      <w:bookmarkEnd w:id="20"/>
      <w:bookmarkEnd w:id="21"/>
      <w:bookmarkEnd w:id="22"/>
      <w:bookmarkEnd w:id="23"/>
    </w:p>
    <w:p w14:paraId="3F24E42B" w14:textId="13BCD036" w:rsidR="005E5363" w:rsidRPr="007E0FB5" w:rsidRDefault="005E5363" w:rsidP="005E5363">
      <w:pPr>
        <w:pStyle w:val="SingleTxtG"/>
      </w:pPr>
      <w:r>
        <w:rPr>
          <w:lang w:val="fr-FR"/>
        </w:rPr>
        <w:t>1</w:t>
      </w:r>
      <w:r w:rsidR="007A599E" w:rsidRPr="007A599E">
        <w:rPr>
          <w:lang w:val="fr-FR"/>
        </w:rPr>
        <w:t>.</w:t>
      </w:r>
      <w:r>
        <w:rPr>
          <w:lang w:val="fr-FR"/>
        </w:rPr>
        <w:tab/>
        <w:t>Au 9 mai 2025, date de clôture de la 115</w:t>
      </w:r>
      <w:r>
        <w:rPr>
          <w:vertAlign w:val="superscript"/>
          <w:lang w:val="fr-FR"/>
        </w:rPr>
        <w:t>e</w:t>
      </w:r>
      <w:r>
        <w:rPr>
          <w:lang w:val="fr-FR"/>
        </w:rPr>
        <w:t> session du Comité pour l’élimination de la discrimination raciale, 182 États étaient parties à la Convention internationale sur l’élimination de toutes les formes de discrimination raciale, adoptée par l’Assemblée générale des Nations Unies dans sa résolution 2106 A (XX) du 21 décembre 1965 et ouverte à la signature et à la ratification à New York le 7 mars 1966</w:t>
      </w:r>
      <w:r w:rsidR="007A599E" w:rsidRPr="007A599E">
        <w:rPr>
          <w:lang w:val="fr-FR"/>
        </w:rPr>
        <w:t>.</w:t>
      </w:r>
      <w:r>
        <w:rPr>
          <w:lang w:val="fr-FR"/>
        </w:rPr>
        <w:t xml:space="preserve"> La Convention est entrée en vigueur le 4 janvier 1969, conformément aux dispositions de son article 19</w:t>
      </w:r>
      <w:r w:rsidR="007A599E" w:rsidRPr="007A599E">
        <w:rPr>
          <w:lang w:val="fr-FR"/>
        </w:rPr>
        <w:t>.</w:t>
      </w:r>
    </w:p>
    <w:p w14:paraId="05521905" w14:textId="0F94A1DB" w:rsidR="005E5363" w:rsidRPr="007E0FB5" w:rsidRDefault="005E5363" w:rsidP="005E5363">
      <w:pPr>
        <w:pStyle w:val="SingleTxtG"/>
      </w:pPr>
      <w:r>
        <w:rPr>
          <w:lang w:val="fr-FR"/>
        </w:rPr>
        <w:t>2</w:t>
      </w:r>
      <w:r w:rsidR="007A599E" w:rsidRPr="007A599E">
        <w:rPr>
          <w:lang w:val="fr-FR"/>
        </w:rPr>
        <w:t>.</w:t>
      </w:r>
      <w:r>
        <w:rPr>
          <w:lang w:val="fr-FR"/>
        </w:rPr>
        <w:tab/>
        <w:t>À la même date, 59 des États Parties à la Convention avaient fait la déclaration prévue à l’article 14 (par</w:t>
      </w:r>
      <w:r w:rsidR="007A599E" w:rsidRPr="007A599E">
        <w:rPr>
          <w:lang w:val="fr-FR"/>
        </w:rPr>
        <w:t>.</w:t>
      </w:r>
      <w:r>
        <w:rPr>
          <w:lang w:val="fr-FR"/>
        </w:rPr>
        <w:t> 1) de cet instrument, reconnaissant ainsi la compétence du Comité pour recevoir et examiner les communications émanant de particuliers ou de groupes de particuliers affirmant être victimes d’une violation, par l’un des États Parties concernés, de l’un quelconque des droits énoncés dans la Convention</w:t>
      </w:r>
      <w:r w:rsidR="007A599E" w:rsidRPr="007A599E">
        <w:rPr>
          <w:lang w:val="fr-FR"/>
        </w:rPr>
        <w:t>.</w:t>
      </w:r>
    </w:p>
    <w:p w14:paraId="39968EA9" w14:textId="47ADA3FD" w:rsidR="005E5363" w:rsidRPr="007E0FB5" w:rsidRDefault="005E5363" w:rsidP="005E5363">
      <w:pPr>
        <w:pStyle w:val="SingleTxtG"/>
      </w:pPr>
      <w:r>
        <w:rPr>
          <w:lang w:val="fr-FR"/>
        </w:rPr>
        <w:t>3</w:t>
      </w:r>
      <w:r w:rsidR="007A599E" w:rsidRPr="007A599E">
        <w:rPr>
          <w:lang w:val="fr-FR"/>
        </w:rPr>
        <w:t>.</w:t>
      </w:r>
      <w:r>
        <w:rPr>
          <w:lang w:val="fr-FR"/>
        </w:rPr>
        <w:tab/>
        <w:t>Cinquante-quatre États Parties ont accepté l’amendement à l’article 8 (par</w:t>
      </w:r>
      <w:r w:rsidR="007A599E" w:rsidRPr="007A599E">
        <w:rPr>
          <w:lang w:val="fr-FR"/>
        </w:rPr>
        <w:t>.</w:t>
      </w:r>
      <w:r>
        <w:rPr>
          <w:lang w:val="fr-FR"/>
        </w:rPr>
        <w:t xml:space="preserve"> 6) de la Convention, concernant le financement des activités du Comité, adopté le 15 janvier 1992 à la quatorzième réunion des États Parties et approuvé par l’Assemblée générale dans sa résolution </w:t>
      </w:r>
      <w:hyperlink r:id="rId24" w:history="1">
        <w:r w:rsidRPr="00803B71">
          <w:rPr>
            <w:rStyle w:val="Lienhypertexte"/>
            <w:lang w:val="fr-FR"/>
          </w:rPr>
          <w:t>47/111</w:t>
        </w:r>
      </w:hyperlink>
      <w:r>
        <w:rPr>
          <w:lang w:val="fr-FR"/>
        </w:rPr>
        <w:t xml:space="preserve"> du 16 décembre 1992</w:t>
      </w:r>
      <w:r w:rsidR="007A599E" w:rsidRPr="007A599E">
        <w:rPr>
          <w:lang w:val="fr-FR"/>
        </w:rPr>
        <w:t>.</w:t>
      </w:r>
    </w:p>
    <w:p w14:paraId="5FEBCBEC" w14:textId="0F027BC5" w:rsidR="005E5363" w:rsidRPr="007E0FB5" w:rsidRDefault="005E5363" w:rsidP="005E5363">
      <w:pPr>
        <w:pStyle w:val="SingleTxtG"/>
        <w:rPr>
          <w:b/>
        </w:rPr>
      </w:pPr>
      <w:r>
        <w:rPr>
          <w:lang w:val="fr-FR"/>
        </w:rPr>
        <w:t>4</w:t>
      </w:r>
      <w:r w:rsidR="007A599E" w:rsidRPr="007A599E">
        <w:rPr>
          <w:lang w:val="fr-FR"/>
        </w:rPr>
        <w:t>.</w:t>
      </w:r>
      <w:r>
        <w:rPr>
          <w:lang w:val="fr-FR"/>
        </w:rPr>
        <w:tab/>
        <w:t>La liste des États Parties qui ont fait la déclaration prévue à l’article 14 et de ceux qui ont accepté l’amendement à l’article 8 (par</w:t>
      </w:r>
      <w:r w:rsidR="007A599E" w:rsidRPr="007A599E">
        <w:rPr>
          <w:lang w:val="fr-FR"/>
        </w:rPr>
        <w:t>.</w:t>
      </w:r>
      <w:r>
        <w:rPr>
          <w:lang w:val="fr-FR"/>
        </w:rPr>
        <w:t> 6) de la Convention peut être consultée sur le site Web de la Collection des Traités des Nations Unies</w:t>
      </w:r>
      <w:r w:rsidRPr="00803B71">
        <w:rPr>
          <w:rStyle w:val="Appelnotedebasdep"/>
        </w:rPr>
        <w:footnoteReference w:id="7"/>
      </w:r>
      <w:r w:rsidR="007A599E" w:rsidRPr="007A599E">
        <w:rPr>
          <w:lang w:val="fr-FR"/>
        </w:rPr>
        <w:t>.</w:t>
      </w:r>
    </w:p>
    <w:p w14:paraId="73FB1777" w14:textId="1FE7B352" w:rsidR="005E5363" w:rsidRPr="007E0FB5" w:rsidRDefault="005E5363" w:rsidP="005E5363">
      <w:pPr>
        <w:pStyle w:val="H1G"/>
      </w:pPr>
      <w:bookmarkStart w:id="24" w:name="_Toc428794278"/>
      <w:r>
        <w:rPr>
          <w:bCs/>
          <w:lang w:val="fr-FR"/>
        </w:rPr>
        <w:tab/>
        <w:t>B</w:t>
      </w:r>
      <w:r w:rsidR="007A599E" w:rsidRPr="007A599E">
        <w:rPr>
          <w:bCs/>
          <w:lang w:val="fr-FR"/>
        </w:rPr>
        <w:t>.</w:t>
      </w:r>
      <w:r>
        <w:rPr>
          <w:lang w:val="fr-FR"/>
        </w:rPr>
        <w:tab/>
      </w:r>
      <w:r>
        <w:rPr>
          <w:bCs/>
          <w:lang w:val="fr-FR"/>
        </w:rPr>
        <w:t>Sessions et ordres du jour</w:t>
      </w:r>
      <w:bookmarkStart w:id="25" w:name="_Toc17361291"/>
      <w:bookmarkStart w:id="26" w:name="_Toc48752314"/>
      <w:bookmarkStart w:id="27" w:name="_Toc48816867"/>
      <w:bookmarkStart w:id="28" w:name="_Toc81563220"/>
      <w:bookmarkStart w:id="29" w:name="_Toc113263029"/>
      <w:bookmarkStart w:id="30" w:name="_Toc176248176"/>
      <w:bookmarkStart w:id="31" w:name="_Toc176248841"/>
      <w:bookmarkEnd w:id="24"/>
      <w:bookmarkEnd w:id="25"/>
      <w:bookmarkEnd w:id="26"/>
      <w:bookmarkEnd w:id="27"/>
      <w:bookmarkEnd w:id="28"/>
      <w:bookmarkEnd w:id="29"/>
      <w:bookmarkEnd w:id="30"/>
      <w:bookmarkEnd w:id="31"/>
    </w:p>
    <w:p w14:paraId="02C01E4E" w14:textId="7087A938" w:rsidR="005E5363" w:rsidRPr="007E0FB5" w:rsidRDefault="005E5363" w:rsidP="005E5363">
      <w:pPr>
        <w:pStyle w:val="SingleTxtG"/>
      </w:pPr>
      <w:r>
        <w:rPr>
          <w:lang w:val="fr-FR"/>
        </w:rPr>
        <w:t>5</w:t>
      </w:r>
      <w:r w:rsidR="007A599E" w:rsidRPr="007A599E">
        <w:rPr>
          <w:lang w:val="fr-FR"/>
        </w:rPr>
        <w:t>.</w:t>
      </w:r>
      <w:r>
        <w:rPr>
          <w:lang w:val="fr-FR"/>
        </w:rPr>
        <w:tab/>
        <w:t>Le Comité a tenu trois sessions au cours de la période considérée</w:t>
      </w:r>
      <w:r w:rsidR="007A599E" w:rsidRPr="007A599E">
        <w:rPr>
          <w:lang w:val="fr-FR"/>
        </w:rPr>
        <w:t>.</w:t>
      </w:r>
      <w:r>
        <w:rPr>
          <w:lang w:val="fr-FR"/>
        </w:rPr>
        <w:t xml:space="preserve"> La 113</w:t>
      </w:r>
      <w:r>
        <w:rPr>
          <w:vertAlign w:val="superscript"/>
          <w:lang w:val="fr-FR"/>
        </w:rPr>
        <w:t>e</w:t>
      </w:r>
      <w:r>
        <w:rPr>
          <w:lang w:val="fr-FR"/>
        </w:rPr>
        <w:t> session (3078</w:t>
      </w:r>
      <w:r>
        <w:rPr>
          <w:vertAlign w:val="superscript"/>
          <w:lang w:val="fr-FR"/>
        </w:rPr>
        <w:t>e</w:t>
      </w:r>
      <w:r>
        <w:rPr>
          <w:lang w:val="fr-FR"/>
        </w:rPr>
        <w:t xml:space="preserve"> à 3107</w:t>
      </w:r>
      <w:r>
        <w:rPr>
          <w:vertAlign w:val="superscript"/>
          <w:lang w:val="fr-FR"/>
        </w:rPr>
        <w:t>e</w:t>
      </w:r>
      <w:r>
        <w:rPr>
          <w:lang w:val="fr-FR"/>
        </w:rPr>
        <w:t> séances), la 114</w:t>
      </w:r>
      <w:r>
        <w:rPr>
          <w:vertAlign w:val="superscript"/>
          <w:lang w:val="fr-FR"/>
        </w:rPr>
        <w:t>e</w:t>
      </w:r>
      <w:r>
        <w:rPr>
          <w:lang w:val="fr-FR"/>
        </w:rPr>
        <w:t> session (3108</w:t>
      </w:r>
      <w:r>
        <w:rPr>
          <w:vertAlign w:val="superscript"/>
          <w:lang w:val="fr-FR"/>
        </w:rPr>
        <w:t>e</w:t>
      </w:r>
      <w:r>
        <w:rPr>
          <w:lang w:val="fr-FR"/>
        </w:rPr>
        <w:t xml:space="preserve"> à 3137</w:t>
      </w:r>
      <w:r>
        <w:rPr>
          <w:vertAlign w:val="superscript"/>
          <w:lang w:val="fr-FR"/>
        </w:rPr>
        <w:t>e</w:t>
      </w:r>
      <w:r>
        <w:rPr>
          <w:lang w:val="fr-FR"/>
        </w:rPr>
        <w:t> séances) et la 115</w:t>
      </w:r>
      <w:r>
        <w:rPr>
          <w:vertAlign w:val="superscript"/>
          <w:lang w:val="fr-FR"/>
        </w:rPr>
        <w:t>e</w:t>
      </w:r>
      <w:r>
        <w:rPr>
          <w:lang w:val="fr-FR"/>
        </w:rPr>
        <w:t> session (3138</w:t>
      </w:r>
      <w:r>
        <w:rPr>
          <w:vertAlign w:val="superscript"/>
          <w:lang w:val="fr-FR"/>
        </w:rPr>
        <w:t>e</w:t>
      </w:r>
      <w:r>
        <w:rPr>
          <w:lang w:val="fr-FR"/>
        </w:rPr>
        <w:t xml:space="preserve"> à 3165</w:t>
      </w:r>
      <w:r>
        <w:rPr>
          <w:vertAlign w:val="superscript"/>
          <w:lang w:val="fr-FR"/>
        </w:rPr>
        <w:t>e</w:t>
      </w:r>
      <w:r>
        <w:rPr>
          <w:lang w:val="fr-FR"/>
        </w:rPr>
        <w:t> séances) se sont tenues respectivement du 5 au 23 août 2024, du 25 novembre au 13 décembre 2024 et du 22 avril au 9 mai 2025</w:t>
      </w:r>
      <w:r w:rsidR="007A599E" w:rsidRPr="007A599E">
        <w:rPr>
          <w:lang w:val="fr-FR"/>
        </w:rPr>
        <w:t>.</w:t>
      </w:r>
    </w:p>
    <w:p w14:paraId="1F57435F" w14:textId="09A7B601" w:rsidR="005E5363" w:rsidRPr="007E0FB5" w:rsidRDefault="005E5363" w:rsidP="005E5363">
      <w:pPr>
        <w:pStyle w:val="SingleTxtG"/>
      </w:pPr>
      <w:r>
        <w:rPr>
          <w:lang w:val="fr-FR"/>
        </w:rPr>
        <w:t>6</w:t>
      </w:r>
      <w:r w:rsidR="007A599E" w:rsidRPr="007A599E">
        <w:rPr>
          <w:lang w:val="fr-FR"/>
        </w:rPr>
        <w:t>.</w:t>
      </w:r>
      <w:r>
        <w:rPr>
          <w:lang w:val="fr-FR"/>
        </w:rPr>
        <w:tab/>
        <w:t>Les ordres du jour provisoires des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w:t>
      </w:r>
      <w:hyperlink r:id="rId25" w:history="1">
        <w:r w:rsidRPr="00803B71">
          <w:rPr>
            <w:rStyle w:val="Lienhypertexte"/>
            <w:lang w:val="fr-FR"/>
          </w:rPr>
          <w:t>CERD/C/113/1</w:t>
        </w:r>
      </w:hyperlink>
      <w:r>
        <w:rPr>
          <w:lang w:val="fr-FR"/>
        </w:rPr>
        <w:t xml:space="preserve">, </w:t>
      </w:r>
      <w:hyperlink r:id="rId26" w:history="1">
        <w:r w:rsidRPr="00803B71">
          <w:rPr>
            <w:rStyle w:val="Lienhypertexte"/>
            <w:lang w:val="fr-FR"/>
          </w:rPr>
          <w:t>CERD/C/114/1</w:t>
        </w:r>
      </w:hyperlink>
      <w:r>
        <w:rPr>
          <w:lang w:val="fr-FR"/>
        </w:rPr>
        <w:t xml:space="preserve"> et </w:t>
      </w:r>
      <w:hyperlink r:id="rId27" w:history="1">
        <w:r w:rsidRPr="00803B71">
          <w:rPr>
            <w:rStyle w:val="Lienhypertexte"/>
            <w:lang w:val="fr-FR"/>
          </w:rPr>
          <w:t>CERD/C/115/1</w:t>
        </w:r>
      </w:hyperlink>
      <w:r>
        <w:rPr>
          <w:lang w:val="fr-FR"/>
        </w:rPr>
        <w:t>) ont été adoptés par le Comité</w:t>
      </w:r>
      <w:r w:rsidR="007A599E" w:rsidRPr="007A599E">
        <w:rPr>
          <w:lang w:val="fr-FR"/>
        </w:rPr>
        <w:t>.</w:t>
      </w:r>
      <w:hyperlink r:id="rId28" w:history="1"/>
      <w:hyperlink r:id="rId29" w:history="1"/>
      <w:hyperlink r:id="rId30" w:history="1"/>
    </w:p>
    <w:p w14:paraId="71C04D5B" w14:textId="05D4F365" w:rsidR="005E5363" w:rsidRPr="007E0FB5" w:rsidRDefault="005E5363" w:rsidP="005E5363">
      <w:pPr>
        <w:pStyle w:val="H1G"/>
      </w:pPr>
      <w:r>
        <w:rPr>
          <w:bCs/>
          <w:lang w:val="fr-FR"/>
        </w:rPr>
        <w:tab/>
        <w:t>C</w:t>
      </w:r>
      <w:r w:rsidR="007A599E" w:rsidRPr="007A599E">
        <w:rPr>
          <w:bCs/>
          <w:lang w:val="fr-FR"/>
        </w:rPr>
        <w:t>.</w:t>
      </w:r>
      <w:r>
        <w:rPr>
          <w:lang w:val="fr-FR"/>
        </w:rPr>
        <w:tab/>
      </w:r>
      <w:r>
        <w:rPr>
          <w:bCs/>
          <w:lang w:val="fr-FR"/>
        </w:rPr>
        <w:t>Composition</w:t>
      </w:r>
      <w:bookmarkStart w:id="32" w:name="_Toc428794279"/>
      <w:bookmarkStart w:id="33" w:name="_Toc17361292"/>
      <w:bookmarkStart w:id="34" w:name="_Toc48752315"/>
      <w:bookmarkStart w:id="35" w:name="_Toc48816868"/>
      <w:bookmarkStart w:id="36" w:name="_Toc81563221"/>
      <w:bookmarkStart w:id="37" w:name="_Toc113263030"/>
      <w:bookmarkStart w:id="38" w:name="_Toc176248177"/>
      <w:bookmarkStart w:id="39" w:name="_Toc176248842"/>
      <w:bookmarkEnd w:id="32"/>
      <w:bookmarkEnd w:id="33"/>
      <w:bookmarkEnd w:id="34"/>
      <w:bookmarkEnd w:id="35"/>
      <w:bookmarkEnd w:id="36"/>
      <w:bookmarkEnd w:id="37"/>
      <w:bookmarkEnd w:id="38"/>
      <w:bookmarkEnd w:id="39"/>
    </w:p>
    <w:p w14:paraId="79649597" w14:textId="2F48BAE2" w:rsidR="005E5363" w:rsidRPr="007E0FB5" w:rsidRDefault="005E5363" w:rsidP="005E5363">
      <w:pPr>
        <w:pStyle w:val="SingleTxtG"/>
        <w:spacing w:after="240"/>
      </w:pPr>
      <w:r>
        <w:rPr>
          <w:lang w:val="fr-FR"/>
        </w:rPr>
        <w:t>7</w:t>
      </w:r>
      <w:r w:rsidR="007A599E" w:rsidRPr="007A599E">
        <w:rPr>
          <w:lang w:val="fr-FR"/>
        </w:rPr>
        <w:t>.</w:t>
      </w:r>
      <w:r>
        <w:rPr>
          <w:lang w:val="fr-FR"/>
        </w:rPr>
        <w:tab/>
        <w:t>À ses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le Comité était composé des membres ci-après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19"/>
        <w:gridCol w:w="2268"/>
        <w:gridCol w:w="1983"/>
      </w:tblGrid>
      <w:tr w:rsidR="005E5363" w:rsidRPr="00803B71" w14:paraId="4F2B0100" w14:textId="77777777" w:rsidTr="00ED62F5">
        <w:trPr>
          <w:cantSplit/>
          <w:trHeight w:val="240"/>
          <w:tblHeader/>
        </w:trPr>
        <w:tc>
          <w:tcPr>
            <w:tcW w:w="3119" w:type="dxa"/>
            <w:tcBorders>
              <w:top w:val="single" w:sz="4" w:space="0" w:color="auto"/>
              <w:bottom w:val="single" w:sz="12" w:space="0" w:color="auto"/>
            </w:tcBorders>
            <w:vAlign w:val="bottom"/>
          </w:tcPr>
          <w:p w14:paraId="22CBB3AC" w14:textId="77777777" w:rsidR="005E5363" w:rsidRPr="0016775B" w:rsidRDefault="005E5363" w:rsidP="00ED62F5">
            <w:pPr>
              <w:suppressAutoHyphens w:val="0"/>
              <w:spacing w:before="80" w:after="80" w:line="200" w:lineRule="exact"/>
              <w:ind w:right="113"/>
              <w:rPr>
                <w:i/>
                <w:sz w:val="16"/>
                <w:szCs w:val="16"/>
              </w:rPr>
            </w:pPr>
            <w:bookmarkStart w:id="40" w:name="_Toc428794280"/>
            <w:bookmarkStart w:id="41" w:name="_Toc17361293"/>
            <w:bookmarkStart w:id="42" w:name="_Toc48752316"/>
            <w:bookmarkStart w:id="43" w:name="_Toc48816869"/>
            <w:bookmarkStart w:id="44" w:name="_Toc81563222"/>
            <w:bookmarkStart w:id="45" w:name="_Toc113263031"/>
            <w:r w:rsidRPr="0016775B">
              <w:rPr>
                <w:i/>
                <w:iCs/>
                <w:color w:val="000000"/>
                <w:sz w:val="16"/>
                <w:szCs w:val="16"/>
                <w:lang w:val="fr-FR"/>
              </w:rPr>
              <w:t>Nom</w:t>
            </w:r>
          </w:p>
        </w:tc>
        <w:tc>
          <w:tcPr>
            <w:tcW w:w="2268" w:type="dxa"/>
            <w:tcBorders>
              <w:top w:val="single" w:sz="4" w:space="0" w:color="auto"/>
              <w:bottom w:val="single" w:sz="12" w:space="0" w:color="auto"/>
            </w:tcBorders>
            <w:vAlign w:val="bottom"/>
          </w:tcPr>
          <w:p w14:paraId="7BB8A406" w14:textId="77777777" w:rsidR="005E5363" w:rsidRPr="0016775B" w:rsidRDefault="005E5363" w:rsidP="00ED62F5">
            <w:pPr>
              <w:suppressAutoHyphens w:val="0"/>
              <w:spacing w:before="80" w:after="80" w:line="200" w:lineRule="exact"/>
              <w:ind w:right="113"/>
              <w:rPr>
                <w:i/>
                <w:sz w:val="16"/>
                <w:szCs w:val="16"/>
              </w:rPr>
            </w:pPr>
            <w:r w:rsidRPr="0016775B">
              <w:rPr>
                <w:i/>
                <w:iCs/>
                <w:color w:val="000000"/>
                <w:sz w:val="16"/>
                <w:szCs w:val="16"/>
                <w:lang w:val="fr-FR"/>
              </w:rPr>
              <w:t>Nationalité</w:t>
            </w:r>
          </w:p>
        </w:tc>
        <w:tc>
          <w:tcPr>
            <w:tcW w:w="1983" w:type="dxa"/>
            <w:tcBorders>
              <w:top w:val="single" w:sz="4" w:space="0" w:color="auto"/>
              <w:bottom w:val="single" w:sz="12" w:space="0" w:color="auto"/>
            </w:tcBorders>
            <w:vAlign w:val="bottom"/>
          </w:tcPr>
          <w:p w14:paraId="75797283" w14:textId="77777777" w:rsidR="005E5363" w:rsidRPr="0016775B" w:rsidRDefault="005E5363" w:rsidP="00ED62F5">
            <w:pPr>
              <w:suppressAutoHyphens w:val="0"/>
              <w:spacing w:before="80" w:after="80" w:line="200" w:lineRule="exact"/>
              <w:ind w:right="113"/>
              <w:rPr>
                <w:i/>
                <w:sz w:val="16"/>
                <w:szCs w:val="16"/>
              </w:rPr>
            </w:pPr>
            <w:r w:rsidRPr="0016775B">
              <w:rPr>
                <w:i/>
                <w:iCs/>
                <w:color w:val="000000"/>
                <w:sz w:val="16"/>
                <w:szCs w:val="16"/>
                <w:lang w:val="fr-FR"/>
              </w:rPr>
              <w:t>Mandat venant à expiration le 19</w:t>
            </w:r>
            <w:r>
              <w:rPr>
                <w:i/>
                <w:iCs/>
                <w:color w:val="000000"/>
                <w:sz w:val="16"/>
                <w:szCs w:val="16"/>
                <w:lang w:val="fr-FR"/>
              </w:rPr>
              <w:t> </w:t>
            </w:r>
            <w:r w:rsidRPr="0016775B">
              <w:rPr>
                <w:i/>
                <w:iCs/>
                <w:color w:val="000000"/>
                <w:sz w:val="16"/>
                <w:szCs w:val="16"/>
                <w:lang w:val="fr-FR"/>
              </w:rPr>
              <w:t>janvier</w:t>
            </w:r>
          </w:p>
        </w:tc>
      </w:tr>
      <w:tr w:rsidR="005E5363" w:rsidRPr="00803B71" w14:paraId="43EAC780" w14:textId="77777777" w:rsidTr="00ED62F5">
        <w:trPr>
          <w:cantSplit/>
          <w:trHeight w:hRule="exact" w:val="113"/>
          <w:tblHeader/>
        </w:trPr>
        <w:tc>
          <w:tcPr>
            <w:tcW w:w="3119" w:type="dxa"/>
            <w:tcBorders>
              <w:top w:val="single" w:sz="12" w:space="0" w:color="auto"/>
            </w:tcBorders>
          </w:tcPr>
          <w:p w14:paraId="3FD24F1E" w14:textId="77777777" w:rsidR="005E5363" w:rsidRPr="007E0FB5" w:rsidRDefault="005E5363" w:rsidP="00ED62F5">
            <w:pPr>
              <w:suppressAutoHyphens w:val="0"/>
              <w:spacing w:before="40" w:after="120" w:line="220" w:lineRule="exact"/>
              <w:ind w:right="113"/>
            </w:pPr>
          </w:p>
        </w:tc>
        <w:tc>
          <w:tcPr>
            <w:tcW w:w="2268" w:type="dxa"/>
            <w:tcBorders>
              <w:top w:val="single" w:sz="12" w:space="0" w:color="auto"/>
            </w:tcBorders>
          </w:tcPr>
          <w:p w14:paraId="0231FDE1" w14:textId="77777777" w:rsidR="005E5363" w:rsidRPr="007E0FB5" w:rsidRDefault="005E5363" w:rsidP="00ED62F5">
            <w:pPr>
              <w:suppressAutoHyphens w:val="0"/>
              <w:spacing w:before="40" w:after="120" w:line="220" w:lineRule="exact"/>
              <w:ind w:right="113"/>
            </w:pPr>
          </w:p>
        </w:tc>
        <w:tc>
          <w:tcPr>
            <w:tcW w:w="1983" w:type="dxa"/>
            <w:tcBorders>
              <w:top w:val="single" w:sz="12" w:space="0" w:color="auto"/>
            </w:tcBorders>
          </w:tcPr>
          <w:p w14:paraId="52E55B42" w14:textId="77777777" w:rsidR="005E5363" w:rsidRPr="007E0FB5" w:rsidRDefault="005E5363" w:rsidP="00ED62F5">
            <w:pPr>
              <w:suppressAutoHyphens w:val="0"/>
              <w:spacing w:before="40" w:after="120" w:line="220" w:lineRule="exact"/>
              <w:ind w:right="113"/>
            </w:pPr>
          </w:p>
        </w:tc>
      </w:tr>
      <w:tr w:rsidR="005E5363" w:rsidRPr="007C35EE" w14:paraId="43F60F61" w14:textId="77777777" w:rsidTr="00ED62F5">
        <w:trPr>
          <w:cantSplit/>
          <w:trHeight w:val="240"/>
        </w:trPr>
        <w:tc>
          <w:tcPr>
            <w:tcW w:w="3119" w:type="dxa"/>
          </w:tcPr>
          <w:p w14:paraId="20F43FC9" w14:textId="77777777" w:rsidR="005E5363" w:rsidRPr="007C35EE" w:rsidDel="00D61766" w:rsidRDefault="005E5363" w:rsidP="00ED62F5">
            <w:pPr>
              <w:suppressAutoHyphens w:val="0"/>
              <w:spacing w:before="40" w:after="120" w:line="220" w:lineRule="exact"/>
              <w:ind w:right="113"/>
            </w:pPr>
            <w:r>
              <w:rPr>
                <w:color w:val="000000"/>
                <w:lang w:val="fr-FR"/>
              </w:rPr>
              <w:t xml:space="preserve">Nourredine </w:t>
            </w:r>
            <w:r>
              <w:rPr>
                <w:b/>
                <w:bCs/>
                <w:color w:val="000000"/>
                <w:lang w:val="fr-FR"/>
              </w:rPr>
              <w:t>Amir</w:t>
            </w:r>
          </w:p>
        </w:tc>
        <w:tc>
          <w:tcPr>
            <w:tcW w:w="2268" w:type="dxa"/>
          </w:tcPr>
          <w:p w14:paraId="553FC408" w14:textId="77777777" w:rsidR="005E5363" w:rsidRPr="007C35EE" w:rsidRDefault="005E5363" w:rsidP="00ED62F5">
            <w:pPr>
              <w:suppressAutoHyphens w:val="0"/>
              <w:spacing w:before="40" w:after="120" w:line="220" w:lineRule="exact"/>
              <w:ind w:right="113"/>
            </w:pPr>
            <w:r>
              <w:rPr>
                <w:color w:val="000000"/>
                <w:lang w:val="fr-FR"/>
              </w:rPr>
              <w:t>Algérie</w:t>
            </w:r>
          </w:p>
        </w:tc>
        <w:tc>
          <w:tcPr>
            <w:tcW w:w="1983" w:type="dxa"/>
          </w:tcPr>
          <w:p w14:paraId="0A5041B9" w14:textId="77777777" w:rsidR="005E5363" w:rsidRPr="007C35EE" w:rsidRDefault="005E5363" w:rsidP="00ED62F5">
            <w:pPr>
              <w:suppressAutoHyphens w:val="0"/>
              <w:spacing w:before="40" w:after="120" w:line="220" w:lineRule="exact"/>
              <w:ind w:right="113"/>
            </w:pPr>
            <w:r>
              <w:rPr>
                <w:color w:val="000000"/>
                <w:lang w:val="fr-FR"/>
              </w:rPr>
              <w:t>2026</w:t>
            </w:r>
          </w:p>
        </w:tc>
      </w:tr>
      <w:tr w:rsidR="005E5363" w:rsidRPr="007C35EE" w14:paraId="07378F9E" w14:textId="77777777" w:rsidTr="00ED62F5">
        <w:trPr>
          <w:cantSplit/>
          <w:trHeight w:val="240"/>
        </w:trPr>
        <w:tc>
          <w:tcPr>
            <w:tcW w:w="3119" w:type="dxa"/>
          </w:tcPr>
          <w:p w14:paraId="51B8C66B" w14:textId="77777777" w:rsidR="005E5363" w:rsidRPr="007C35EE" w:rsidRDefault="005E5363" w:rsidP="00ED62F5">
            <w:pPr>
              <w:suppressAutoHyphens w:val="0"/>
              <w:spacing w:before="40" w:after="120" w:line="220" w:lineRule="exact"/>
              <w:ind w:right="113"/>
            </w:pPr>
            <w:proofErr w:type="spellStart"/>
            <w:r>
              <w:rPr>
                <w:color w:val="000000"/>
                <w:lang w:val="fr-FR"/>
              </w:rPr>
              <w:t>Michał</w:t>
            </w:r>
            <w:proofErr w:type="spellEnd"/>
            <w:r>
              <w:rPr>
                <w:color w:val="000000"/>
                <w:lang w:val="fr-FR"/>
              </w:rPr>
              <w:t xml:space="preserve"> </w:t>
            </w:r>
            <w:proofErr w:type="spellStart"/>
            <w:r>
              <w:rPr>
                <w:b/>
                <w:bCs/>
                <w:color w:val="000000"/>
                <w:lang w:val="fr-FR"/>
              </w:rPr>
              <w:t>Balcerzak</w:t>
            </w:r>
            <w:proofErr w:type="spellEnd"/>
          </w:p>
        </w:tc>
        <w:tc>
          <w:tcPr>
            <w:tcW w:w="2268" w:type="dxa"/>
          </w:tcPr>
          <w:p w14:paraId="38A0C9F8" w14:textId="77777777" w:rsidR="005E5363" w:rsidRPr="007C35EE" w:rsidRDefault="005E5363" w:rsidP="00ED62F5">
            <w:pPr>
              <w:suppressAutoHyphens w:val="0"/>
              <w:spacing w:before="40" w:after="120" w:line="220" w:lineRule="exact"/>
              <w:ind w:right="113"/>
            </w:pPr>
            <w:r>
              <w:rPr>
                <w:color w:val="000000"/>
                <w:lang w:val="fr-FR"/>
              </w:rPr>
              <w:t>Pologne</w:t>
            </w:r>
          </w:p>
        </w:tc>
        <w:tc>
          <w:tcPr>
            <w:tcW w:w="1983" w:type="dxa"/>
          </w:tcPr>
          <w:p w14:paraId="0B70F36F" w14:textId="77777777" w:rsidR="005E5363" w:rsidRPr="007C35EE" w:rsidRDefault="005E5363" w:rsidP="00ED62F5">
            <w:pPr>
              <w:suppressAutoHyphens w:val="0"/>
              <w:spacing w:before="40" w:after="120" w:line="220" w:lineRule="exact"/>
              <w:ind w:right="113"/>
            </w:pPr>
            <w:r>
              <w:rPr>
                <w:color w:val="000000"/>
                <w:lang w:val="fr-FR"/>
              </w:rPr>
              <w:t>2026</w:t>
            </w:r>
          </w:p>
        </w:tc>
      </w:tr>
      <w:tr w:rsidR="005E5363" w:rsidRPr="007C35EE" w14:paraId="0E609BFE" w14:textId="77777777" w:rsidTr="00ED62F5">
        <w:trPr>
          <w:cantSplit/>
          <w:trHeight w:val="240"/>
        </w:trPr>
        <w:tc>
          <w:tcPr>
            <w:tcW w:w="3119" w:type="dxa"/>
          </w:tcPr>
          <w:p w14:paraId="798D4CE7" w14:textId="77777777" w:rsidR="005E5363" w:rsidRPr="007C35EE" w:rsidRDefault="005E5363" w:rsidP="00ED62F5">
            <w:pPr>
              <w:suppressAutoHyphens w:val="0"/>
              <w:spacing w:before="40" w:after="120" w:line="220" w:lineRule="exact"/>
              <w:ind w:right="113"/>
            </w:pPr>
            <w:r>
              <w:rPr>
                <w:color w:val="000000"/>
                <w:lang w:val="fr-FR"/>
              </w:rPr>
              <w:t xml:space="preserve">Pela </w:t>
            </w:r>
            <w:proofErr w:type="spellStart"/>
            <w:r>
              <w:rPr>
                <w:b/>
                <w:bCs/>
                <w:color w:val="000000"/>
                <w:lang w:val="fr-FR"/>
              </w:rPr>
              <w:t>Boker</w:t>
            </w:r>
            <w:proofErr w:type="spellEnd"/>
            <w:r>
              <w:rPr>
                <w:b/>
                <w:bCs/>
                <w:color w:val="000000"/>
                <w:lang w:val="fr-FR"/>
              </w:rPr>
              <w:t>-Wilson</w:t>
            </w:r>
          </w:p>
        </w:tc>
        <w:tc>
          <w:tcPr>
            <w:tcW w:w="2268" w:type="dxa"/>
          </w:tcPr>
          <w:p w14:paraId="3CCC3613" w14:textId="77777777" w:rsidR="005E5363" w:rsidRPr="007C35EE" w:rsidRDefault="005E5363" w:rsidP="00ED62F5">
            <w:pPr>
              <w:suppressAutoHyphens w:val="0"/>
              <w:spacing w:before="40" w:after="120" w:line="220" w:lineRule="exact"/>
              <w:ind w:right="113"/>
            </w:pPr>
            <w:r>
              <w:rPr>
                <w:color w:val="000000"/>
                <w:lang w:val="fr-FR"/>
              </w:rPr>
              <w:t>Libéria</w:t>
            </w:r>
          </w:p>
        </w:tc>
        <w:tc>
          <w:tcPr>
            <w:tcW w:w="1983" w:type="dxa"/>
          </w:tcPr>
          <w:p w14:paraId="01434FFF"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62571E17" w14:textId="77777777" w:rsidTr="00ED62F5">
        <w:trPr>
          <w:cantSplit/>
          <w:trHeight w:val="240"/>
        </w:trPr>
        <w:tc>
          <w:tcPr>
            <w:tcW w:w="3119" w:type="dxa"/>
          </w:tcPr>
          <w:p w14:paraId="2B4D1526" w14:textId="77777777" w:rsidR="005E5363" w:rsidRPr="007C35EE" w:rsidRDefault="005E5363" w:rsidP="00ED62F5">
            <w:pPr>
              <w:suppressAutoHyphens w:val="0"/>
              <w:spacing w:before="40" w:after="120" w:line="220" w:lineRule="exact"/>
              <w:ind w:right="113"/>
            </w:pPr>
            <w:proofErr w:type="spellStart"/>
            <w:r>
              <w:rPr>
                <w:color w:val="000000"/>
                <w:lang w:val="fr-FR"/>
              </w:rPr>
              <w:t>Chinsung</w:t>
            </w:r>
            <w:proofErr w:type="spellEnd"/>
            <w:r>
              <w:rPr>
                <w:color w:val="000000"/>
                <w:lang w:val="fr-FR"/>
              </w:rPr>
              <w:t xml:space="preserve"> </w:t>
            </w:r>
            <w:r>
              <w:rPr>
                <w:b/>
                <w:bCs/>
                <w:color w:val="000000"/>
                <w:lang w:val="fr-FR"/>
              </w:rPr>
              <w:t>Chung</w:t>
            </w:r>
          </w:p>
        </w:tc>
        <w:tc>
          <w:tcPr>
            <w:tcW w:w="2268" w:type="dxa"/>
          </w:tcPr>
          <w:p w14:paraId="473128C9" w14:textId="77777777" w:rsidR="005E5363" w:rsidRPr="007C35EE" w:rsidRDefault="005E5363" w:rsidP="00ED62F5">
            <w:pPr>
              <w:suppressAutoHyphens w:val="0"/>
              <w:spacing w:before="40" w:after="120" w:line="220" w:lineRule="exact"/>
              <w:ind w:right="113"/>
            </w:pPr>
            <w:r>
              <w:rPr>
                <w:color w:val="000000"/>
                <w:lang w:val="fr-FR"/>
              </w:rPr>
              <w:t>République de Corée</w:t>
            </w:r>
          </w:p>
        </w:tc>
        <w:tc>
          <w:tcPr>
            <w:tcW w:w="1983" w:type="dxa"/>
          </w:tcPr>
          <w:p w14:paraId="43F67E46" w14:textId="77777777" w:rsidR="005E5363" w:rsidRPr="007C35EE" w:rsidRDefault="005E5363" w:rsidP="00ED62F5">
            <w:pPr>
              <w:suppressAutoHyphens w:val="0"/>
              <w:spacing w:before="40" w:after="120" w:line="220" w:lineRule="exact"/>
              <w:ind w:right="113"/>
            </w:pPr>
            <w:r>
              <w:rPr>
                <w:color w:val="000000"/>
                <w:lang w:val="fr-FR"/>
              </w:rPr>
              <w:t>2026</w:t>
            </w:r>
          </w:p>
        </w:tc>
      </w:tr>
      <w:tr w:rsidR="005E5363" w:rsidRPr="007C35EE" w14:paraId="02433818" w14:textId="77777777" w:rsidTr="00ED62F5">
        <w:trPr>
          <w:cantSplit/>
          <w:trHeight w:val="240"/>
        </w:trPr>
        <w:tc>
          <w:tcPr>
            <w:tcW w:w="3119" w:type="dxa"/>
          </w:tcPr>
          <w:p w14:paraId="432A5051" w14:textId="77777777" w:rsidR="005E5363" w:rsidRPr="007C35EE" w:rsidRDefault="005E5363" w:rsidP="00ED62F5">
            <w:pPr>
              <w:suppressAutoHyphens w:val="0"/>
              <w:spacing w:before="40" w:after="120" w:line="220" w:lineRule="exact"/>
              <w:ind w:right="113"/>
            </w:pPr>
            <w:proofErr w:type="spellStart"/>
            <w:r>
              <w:rPr>
                <w:color w:val="000000"/>
                <w:lang w:val="fr-FR"/>
              </w:rPr>
              <w:t>Bakari</w:t>
            </w:r>
            <w:proofErr w:type="spellEnd"/>
            <w:r>
              <w:rPr>
                <w:color w:val="000000"/>
                <w:lang w:val="fr-FR"/>
              </w:rPr>
              <w:t xml:space="preserve"> Sidiki </w:t>
            </w:r>
            <w:r>
              <w:rPr>
                <w:b/>
                <w:bCs/>
                <w:color w:val="000000"/>
                <w:lang w:val="fr-FR"/>
              </w:rPr>
              <w:t>Diaby</w:t>
            </w:r>
          </w:p>
        </w:tc>
        <w:tc>
          <w:tcPr>
            <w:tcW w:w="2268" w:type="dxa"/>
          </w:tcPr>
          <w:p w14:paraId="495805D9" w14:textId="77777777" w:rsidR="005E5363" w:rsidRPr="007C35EE" w:rsidRDefault="005E5363" w:rsidP="00ED62F5">
            <w:pPr>
              <w:suppressAutoHyphens w:val="0"/>
              <w:spacing w:before="40" w:after="120" w:line="220" w:lineRule="exact"/>
              <w:ind w:right="113"/>
            </w:pPr>
            <w:r>
              <w:rPr>
                <w:color w:val="000000"/>
                <w:lang w:val="fr-FR"/>
              </w:rPr>
              <w:t xml:space="preserve">Côte d’Ivoire </w:t>
            </w:r>
          </w:p>
        </w:tc>
        <w:tc>
          <w:tcPr>
            <w:tcW w:w="1983" w:type="dxa"/>
          </w:tcPr>
          <w:p w14:paraId="50E5282D" w14:textId="77777777" w:rsidR="005E5363" w:rsidRPr="007C35EE" w:rsidRDefault="005E5363" w:rsidP="00ED62F5">
            <w:pPr>
              <w:suppressAutoHyphens w:val="0"/>
              <w:spacing w:before="40" w:after="120" w:line="220" w:lineRule="exact"/>
              <w:ind w:right="113"/>
            </w:pPr>
            <w:r>
              <w:rPr>
                <w:color w:val="000000"/>
                <w:lang w:val="fr-FR"/>
              </w:rPr>
              <w:t>2026</w:t>
            </w:r>
          </w:p>
        </w:tc>
      </w:tr>
      <w:tr w:rsidR="005E5363" w:rsidRPr="007C35EE" w14:paraId="5EF3BCE4" w14:textId="77777777" w:rsidTr="00ED62F5">
        <w:trPr>
          <w:cantSplit/>
          <w:trHeight w:val="240"/>
        </w:trPr>
        <w:tc>
          <w:tcPr>
            <w:tcW w:w="3119" w:type="dxa"/>
          </w:tcPr>
          <w:p w14:paraId="67CB99DA" w14:textId="77777777" w:rsidR="005E5363" w:rsidRPr="007C35EE" w:rsidRDefault="005E5363" w:rsidP="00ED62F5">
            <w:pPr>
              <w:suppressAutoHyphens w:val="0"/>
              <w:spacing w:before="40" w:after="120" w:line="220" w:lineRule="exact"/>
              <w:ind w:right="113"/>
            </w:pPr>
            <w:r>
              <w:rPr>
                <w:color w:val="000000"/>
                <w:lang w:val="fr-FR"/>
              </w:rPr>
              <w:t xml:space="preserve">Régine </w:t>
            </w:r>
            <w:proofErr w:type="spellStart"/>
            <w:r>
              <w:rPr>
                <w:b/>
                <w:bCs/>
                <w:color w:val="000000"/>
                <w:lang w:val="fr-FR"/>
              </w:rPr>
              <w:t>Esseneme</w:t>
            </w:r>
            <w:proofErr w:type="spellEnd"/>
          </w:p>
        </w:tc>
        <w:tc>
          <w:tcPr>
            <w:tcW w:w="2268" w:type="dxa"/>
          </w:tcPr>
          <w:p w14:paraId="08DA35B0" w14:textId="77777777" w:rsidR="005E5363" w:rsidRPr="007C35EE" w:rsidRDefault="005E5363" w:rsidP="00ED62F5">
            <w:pPr>
              <w:suppressAutoHyphens w:val="0"/>
              <w:spacing w:before="40" w:after="120" w:line="220" w:lineRule="exact"/>
              <w:ind w:right="113"/>
            </w:pPr>
            <w:r>
              <w:rPr>
                <w:color w:val="000000"/>
                <w:lang w:val="fr-FR"/>
              </w:rPr>
              <w:t>Cameroun</w:t>
            </w:r>
          </w:p>
        </w:tc>
        <w:tc>
          <w:tcPr>
            <w:tcW w:w="1983" w:type="dxa"/>
          </w:tcPr>
          <w:p w14:paraId="364A6439" w14:textId="77777777" w:rsidR="005E5363" w:rsidRPr="007C35EE" w:rsidRDefault="005E5363" w:rsidP="00ED62F5">
            <w:pPr>
              <w:suppressAutoHyphens w:val="0"/>
              <w:spacing w:before="40" w:after="120" w:line="220" w:lineRule="exact"/>
              <w:ind w:right="113"/>
            </w:pPr>
            <w:r>
              <w:rPr>
                <w:color w:val="000000"/>
                <w:lang w:val="fr-FR"/>
              </w:rPr>
              <w:t>2026</w:t>
            </w:r>
          </w:p>
        </w:tc>
      </w:tr>
      <w:tr w:rsidR="005E5363" w:rsidRPr="007C35EE" w14:paraId="2C7F1866" w14:textId="77777777" w:rsidTr="00ED62F5">
        <w:trPr>
          <w:cantSplit/>
          <w:trHeight w:val="240"/>
        </w:trPr>
        <w:tc>
          <w:tcPr>
            <w:tcW w:w="3119" w:type="dxa"/>
            <w:tcBorders>
              <w:bottom w:val="nil"/>
            </w:tcBorders>
          </w:tcPr>
          <w:p w14:paraId="47A25D08" w14:textId="77777777" w:rsidR="005E5363" w:rsidRPr="007C35EE" w:rsidRDefault="005E5363" w:rsidP="00ED62F5">
            <w:pPr>
              <w:suppressAutoHyphens w:val="0"/>
              <w:spacing w:before="40" w:after="120" w:line="220" w:lineRule="exact"/>
              <w:ind w:right="113"/>
            </w:pPr>
            <w:r>
              <w:rPr>
                <w:color w:val="000000"/>
                <w:lang w:val="fr-FR"/>
              </w:rPr>
              <w:t xml:space="preserve">Jian </w:t>
            </w:r>
            <w:r>
              <w:rPr>
                <w:b/>
                <w:bCs/>
                <w:color w:val="000000"/>
                <w:lang w:val="fr-FR"/>
              </w:rPr>
              <w:t>Guan</w:t>
            </w:r>
          </w:p>
        </w:tc>
        <w:tc>
          <w:tcPr>
            <w:tcW w:w="2268" w:type="dxa"/>
            <w:tcBorders>
              <w:bottom w:val="nil"/>
            </w:tcBorders>
          </w:tcPr>
          <w:p w14:paraId="3AD7CC74" w14:textId="77777777" w:rsidR="005E5363" w:rsidRPr="007C35EE" w:rsidRDefault="005E5363" w:rsidP="00ED62F5">
            <w:pPr>
              <w:suppressAutoHyphens w:val="0"/>
              <w:spacing w:before="40" w:after="120" w:line="220" w:lineRule="exact"/>
              <w:ind w:right="113"/>
            </w:pPr>
            <w:r>
              <w:rPr>
                <w:color w:val="000000"/>
                <w:lang w:val="fr-FR"/>
              </w:rPr>
              <w:t>Chine</w:t>
            </w:r>
          </w:p>
        </w:tc>
        <w:tc>
          <w:tcPr>
            <w:tcW w:w="1983" w:type="dxa"/>
            <w:tcBorders>
              <w:bottom w:val="nil"/>
            </w:tcBorders>
          </w:tcPr>
          <w:p w14:paraId="03CB6219"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6AC004BE" w14:textId="77777777" w:rsidTr="00ED62F5">
        <w:trPr>
          <w:cantSplit/>
          <w:trHeight w:val="240"/>
        </w:trPr>
        <w:tc>
          <w:tcPr>
            <w:tcW w:w="3119" w:type="dxa"/>
            <w:tcBorders>
              <w:top w:val="nil"/>
              <w:bottom w:val="nil"/>
            </w:tcBorders>
          </w:tcPr>
          <w:p w14:paraId="22D7C731" w14:textId="77777777" w:rsidR="005E5363" w:rsidRPr="007C35EE" w:rsidRDefault="005E5363" w:rsidP="00ED62F5">
            <w:pPr>
              <w:suppressAutoHyphens w:val="0"/>
              <w:spacing w:before="40" w:after="120" w:line="220" w:lineRule="exact"/>
              <w:ind w:right="113"/>
            </w:pPr>
            <w:r>
              <w:rPr>
                <w:color w:val="000000"/>
                <w:lang w:val="fr-FR"/>
              </w:rPr>
              <w:t xml:space="preserve">Ibrahima </w:t>
            </w:r>
            <w:proofErr w:type="spellStart"/>
            <w:r>
              <w:rPr>
                <w:b/>
                <w:bCs/>
                <w:color w:val="000000"/>
                <w:lang w:val="fr-FR"/>
              </w:rPr>
              <w:t>Guissé</w:t>
            </w:r>
            <w:proofErr w:type="spellEnd"/>
          </w:p>
        </w:tc>
        <w:tc>
          <w:tcPr>
            <w:tcW w:w="2268" w:type="dxa"/>
            <w:tcBorders>
              <w:top w:val="nil"/>
              <w:bottom w:val="nil"/>
            </w:tcBorders>
          </w:tcPr>
          <w:p w14:paraId="4B0156E0" w14:textId="77777777" w:rsidR="005E5363" w:rsidRPr="007C35EE" w:rsidRDefault="005E5363" w:rsidP="00ED62F5">
            <w:pPr>
              <w:suppressAutoHyphens w:val="0"/>
              <w:spacing w:before="40" w:after="120" w:line="220" w:lineRule="exact"/>
              <w:ind w:right="113"/>
            </w:pPr>
            <w:r>
              <w:rPr>
                <w:color w:val="000000"/>
                <w:lang w:val="fr-FR"/>
              </w:rPr>
              <w:t>Sénégal</w:t>
            </w:r>
          </w:p>
        </w:tc>
        <w:tc>
          <w:tcPr>
            <w:tcW w:w="1983" w:type="dxa"/>
            <w:tcBorders>
              <w:top w:val="nil"/>
              <w:bottom w:val="nil"/>
            </w:tcBorders>
          </w:tcPr>
          <w:p w14:paraId="0D6EB26F"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5497266A" w14:textId="77777777" w:rsidTr="00ED62F5">
        <w:trPr>
          <w:cantSplit/>
          <w:trHeight w:val="240"/>
        </w:trPr>
        <w:tc>
          <w:tcPr>
            <w:tcW w:w="3119" w:type="dxa"/>
            <w:tcBorders>
              <w:top w:val="nil"/>
            </w:tcBorders>
          </w:tcPr>
          <w:p w14:paraId="6382E49B" w14:textId="77777777" w:rsidR="005E5363" w:rsidRPr="007C35EE" w:rsidRDefault="005E5363" w:rsidP="00ED62F5">
            <w:pPr>
              <w:suppressAutoHyphens w:val="0"/>
              <w:spacing w:before="40" w:after="120" w:line="220" w:lineRule="exact"/>
              <w:ind w:right="113"/>
            </w:pPr>
            <w:proofErr w:type="spellStart"/>
            <w:r>
              <w:rPr>
                <w:color w:val="000000"/>
                <w:lang w:val="fr-FR"/>
              </w:rPr>
              <w:lastRenderedPageBreak/>
              <w:t>G‏ün</w:t>
            </w:r>
            <w:proofErr w:type="spellEnd"/>
            <w:r>
              <w:rPr>
                <w:color w:val="000000"/>
                <w:lang w:val="fr-FR"/>
              </w:rPr>
              <w:t xml:space="preserve"> </w:t>
            </w:r>
            <w:proofErr w:type="spellStart"/>
            <w:r>
              <w:rPr>
                <w:b/>
                <w:bCs/>
                <w:color w:val="000000"/>
                <w:lang w:val="fr-FR"/>
              </w:rPr>
              <w:t>Kut</w:t>
            </w:r>
            <w:proofErr w:type="spellEnd"/>
            <w:r>
              <w:rPr>
                <w:color w:val="000000"/>
                <w:lang w:val="fr-FR"/>
              </w:rPr>
              <w:t xml:space="preserve"> </w:t>
            </w:r>
          </w:p>
        </w:tc>
        <w:tc>
          <w:tcPr>
            <w:tcW w:w="2268" w:type="dxa"/>
            <w:tcBorders>
              <w:top w:val="nil"/>
            </w:tcBorders>
          </w:tcPr>
          <w:p w14:paraId="2F890A9E" w14:textId="77777777" w:rsidR="005E5363" w:rsidRPr="007C35EE" w:rsidRDefault="005E5363" w:rsidP="00ED62F5">
            <w:pPr>
              <w:suppressAutoHyphens w:val="0"/>
              <w:spacing w:before="40" w:after="120" w:line="220" w:lineRule="exact"/>
              <w:ind w:right="113"/>
            </w:pPr>
            <w:r>
              <w:rPr>
                <w:color w:val="000000"/>
                <w:lang w:val="fr-FR"/>
              </w:rPr>
              <w:t>Türkiye</w:t>
            </w:r>
          </w:p>
        </w:tc>
        <w:tc>
          <w:tcPr>
            <w:tcW w:w="1983" w:type="dxa"/>
            <w:tcBorders>
              <w:top w:val="nil"/>
            </w:tcBorders>
          </w:tcPr>
          <w:p w14:paraId="37690FFD" w14:textId="77777777" w:rsidR="005E5363" w:rsidRPr="007C35EE" w:rsidRDefault="005E5363" w:rsidP="00ED62F5">
            <w:pPr>
              <w:suppressAutoHyphens w:val="0"/>
              <w:spacing w:before="40" w:after="120" w:line="220" w:lineRule="exact"/>
              <w:ind w:right="113"/>
            </w:pPr>
            <w:r>
              <w:rPr>
                <w:color w:val="000000"/>
                <w:lang w:val="fr-FR"/>
              </w:rPr>
              <w:t>2026</w:t>
            </w:r>
          </w:p>
        </w:tc>
      </w:tr>
      <w:tr w:rsidR="005E5363" w:rsidRPr="007C35EE" w14:paraId="19D7DB02" w14:textId="77777777" w:rsidTr="00ED62F5">
        <w:trPr>
          <w:cantSplit/>
          <w:trHeight w:val="240"/>
        </w:trPr>
        <w:tc>
          <w:tcPr>
            <w:tcW w:w="3119" w:type="dxa"/>
          </w:tcPr>
          <w:p w14:paraId="45A9919D" w14:textId="77777777" w:rsidR="005E5363" w:rsidRPr="007C35EE" w:rsidRDefault="005E5363" w:rsidP="00ED62F5">
            <w:pPr>
              <w:suppressAutoHyphens w:val="0"/>
              <w:spacing w:before="40" w:after="120" w:line="220" w:lineRule="exact"/>
              <w:ind w:right="113"/>
            </w:pPr>
            <w:r>
              <w:rPr>
                <w:color w:val="000000"/>
                <w:lang w:val="fr-FR"/>
              </w:rPr>
              <w:t xml:space="preserve">Gay </w:t>
            </w:r>
            <w:r>
              <w:rPr>
                <w:b/>
                <w:bCs/>
                <w:color w:val="000000"/>
                <w:lang w:val="fr-FR"/>
              </w:rPr>
              <w:t>McDougall</w:t>
            </w:r>
          </w:p>
        </w:tc>
        <w:tc>
          <w:tcPr>
            <w:tcW w:w="2268" w:type="dxa"/>
          </w:tcPr>
          <w:p w14:paraId="15441D76" w14:textId="77777777" w:rsidR="005E5363" w:rsidRPr="007C35EE" w:rsidRDefault="005E5363" w:rsidP="00ED62F5">
            <w:pPr>
              <w:suppressAutoHyphens w:val="0"/>
              <w:spacing w:before="40" w:after="120" w:line="220" w:lineRule="exact"/>
              <w:ind w:right="113"/>
            </w:pPr>
            <w:r>
              <w:rPr>
                <w:color w:val="000000"/>
                <w:lang w:val="fr-FR"/>
              </w:rPr>
              <w:t>États-Unis d’Amérique</w:t>
            </w:r>
          </w:p>
        </w:tc>
        <w:tc>
          <w:tcPr>
            <w:tcW w:w="1983" w:type="dxa"/>
          </w:tcPr>
          <w:p w14:paraId="712B0125" w14:textId="77777777" w:rsidR="005E5363" w:rsidRPr="007C35EE" w:rsidRDefault="005E5363" w:rsidP="00ED62F5">
            <w:pPr>
              <w:suppressAutoHyphens w:val="0"/>
              <w:spacing w:before="40" w:after="120" w:line="220" w:lineRule="exact"/>
              <w:ind w:right="113"/>
            </w:pPr>
            <w:r>
              <w:rPr>
                <w:color w:val="000000"/>
                <w:lang w:val="fr-FR"/>
              </w:rPr>
              <w:t>2026</w:t>
            </w:r>
          </w:p>
        </w:tc>
      </w:tr>
      <w:tr w:rsidR="005E5363" w:rsidRPr="007C35EE" w14:paraId="4446D387" w14:textId="77777777" w:rsidTr="00ED62F5">
        <w:trPr>
          <w:cantSplit/>
          <w:trHeight w:val="240"/>
        </w:trPr>
        <w:tc>
          <w:tcPr>
            <w:tcW w:w="3119" w:type="dxa"/>
          </w:tcPr>
          <w:p w14:paraId="08F9AB3B" w14:textId="77777777" w:rsidR="005E5363" w:rsidRPr="007C35EE" w:rsidRDefault="005E5363" w:rsidP="00ED62F5">
            <w:pPr>
              <w:suppressAutoHyphens w:val="0"/>
              <w:spacing w:before="40" w:after="120" w:line="220" w:lineRule="exact"/>
              <w:ind w:right="113"/>
            </w:pPr>
            <w:proofErr w:type="spellStart"/>
            <w:r>
              <w:rPr>
                <w:color w:val="000000"/>
                <w:lang w:val="fr-FR"/>
              </w:rPr>
              <w:t>Vadili</w:t>
            </w:r>
            <w:proofErr w:type="spellEnd"/>
            <w:r>
              <w:rPr>
                <w:color w:val="000000"/>
                <w:lang w:val="fr-FR"/>
              </w:rPr>
              <w:t xml:space="preserve"> Mohamed </w:t>
            </w:r>
            <w:proofErr w:type="spellStart"/>
            <w:r>
              <w:rPr>
                <w:b/>
                <w:bCs/>
                <w:color w:val="000000"/>
                <w:lang w:val="fr-FR"/>
              </w:rPr>
              <w:t>Rayess</w:t>
            </w:r>
            <w:proofErr w:type="spellEnd"/>
          </w:p>
        </w:tc>
        <w:tc>
          <w:tcPr>
            <w:tcW w:w="2268" w:type="dxa"/>
          </w:tcPr>
          <w:p w14:paraId="6D2A9F31" w14:textId="77777777" w:rsidR="005E5363" w:rsidRPr="007C35EE" w:rsidRDefault="005E5363" w:rsidP="00ED62F5">
            <w:pPr>
              <w:suppressAutoHyphens w:val="0"/>
              <w:spacing w:before="40" w:after="120" w:line="220" w:lineRule="exact"/>
              <w:ind w:right="113"/>
            </w:pPr>
            <w:r>
              <w:rPr>
                <w:color w:val="000000"/>
                <w:lang w:val="fr-FR"/>
              </w:rPr>
              <w:t>Mauritanie</w:t>
            </w:r>
          </w:p>
        </w:tc>
        <w:tc>
          <w:tcPr>
            <w:tcW w:w="1983" w:type="dxa"/>
          </w:tcPr>
          <w:p w14:paraId="172A13D0"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37245127" w14:textId="77777777" w:rsidTr="00ED62F5">
        <w:trPr>
          <w:cantSplit/>
          <w:trHeight w:val="240"/>
        </w:trPr>
        <w:tc>
          <w:tcPr>
            <w:tcW w:w="3119" w:type="dxa"/>
          </w:tcPr>
          <w:p w14:paraId="6C2DA806" w14:textId="77777777" w:rsidR="005E5363" w:rsidRPr="007C35EE" w:rsidRDefault="005E5363" w:rsidP="00ED62F5">
            <w:pPr>
              <w:suppressAutoHyphens w:val="0"/>
              <w:spacing w:before="40" w:after="120" w:line="220" w:lineRule="exact"/>
              <w:ind w:right="113"/>
            </w:pPr>
            <w:proofErr w:type="spellStart"/>
            <w:r>
              <w:rPr>
                <w:color w:val="000000"/>
                <w:lang w:val="fr-FR"/>
              </w:rPr>
              <w:t>Verene</w:t>
            </w:r>
            <w:proofErr w:type="spellEnd"/>
            <w:r>
              <w:rPr>
                <w:color w:val="000000"/>
                <w:lang w:val="fr-FR"/>
              </w:rPr>
              <w:t xml:space="preserve"> </w:t>
            </w:r>
            <w:r>
              <w:rPr>
                <w:b/>
                <w:bCs/>
                <w:color w:val="000000"/>
                <w:lang w:val="fr-FR"/>
              </w:rPr>
              <w:t>Shepherd</w:t>
            </w:r>
          </w:p>
        </w:tc>
        <w:tc>
          <w:tcPr>
            <w:tcW w:w="2268" w:type="dxa"/>
          </w:tcPr>
          <w:p w14:paraId="2E93E10C" w14:textId="77777777" w:rsidR="005E5363" w:rsidRPr="007C35EE" w:rsidRDefault="005E5363" w:rsidP="00ED62F5">
            <w:pPr>
              <w:suppressAutoHyphens w:val="0"/>
              <w:spacing w:before="40" w:after="120" w:line="220" w:lineRule="exact"/>
              <w:ind w:right="113"/>
            </w:pPr>
            <w:r>
              <w:rPr>
                <w:color w:val="000000"/>
                <w:lang w:val="fr-FR"/>
              </w:rPr>
              <w:t>Jamaïque</w:t>
            </w:r>
          </w:p>
        </w:tc>
        <w:tc>
          <w:tcPr>
            <w:tcW w:w="1983" w:type="dxa"/>
          </w:tcPr>
          <w:p w14:paraId="7A2D4E5D"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0ED7973B" w14:textId="77777777" w:rsidTr="00ED62F5">
        <w:trPr>
          <w:cantSplit/>
          <w:trHeight w:val="240"/>
        </w:trPr>
        <w:tc>
          <w:tcPr>
            <w:tcW w:w="3119" w:type="dxa"/>
          </w:tcPr>
          <w:p w14:paraId="074A1951" w14:textId="77777777" w:rsidR="005E5363" w:rsidRPr="007C35EE" w:rsidRDefault="005E5363" w:rsidP="00ED62F5">
            <w:pPr>
              <w:suppressAutoHyphens w:val="0"/>
              <w:spacing w:before="40" w:after="120" w:line="220" w:lineRule="exact"/>
              <w:ind w:right="113"/>
            </w:pPr>
            <w:proofErr w:type="spellStart"/>
            <w:r>
              <w:rPr>
                <w:color w:val="000000"/>
                <w:lang w:val="fr-FR"/>
              </w:rPr>
              <w:t>Chrispine</w:t>
            </w:r>
            <w:proofErr w:type="spellEnd"/>
            <w:r>
              <w:rPr>
                <w:color w:val="000000"/>
                <w:lang w:val="fr-FR"/>
              </w:rPr>
              <w:t xml:space="preserve"> </w:t>
            </w:r>
            <w:proofErr w:type="spellStart"/>
            <w:r>
              <w:rPr>
                <w:color w:val="000000"/>
                <w:lang w:val="fr-FR"/>
              </w:rPr>
              <w:t>Gwalawala</w:t>
            </w:r>
            <w:proofErr w:type="spellEnd"/>
            <w:r>
              <w:rPr>
                <w:color w:val="000000"/>
                <w:lang w:val="fr-FR"/>
              </w:rPr>
              <w:t xml:space="preserve"> </w:t>
            </w:r>
            <w:proofErr w:type="spellStart"/>
            <w:r>
              <w:rPr>
                <w:b/>
                <w:bCs/>
                <w:color w:val="000000"/>
                <w:lang w:val="fr-FR"/>
              </w:rPr>
              <w:t>Sibande</w:t>
            </w:r>
            <w:proofErr w:type="spellEnd"/>
          </w:p>
        </w:tc>
        <w:tc>
          <w:tcPr>
            <w:tcW w:w="2268" w:type="dxa"/>
          </w:tcPr>
          <w:p w14:paraId="40B9EB3A" w14:textId="77777777" w:rsidR="005E5363" w:rsidRPr="007C35EE" w:rsidRDefault="005E5363" w:rsidP="00ED62F5">
            <w:pPr>
              <w:suppressAutoHyphens w:val="0"/>
              <w:spacing w:before="40" w:after="120" w:line="220" w:lineRule="exact"/>
              <w:ind w:right="113"/>
            </w:pPr>
            <w:r>
              <w:rPr>
                <w:color w:val="000000"/>
                <w:lang w:val="fr-FR"/>
              </w:rPr>
              <w:t>Malawi</w:t>
            </w:r>
          </w:p>
        </w:tc>
        <w:tc>
          <w:tcPr>
            <w:tcW w:w="1983" w:type="dxa"/>
          </w:tcPr>
          <w:p w14:paraId="3781EFC1"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5CF4C027" w14:textId="77777777" w:rsidTr="00ED62F5">
        <w:trPr>
          <w:cantSplit/>
          <w:trHeight w:val="240"/>
        </w:trPr>
        <w:tc>
          <w:tcPr>
            <w:tcW w:w="3119" w:type="dxa"/>
          </w:tcPr>
          <w:p w14:paraId="7FD17D49" w14:textId="77777777" w:rsidR="005E5363" w:rsidRPr="007C35EE" w:rsidRDefault="005E5363" w:rsidP="00ED62F5">
            <w:pPr>
              <w:suppressAutoHyphens w:val="0"/>
              <w:spacing w:before="40" w:after="120" w:line="220" w:lineRule="exact"/>
              <w:ind w:right="113"/>
            </w:pPr>
            <w:proofErr w:type="spellStart"/>
            <w:r>
              <w:rPr>
                <w:color w:val="000000"/>
                <w:lang w:val="fr-FR"/>
              </w:rPr>
              <w:t>Stamatia</w:t>
            </w:r>
            <w:proofErr w:type="spellEnd"/>
            <w:r>
              <w:rPr>
                <w:color w:val="000000"/>
                <w:lang w:val="fr-FR"/>
              </w:rPr>
              <w:t xml:space="preserve"> </w:t>
            </w:r>
            <w:proofErr w:type="spellStart"/>
            <w:r>
              <w:rPr>
                <w:b/>
                <w:bCs/>
                <w:color w:val="000000"/>
                <w:lang w:val="fr-FR"/>
              </w:rPr>
              <w:t>Stavrinaki</w:t>
            </w:r>
            <w:proofErr w:type="spellEnd"/>
          </w:p>
        </w:tc>
        <w:tc>
          <w:tcPr>
            <w:tcW w:w="2268" w:type="dxa"/>
          </w:tcPr>
          <w:p w14:paraId="22C044F8" w14:textId="77777777" w:rsidR="005E5363" w:rsidRPr="007C35EE" w:rsidRDefault="005E5363" w:rsidP="00ED62F5">
            <w:pPr>
              <w:suppressAutoHyphens w:val="0"/>
              <w:spacing w:before="40" w:after="120" w:line="220" w:lineRule="exact"/>
              <w:ind w:right="113"/>
            </w:pPr>
            <w:r>
              <w:rPr>
                <w:color w:val="000000"/>
                <w:lang w:val="fr-FR"/>
              </w:rPr>
              <w:t>Grèce</w:t>
            </w:r>
          </w:p>
        </w:tc>
        <w:tc>
          <w:tcPr>
            <w:tcW w:w="1983" w:type="dxa"/>
          </w:tcPr>
          <w:p w14:paraId="4522A3DA"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45F7B657" w14:textId="77777777" w:rsidTr="00ED62F5">
        <w:trPr>
          <w:cantSplit/>
          <w:trHeight w:val="240"/>
        </w:trPr>
        <w:tc>
          <w:tcPr>
            <w:tcW w:w="3119" w:type="dxa"/>
          </w:tcPr>
          <w:p w14:paraId="347C8FD4" w14:textId="77777777" w:rsidR="005E5363" w:rsidRPr="007C35EE" w:rsidRDefault="005E5363" w:rsidP="00ED62F5">
            <w:pPr>
              <w:suppressAutoHyphens w:val="0"/>
              <w:spacing w:before="40" w:after="120" w:line="220" w:lineRule="exact"/>
              <w:ind w:right="113"/>
            </w:pPr>
            <w:proofErr w:type="spellStart"/>
            <w:r>
              <w:rPr>
                <w:color w:val="000000"/>
                <w:lang w:val="fr-FR"/>
              </w:rPr>
              <w:t>Mazalo</w:t>
            </w:r>
            <w:proofErr w:type="spellEnd"/>
            <w:r>
              <w:rPr>
                <w:color w:val="000000"/>
                <w:lang w:val="fr-FR"/>
              </w:rPr>
              <w:t xml:space="preserve"> </w:t>
            </w:r>
            <w:proofErr w:type="spellStart"/>
            <w:r>
              <w:rPr>
                <w:b/>
                <w:bCs/>
                <w:color w:val="000000"/>
                <w:lang w:val="fr-FR"/>
              </w:rPr>
              <w:t>Tebie</w:t>
            </w:r>
            <w:proofErr w:type="spellEnd"/>
            <w:r>
              <w:rPr>
                <w:color w:val="000000"/>
                <w:lang w:val="fr-FR"/>
              </w:rPr>
              <w:t xml:space="preserve"> </w:t>
            </w:r>
          </w:p>
        </w:tc>
        <w:tc>
          <w:tcPr>
            <w:tcW w:w="2268" w:type="dxa"/>
          </w:tcPr>
          <w:p w14:paraId="29A694EE" w14:textId="77777777" w:rsidR="005E5363" w:rsidRPr="007C35EE" w:rsidRDefault="005E5363" w:rsidP="00ED62F5">
            <w:pPr>
              <w:suppressAutoHyphens w:val="0"/>
              <w:spacing w:before="40" w:after="120" w:line="220" w:lineRule="exact"/>
              <w:ind w:right="113"/>
            </w:pPr>
            <w:r>
              <w:rPr>
                <w:color w:val="000000"/>
                <w:lang w:val="fr-FR"/>
              </w:rPr>
              <w:t xml:space="preserve">Togo </w:t>
            </w:r>
          </w:p>
        </w:tc>
        <w:tc>
          <w:tcPr>
            <w:tcW w:w="1983" w:type="dxa"/>
          </w:tcPr>
          <w:p w14:paraId="76AC2AED" w14:textId="77777777" w:rsidR="005E5363" w:rsidRPr="007C35EE" w:rsidRDefault="005E5363" w:rsidP="00ED62F5">
            <w:pPr>
              <w:suppressAutoHyphens w:val="0"/>
              <w:spacing w:before="40" w:after="120" w:line="220" w:lineRule="exact"/>
              <w:ind w:right="113"/>
            </w:pPr>
            <w:r>
              <w:rPr>
                <w:color w:val="000000"/>
                <w:lang w:val="fr-FR"/>
              </w:rPr>
              <w:t xml:space="preserve">2026 </w:t>
            </w:r>
          </w:p>
        </w:tc>
      </w:tr>
      <w:tr w:rsidR="005E5363" w:rsidRPr="007C35EE" w14:paraId="1B4B9D60" w14:textId="77777777" w:rsidTr="00ED62F5">
        <w:trPr>
          <w:cantSplit/>
          <w:trHeight w:val="240"/>
        </w:trPr>
        <w:tc>
          <w:tcPr>
            <w:tcW w:w="3119" w:type="dxa"/>
          </w:tcPr>
          <w:p w14:paraId="4B1B0557" w14:textId="77777777" w:rsidR="005E5363" w:rsidRPr="007C35EE" w:rsidRDefault="005E5363" w:rsidP="00ED62F5">
            <w:pPr>
              <w:suppressAutoHyphens w:val="0"/>
              <w:spacing w:before="40" w:after="120" w:line="220" w:lineRule="exact"/>
              <w:ind w:right="113"/>
            </w:pPr>
            <w:r>
              <w:rPr>
                <w:color w:val="000000"/>
                <w:lang w:val="fr-FR"/>
              </w:rPr>
              <w:t xml:space="preserve">Faith </w:t>
            </w:r>
            <w:proofErr w:type="spellStart"/>
            <w:r>
              <w:rPr>
                <w:color w:val="000000"/>
                <w:lang w:val="fr-FR"/>
              </w:rPr>
              <w:t>Dikeledi</w:t>
            </w:r>
            <w:proofErr w:type="spellEnd"/>
            <w:r>
              <w:rPr>
                <w:color w:val="000000"/>
                <w:lang w:val="fr-FR"/>
              </w:rPr>
              <w:t xml:space="preserve"> Pansy </w:t>
            </w:r>
            <w:proofErr w:type="spellStart"/>
            <w:r>
              <w:rPr>
                <w:b/>
                <w:bCs/>
                <w:color w:val="000000"/>
                <w:lang w:val="fr-FR"/>
              </w:rPr>
              <w:t>Tlakula</w:t>
            </w:r>
            <w:proofErr w:type="spellEnd"/>
          </w:p>
        </w:tc>
        <w:tc>
          <w:tcPr>
            <w:tcW w:w="2268" w:type="dxa"/>
          </w:tcPr>
          <w:p w14:paraId="66A8BD5C" w14:textId="77777777" w:rsidR="005E5363" w:rsidRPr="007C35EE" w:rsidRDefault="005E5363" w:rsidP="00ED62F5">
            <w:pPr>
              <w:suppressAutoHyphens w:val="0"/>
              <w:spacing w:before="40" w:after="120" w:line="220" w:lineRule="exact"/>
              <w:ind w:right="113"/>
            </w:pPr>
            <w:r>
              <w:rPr>
                <w:color w:val="000000"/>
                <w:lang w:val="fr-FR"/>
              </w:rPr>
              <w:t>Afrique du Sud</w:t>
            </w:r>
          </w:p>
        </w:tc>
        <w:tc>
          <w:tcPr>
            <w:tcW w:w="1983" w:type="dxa"/>
          </w:tcPr>
          <w:p w14:paraId="72755BB2"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12C899C3" w14:textId="77777777" w:rsidTr="00ED62F5">
        <w:trPr>
          <w:cantSplit/>
          <w:trHeight w:val="240"/>
        </w:trPr>
        <w:tc>
          <w:tcPr>
            <w:tcW w:w="3119" w:type="dxa"/>
          </w:tcPr>
          <w:p w14:paraId="3EE119F5" w14:textId="77777777" w:rsidR="005E5363" w:rsidRPr="007C35EE" w:rsidRDefault="005E5363" w:rsidP="00ED62F5">
            <w:pPr>
              <w:suppressAutoHyphens w:val="0"/>
              <w:spacing w:before="40" w:after="120" w:line="220" w:lineRule="exact"/>
              <w:ind w:right="113"/>
            </w:pPr>
            <w:proofErr w:type="spellStart"/>
            <w:r>
              <w:rPr>
                <w:color w:val="000000"/>
                <w:lang w:val="fr-FR"/>
              </w:rPr>
              <w:t>Abderrahman</w:t>
            </w:r>
            <w:proofErr w:type="spellEnd"/>
            <w:r>
              <w:rPr>
                <w:color w:val="000000"/>
                <w:lang w:val="fr-FR"/>
              </w:rPr>
              <w:t xml:space="preserve"> </w:t>
            </w:r>
            <w:proofErr w:type="spellStart"/>
            <w:r>
              <w:rPr>
                <w:b/>
                <w:bCs/>
                <w:color w:val="000000"/>
                <w:lang w:val="fr-FR"/>
              </w:rPr>
              <w:t>Tlemçani</w:t>
            </w:r>
            <w:proofErr w:type="spellEnd"/>
          </w:p>
        </w:tc>
        <w:tc>
          <w:tcPr>
            <w:tcW w:w="2268" w:type="dxa"/>
          </w:tcPr>
          <w:p w14:paraId="5CAD9AAD" w14:textId="77777777" w:rsidR="005E5363" w:rsidRPr="007C35EE" w:rsidRDefault="005E5363" w:rsidP="00ED62F5">
            <w:pPr>
              <w:suppressAutoHyphens w:val="0"/>
              <w:spacing w:before="40" w:after="120" w:line="220" w:lineRule="exact"/>
              <w:ind w:right="113"/>
            </w:pPr>
            <w:r>
              <w:rPr>
                <w:color w:val="000000"/>
                <w:lang w:val="fr-FR"/>
              </w:rPr>
              <w:t>Maroc</w:t>
            </w:r>
          </w:p>
        </w:tc>
        <w:tc>
          <w:tcPr>
            <w:tcW w:w="1983" w:type="dxa"/>
          </w:tcPr>
          <w:p w14:paraId="0B13D46A" w14:textId="77777777" w:rsidR="005E5363" w:rsidRPr="007C35EE" w:rsidRDefault="005E5363" w:rsidP="00ED62F5">
            <w:pPr>
              <w:suppressAutoHyphens w:val="0"/>
              <w:spacing w:before="40" w:after="120" w:line="220" w:lineRule="exact"/>
              <w:ind w:right="113"/>
            </w:pPr>
            <w:r>
              <w:rPr>
                <w:color w:val="000000"/>
                <w:lang w:val="fr-FR"/>
              </w:rPr>
              <w:t>2028</w:t>
            </w:r>
          </w:p>
        </w:tc>
      </w:tr>
      <w:tr w:rsidR="005E5363" w:rsidRPr="007C35EE" w14:paraId="75ABE352" w14:textId="77777777" w:rsidTr="00ED62F5">
        <w:trPr>
          <w:cantSplit/>
          <w:trHeight w:val="240"/>
        </w:trPr>
        <w:tc>
          <w:tcPr>
            <w:tcW w:w="3119" w:type="dxa"/>
          </w:tcPr>
          <w:p w14:paraId="34BF8A9C" w14:textId="77777777" w:rsidR="005E5363" w:rsidRPr="005E5363" w:rsidRDefault="005E5363" w:rsidP="00ED62F5">
            <w:pPr>
              <w:suppressAutoHyphens w:val="0"/>
              <w:spacing w:before="40" w:after="120" w:line="220" w:lineRule="exact"/>
              <w:ind w:right="113"/>
              <w:rPr>
                <w:lang w:val="en-US"/>
              </w:rPr>
            </w:pPr>
            <w:r w:rsidRPr="007E0FB5">
              <w:rPr>
                <w:color w:val="000000"/>
                <w:lang w:val="en-US"/>
              </w:rPr>
              <w:t xml:space="preserve">Yeung Kam John </w:t>
            </w:r>
            <w:r w:rsidRPr="007E0FB5">
              <w:rPr>
                <w:b/>
                <w:bCs/>
                <w:color w:val="000000"/>
                <w:lang w:val="en-US"/>
              </w:rPr>
              <w:t>Yeung Sik Yuen</w:t>
            </w:r>
          </w:p>
        </w:tc>
        <w:tc>
          <w:tcPr>
            <w:tcW w:w="2268" w:type="dxa"/>
          </w:tcPr>
          <w:p w14:paraId="33354210" w14:textId="77777777" w:rsidR="005E5363" w:rsidRPr="007C35EE" w:rsidRDefault="005E5363" w:rsidP="00ED62F5">
            <w:pPr>
              <w:suppressAutoHyphens w:val="0"/>
              <w:spacing w:before="40" w:after="120" w:line="220" w:lineRule="exact"/>
              <w:ind w:right="113"/>
            </w:pPr>
            <w:r>
              <w:rPr>
                <w:color w:val="000000"/>
                <w:lang w:val="fr-FR"/>
              </w:rPr>
              <w:t>Maurice</w:t>
            </w:r>
          </w:p>
        </w:tc>
        <w:tc>
          <w:tcPr>
            <w:tcW w:w="1983" w:type="dxa"/>
          </w:tcPr>
          <w:p w14:paraId="1D342CEB" w14:textId="77777777" w:rsidR="005E5363" w:rsidRPr="007C35EE" w:rsidRDefault="005E5363" w:rsidP="00ED62F5">
            <w:pPr>
              <w:suppressAutoHyphens w:val="0"/>
              <w:spacing w:before="40" w:after="120" w:line="220" w:lineRule="exact"/>
              <w:ind w:right="113"/>
            </w:pPr>
            <w:r>
              <w:rPr>
                <w:color w:val="000000"/>
                <w:lang w:val="fr-FR"/>
              </w:rPr>
              <w:t>2026</w:t>
            </w:r>
          </w:p>
        </w:tc>
      </w:tr>
    </w:tbl>
    <w:p w14:paraId="5E3CCA95" w14:textId="7E21DDDD" w:rsidR="005E5363" w:rsidRPr="001A314C" w:rsidRDefault="005E5363" w:rsidP="005E5363">
      <w:pPr>
        <w:pStyle w:val="H1G"/>
      </w:pPr>
      <w:r>
        <w:rPr>
          <w:bCs/>
          <w:lang w:val="fr-FR"/>
        </w:rPr>
        <w:tab/>
        <w:t>D</w:t>
      </w:r>
      <w:r w:rsidR="007A599E" w:rsidRPr="007A599E">
        <w:rPr>
          <w:bCs/>
          <w:lang w:val="fr-FR"/>
        </w:rPr>
        <w:t>.</w:t>
      </w:r>
      <w:r>
        <w:rPr>
          <w:lang w:val="fr-FR"/>
        </w:rPr>
        <w:tab/>
      </w:r>
      <w:r>
        <w:rPr>
          <w:bCs/>
          <w:lang w:val="fr-FR"/>
        </w:rPr>
        <w:t>Bureau du Comité</w:t>
      </w:r>
      <w:bookmarkStart w:id="46" w:name="_Toc176248178"/>
      <w:bookmarkStart w:id="47" w:name="_Toc176248843"/>
      <w:bookmarkEnd w:id="40"/>
      <w:bookmarkEnd w:id="41"/>
      <w:bookmarkEnd w:id="42"/>
      <w:bookmarkEnd w:id="43"/>
      <w:bookmarkEnd w:id="44"/>
      <w:bookmarkEnd w:id="45"/>
      <w:bookmarkEnd w:id="46"/>
      <w:bookmarkEnd w:id="47"/>
    </w:p>
    <w:p w14:paraId="5D349177" w14:textId="3CA71418" w:rsidR="005E5363" w:rsidRPr="007E0FB5" w:rsidRDefault="005E5363" w:rsidP="005E5363">
      <w:pPr>
        <w:pStyle w:val="SingleTxtG"/>
      </w:pPr>
      <w:r>
        <w:rPr>
          <w:lang w:val="fr-FR"/>
        </w:rPr>
        <w:t>8</w:t>
      </w:r>
      <w:r w:rsidR="007A599E" w:rsidRPr="007A599E">
        <w:rPr>
          <w:lang w:val="fr-FR"/>
        </w:rPr>
        <w:t>.</w:t>
      </w:r>
      <w:r>
        <w:rPr>
          <w:lang w:val="fr-FR"/>
        </w:rPr>
        <w:tab/>
        <w:t>À ses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le Bureau du Comité était composé des membres ci-après du Comité, élus pour un mandat de deux ans (2024-2026) :</w:t>
      </w:r>
    </w:p>
    <w:p w14:paraId="44BD6C2E" w14:textId="77777777" w:rsidR="005E5363" w:rsidRPr="007E0FB5" w:rsidRDefault="005E5363" w:rsidP="005E5363">
      <w:pPr>
        <w:pStyle w:val="SingleTxtG"/>
        <w:ind w:left="3969" w:hanging="2268"/>
      </w:pPr>
      <w:r>
        <w:rPr>
          <w:i/>
          <w:iCs/>
          <w:lang w:val="fr-FR"/>
        </w:rPr>
        <w:t>Président </w:t>
      </w:r>
      <w:r w:rsidRPr="000569FE">
        <w:rPr>
          <w:lang w:val="fr-FR"/>
        </w:rPr>
        <w:t>:</w:t>
      </w:r>
      <w:r>
        <w:rPr>
          <w:lang w:val="fr-FR"/>
        </w:rPr>
        <w:tab/>
      </w:r>
      <w:r>
        <w:rPr>
          <w:lang w:val="fr-FR"/>
        </w:rPr>
        <w:tab/>
      </w:r>
      <w:proofErr w:type="spellStart"/>
      <w:r>
        <w:rPr>
          <w:lang w:val="fr-FR"/>
        </w:rPr>
        <w:t>Michał</w:t>
      </w:r>
      <w:proofErr w:type="spellEnd"/>
      <w:r>
        <w:rPr>
          <w:lang w:val="fr-FR"/>
        </w:rPr>
        <w:t xml:space="preserve"> </w:t>
      </w:r>
      <w:proofErr w:type="spellStart"/>
      <w:r>
        <w:rPr>
          <w:lang w:val="fr-FR"/>
        </w:rPr>
        <w:t>Balcerzak</w:t>
      </w:r>
      <w:proofErr w:type="spellEnd"/>
    </w:p>
    <w:p w14:paraId="31EBF468" w14:textId="77777777" w:rsidR="005E5363" w:rsidRPr="007E0FB5" w:rsidRDefault="005E5363" w:rsidP="005E5363">
      <w:pPr>
        <w:pStyle w:val="SingleTxtG"/>
        <w:ind w:left="3969" w:hanging="2268"/>
      </w:pPr>
      <w:r>
        <w:rPr>
          <w:i/>
          <w:iCs/>
          <w:lang w:val="fr-FR"/>
        </w:rPr>
        <w:t>Vice-Présidentes</w:t>
      </w:r>
      <w:r w:rsidRPr="000569FE">
        <w:rPr>
          <w:lang w:val="fr-FR"/>
        </w:rPr>
        <w:t> :</w:t>
      </w:r>
      <w:r>
        <w:rPr>
          <w:lang w:val="fr-FR"/>
        </w:rPr>
        <w:tab/>
        <w:t xml:space="preserve">Régine </w:t>
      </w:r>
      <w:proofErr w:type="spellStart"/>
      <w:r>
        <w:rPr>
          <w:lang w:val="fr-FR"/>
        </w:rPr>
        <w:t>Esseneme</w:t>
      </w:r>
      <w:proofErr w:type="spellEnd"/>
    </w:p>
    <w:p w14:paraId="440C0F80" w14:textId="4D938090" w:rsidR="005E5363" w:rsidRPr="005E5363" w:rsidRDefault="005E5363" w:rsidP="005E5363">
      <w:pPr>
        <w:pStyle w:val="SingleTxtG"/>
        <w:ind w:left="3969" w:hanging="2268"/>
        <w:rPr>
          <w:lang w:val="en-US"/>
        </w:rPr>
      </w:pPr>
      <w:r>
        <w:rPr>
          <w:lang w:val="fr-FR"/>
        </w:rPr>
        <w:tab/>
      </w:r>
      <w:r>
        <w:rPr>
          <w:lang w:val="fr-FR"/>
        </w:rPr>
        <w:tab/>
      </w:r>
      <w:r w:rsidR="00AA073D">
        <w:rPr>
          <w:lang w:val="fr-FR"/>
        </w:rPr>
        <w:tab/>
      </w:r>
      <w:r w:rsidRPr="007E0FB5">
        <w:rPr>
          <w:lang w:val="en-US"/>
        </w:rPr>
        <w:t>Gay McDougall</w:t>
      </w:r>
    </w:p>
    <w:p w14:paraId="1DBB738D" w14:textId="77777777" w:rsidR="005E5363" w:rsidRPr="005E5363" w:rsidRDefault="005E5363" w:rsidP="005E5363">
      <w:pPr>
        <w:pStyle w:val="SingleTxtG"/>
        <w:tabs>
          <w:tab w:val="clear" w:pos="2268"/>
        </w:tabs>
        <w:ind w:left="3969" w:hanging="2268"/>
        <w:rPr>
          <w:lang w:val="en-US"/>
        </w:rPr>
      </w:pPr>
      <w:r w:rsidRPr="007E0FB5">
        <w:rPr>
          <w:lang w:val="en-US"/>
        </w:rPr>
        <w:tab/>
      </w:r>
      <w:r w:rsidRPr="007E0FB5">
        <w:rPr>
          <w:lang w:val="en-US"/>
        </w:rPr>
        <w:tab/>
        <w:t>Verene Shepherd</w:t>
      </w:r>
    </w:p>
    <w:p w14:paraId="3B4C97BA" w14:textId="2EB7EA08" w:rsidR="005E5363" w:rsidRPr="005E5363" w:rsidRDefault="005E5363" w:rsidP="005E5363">
      <w:pPr>
        <w:pStyle w:val="SingleTxtG"/>
        <w:ind w:left="3969" w:hanging="2268"/>
        <w:rPr>
          <w:lang w:val="en-US"/>
        </w:rPr>
      </w:pPr>
      <w:proofErr w:type="spellStart"/>
      <w:r w:rsidRPr="007E0FB5">
        <w:rPr>
          <w:i/>
          <w:iCs/>
          <w:lang w:val="en-US"/>
        </w:rPr>
        <w:t>Rapporteuse</w:t>
      </w:r>
      <w:proofErr w:type="spellEnd"/>
      <w:r>
        <w:rPr>
          <w:i/>
          <w:iCs/>
          <w:lang w:val="en-US"/>
        </w:rPr>
        <w:t> </w:t>
      </w:r>
      <w:r w:rsidRPr="000569FE">
        <w:rPr>
          <w:lang w:val="en-US"/>
        </w:rPr>
        <w:t>:</w:t>
      </w:r>
      <w:r w:rsidRPr="000569FE">
        <w:rPr>
          <w:lang w:val="en-US"/>
        </w:rPr>
        <w:tab/>
      </w:r>
      <w:r w:rsidR="00AA073D">
        <w:rPr>
          <w:lang w:val="en-US"/>
        </w:rPr>
        <w:tab/>
      </w:r>
      <w:proofErr w:type="spellStart"/>
      <w:r w:rsidRPr="007E0FB5">
        <w:rPr>
          <w:lang w:val="en-US"/>
        </w:rPr>
        <w:t>Chinsung</w:t>
      </w:r>
      <w:proofErr w:type="spellEnd"/>
      <w:r w:rsidRPr="007E0FB5">
        <w:rPr>
          <w:lang w:val="en-US"/>
        </w:rPr>
        <w:t xml:space="preserve"> Chung</w:t>
      </w:r>
    </w:p>
    <w:p w14:paraId="04659A8F" w14:textId="42628701" w:rsidR="005E5363" w:rsidRPr="007E0FB5" w:rsidRDefault="005E5363" w:rsidP="005E5363">
      <w:pPr>
        <w:pStyle w:val="H1G"/>
      </w:pPr>
      <w:r w:rsidRPr="00803B71">
        <w:rPr>
          <w:bCs/>
          <w:lang w:val="en-US"/>
        </w:rPr>
        <w:tab/>
      </w:r>
      <w:r>
        <w:rPr>
          <w:bCs/>
          <w:lang w:val="fr-FR"/>
        </w:rPr>
        <w:t>E</w:t>
      </w:r>
      <w:r w:rsidR="007A599E" w:rsidRPr="007A599E">
        <w:rPr>
          <w:bCs/>
          <w:lang w:val="fr-FR"/>
        </w:rPr>
        <w:t>.</w:t>
      </w:r>
      <w:r>
        <w:rPr>
          <w:lang w:val="fr-FR"/>
        </w:rPr>
        <w:tab/>
      </w:r>
      <w:r>
        <w:rPr>
          <w:bCs/>
          <w:lang w:val="fr-FR"/>
        </w:rPr>
        <w:t xml:space="preserve">Coopération avec l’Organisation internationale du Travail, </w:t>
      </w:r>
      <w:r w:rsidR="00AA073D">
        <w:rPr>
          <w:bCs/>
          <w:lang w:val="fr-FR"/>
        </w:rPr>
        <w:br/>
      </w:r>
      <w:r>
        <w:rPr>
          <w:bCs/>
          <w:lang w:val="fr-FR"/>
        </w:rPr>
        <w:t xml:space="preserve">le Haut-Commissariat des Nations Unies pour les réfugiés, l’Organisation des Nations Unies pour l’éducation, la science </w:t>
      </w:r>
      <w:r w:rsidR="00AA073D">
        <w:rPr>
          <w:bCs/>
          <w:lang w:val="fr-FR"/>
        </w:rPr>
        <w:br/>
      </w:r>
      <w:r>
        <w:rPr>
          <w:bCs/>
          <w:lang w:val="fr-FR"/>
        </w:rPr>
        <w:t xml:space="preserve">et la culture, les procédures spéciales du Conseil des droits </w:t>
      </w:r>
      <w:r w:rsidR="00AA073D">
        <w:rPr>
          <w:bCs/>
          <w:lang w:val="fr-FR"/>
        </w:rPr>
        <w:br/>
      </w:r>
      <w:r>
        <w:rPr>
          <w:bCs/>
          <w:lang w:val="fr-FR"/>
        </w:rPr>
        <w:t>de l’homme et les mécanismes régionaux des droits de l’homme</w:t>
      </w:r>
      <w:bookmarkStart w:id="48" w:name="_Toc428794281"/>
      <w:bookmarkStart w:id="49" w:name="_Toc17361294"/>
      <w:bookmarkStart w:id="50" w:name="_Toc48752317"/>
      <w:bookmarkStart w:id="51" w:name="_Toc48816870"/>
      <w:bookmarkStart w:id="52" w:name="_Toc81563223"/>
      <w:bookmarkStart w:id="53" w:name="_Toc113263032"/>
      <w:bookmarkStart w:id="54" w:name="_Toc176248179"/>
      <w:bookmarkStart w:id="55" w:name="_Toc176248844"/>
      <w:bookmarkEnd w:id="48"/>
      <w:bookmarkEnd w:id="49"/>
      <w:bookmarkEnd w:id="50"/>
      <w:bookmarkEnd w:id="51"/>
      <w:bookmarkEnd w:id="52"/>
      <w:bookmarkEnd w:id="53"/>
      <w:bookmarkEnd w:id="54"/>
      <w:bookmarkEnd w:id="55"/>
    </w:p>
    <w:p w14:paraId="48E70736" w14:textId="433EF9D0" w:rsidR="005E5363" w:rsidRPr="007E0FB5" w:rsidRDefault="005E5363" w:rsidP="005E5363">
      <w:pPr>
        <w:pStyle w:val="SingleTxtG"/>
      </w:pPr>
      <w:r>
        <w:rPr>
          <w:lang w:val="fr-FR"/>
        </w:rPr>
        <w:t>9</w:t>
      </w:r>
      <w:r w:rsidR="007A599E" w:rsidRPr="007A599E">
        <w:rPr>
          <w:lang w:val="fr-FR"/>
        </w:rPr>
        <w:t>.</w:t>
      </w:r>
      <w:r>
        <w:rPr>
          <w:lang w:val="fr-FR"/>
        </w:rPr>
        <w:tab/>
        <w:t>À ses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le Comité a continué de collaborer avec diverses entités des Nations Unies dans l’accomplissement de son mandat</w:t>
      </w:r>
      <w:r w:rsidR="007A599E" w:rsidRPr="007A599E">
        <w:rPr>
          <w:lang w:val="fr-FR"/>
        </w:rPr>
        <w:t>.</w:t>
      </w:r>
    </w:p>
    <w:p w14:paraId="620C8359" w14:textId="4B868B2E" w:rsidR="005E5363" w:rsidRPr="007E0FB5" w:rsidRDefault="005E5363" w:rsidP="005E5363">
      <w:pPr>
        <w:pStyle w:val="SingleTxtG"/>
      </w:pPr>
      <w:r>
        <w:rPr>
          <w:lang w:val="fr-FR"/>
        </w:rPr>
        <w:t>10</w:t>
      </w:r>
      <w:r w:rsidR="007A599E" w:rsidRPr="007A599E">
        <w:rPr>
          <w:lang w:val="fr-FR"/>
        </w:rPr>
        <w:t>.</w:t>
      </w:r>
      <w:r>
        <w:rPr>
          <w:lang w:val="fr-FR"/>
        </w:rPr>
        <w:tab/>
        <w:t>Le Comité a continué de resserrer sa coopération avec les mécanismes régionaux de protection des droits de l’homme, notamment la Commission européenne contre le racisme et l’intolérance, l’Agence des droits fondamentaux de l’Union européenne, la Commission africaine des droits de l’homme et des peuples et la Commission interaméricaine des droits de l’homme, ainsi qu’avec les mécanismes de l’Organisation des Nations Unies (ONU) chargés des droits de l’homme, par l’intermédiaire de ses coordonnateurs et de son secrétariat</w:t>
      </w:r>
      <w:r w:rsidR="007A599E" w:rsidRPr="007A599E">
        <w:rPr>
          <w:lang w:val="fr-FR"/>
        </w:rPr>
        <w:t>.</w:t>
      </w:r>
      <w:r>
        <w:rPr>
          <w:lang w:val="fr-FR"/>
        </w:rPr>
        <w:t xml:space="preserve"> À l’occasion de la Journée internationale pour l’élimination de la discrimination raciale, il a publié des déclarations communes avec la Commission européenne contre le racisme et l’intolérance et avec d’autres mécanismes de l’ONU chargés des droits de l’homme</w:t>
      </w:r>
      <w:r w:rsidRPr="00803B71">
        <w:rPr>
          <w:rStyle w:val="Appelnotedebasdep"/>
        </w:rPr>
        <w:footnoteReference w:id="8"/>
      </w:r>
      <w:r w:rsidR="007A599E" w:rsidRPr="007A599E">
        <w:rPr>
          <w:lang w:val="fr-FR"/>
        </w:rPr>
        <w:t>.</w:t>
      </w:r>
      <w:r>
        <w:rPr>
          <w:lang w:val="fr-FR"/>
        </w:rPr>
        <w:t xml:space="preserve"> À sa 115</w:t>
      </w:r>
      <w:r>
        <w:rPr>
          <w:vertAlign w:val="superscript"/>
          <w:lang w:val="fr-FR"/>
        </w:rPr>
        <w:t>e</w:t>
      </w:r>
      <w:r>
        <w:rPr>
          <w:lang w:val="fr-FR"/>
        </w:rPr>
        <w:t xml:space="preserve"> session, il a décidé de proposer des activités visant à renforcer la coopération avec les mécanismes régionaux, parmi lesquelles la célébration du soixantième </w:t>
      </w:r>
      <w:r>
        <w:rPr>
          <w:lang w:val="fr-FR"/>
        </w:rPr>
        <w:lastRenderedPageBreak/>
        <w:t>anniversaire de la Convention à la quatre-vingt-cinquième session ordinaire de la Commission africaine des droits de l’homme et des peuples, à Banjul en octobre 2025 ; l’organisation, en marge de cette session, d’éventuelles consultations relatives au projet de recommandation générale sur les réparations ; la participation des mécanismes régionaux à l’événement de haut niveau visant à célébrer l’anniversaire, qui se tiendrait à Genève le 4 décembre 2025</w:t>
      </w:r>
      <w:r w:rsidR="007A599E" w:rsidRPr="007A599E">
        <w:rPr>
          <w:lang w:val="fr-FR"/>
        </w:rPr>
        <w:t>.</w:t>
      </w:r>
    </w:p>
    <w:p w14:paraId="1517DA48" w14:textId="38144141" w:rsidR="005E5363" w:rsidRPr="007E0FB5" w:rsidRDefault="005E5363" w:rsidP="005E5363">
      <w:pPr>
        <w:pStyle w:val="H1G"/>
      </w:pPr>
      <w:bookmarkStart w:id="56" w:name="_Toc428794282"/>
      <w:bookmarkStart w:id="57" w:name="_Toc17361295"/>
      <w:bookmarkStart w:id="58" w:name="_Toc48752318"/>
      <w:bookmarkStart w:id="59" w:name="_Toc48816871"/>
      <w:bookmarkStart w:id="60" w:name="_Toc81563224"/>
      <w:bookmarkStart w:id="61" w:name="_Toc113263033"/>
      <w:r>
        <w:rPr>
          <w:bCs/>
          <w:lang w:val="fr-FR"/>
        </w:rPr>
        <w:tab/>
        <w:t>F</w:t>
      </w:r>
      <w:r w:rsidR="007A599E" w:rsidRPr="007A599E">
        <w:rPr>
          <w:bCs/>
          <w:lang w:val="fr-FR"/>
        </w:rPr>
        <w:t>.</w:t>
      </w:r>
      <w:r>
        <w:rPr>
          <w:lang w:val="fr-FR"/>
        </w:rPr>
        <w:tab/>
      </w:r>
      <w:r>
        <w:rPr>
          <w:bCs/>
          <w:lang w:val="fr-FR"/>
        </w:rPr>
        <w:t>Questions diverses</w:t>
      </w:r>
      <w:bookmarkStart w:id="62" w:name="_Toc176248180"/>
      <w:bookmarkStart w:id="63" w:name="_Toc176248845"/>
      <w:bookmarkEnd w:id="56"/>
      <w:bookmarkEnd w:id="57"/>
      <w:bookmarkEnd w:id="58"/>
      <w:bookmarkEnd w:id="59"/>
      <w:bookmarkEnd w:id="60"/>
      <w:bookmarkEnd w:id="61"/>
      <w:bookmarkEnd w:id="62"/>
      <w:bookmarkEnd w:id="63"/>
    </w:p>
    <w:p w14:paraId="4F1DB3AD" w14:textId="11A67E3A" w:rsidR="005E5363" w:rsidRPr="007E0FB5" w:rsidRDefault="005E5363" w:rsidP="005E5363">
      <w:pPr>
        <w:pStyle w:val="SingleTxtG"/>
      </w:pPr>
      <w:r>
        <w:rPr>
          <w:lang w:val="fr-FR"/>
        </w:rPr>
        <w:t>11</w:t>
      </w:r>
      <w:r w:rsidR="007A599E" w:rsidRPr="007A599E">
        <w:rPr>
          <w:lang w:val="fr-FR"/>
        </w:rPr>
        <w:t>.</w:t>
      </w:r>
      <w:r>
        <w:rPr>
          <w:lang w:val="fr-FR"/>
        </w:rPr>
        <w:tab/>
        <w:t>À sa 115</w:t>
      </w:r>
      <w:r>
        <w:rPr>
          <w:vertAlign w:val="superscript"/>
          <w:lang w:val="fr-FR"/>
        </w:rPr>
        <w:t>e</w:t>
      </w:r>
      <w:r>
        <w:rPr>
          <w:lang w:val="fr-FR"/>
        </w:rPr>
        <w:t> session, le Comité s’est réuni avec les États Parties à la Convention</w:t>
      </w:r>
      <w:r w:rsidR="007A599E" w:rsidRPr="007A599E">
        <w:rPr>
          <w:lang w:val="fr-FR"/>
        </w:rPr>
        <w:t>.</w:t>
      </w:r>
      <w:r>
        <w:rPr>
          <w:lang w:val="fr-FR"/>
        </w:rPr>
        <w:t xml:space="preserve"> Des représentants de plus de 50 États Parties, de l’Union africaine, du Conseil de l’Europe et de l’Union européenne étaient présents</w:t>
      </w:r>
      <w:r w:rsidR="007A599E" w:rsidRPr="007A599E">
        <w:rPr>
          <w:lang w:val="fr-FR"/>
        </w:rPr>
        <w:t>.</w:t>
      </w:r>
      <w:r>
        <w:rPr>
          <w:lang w:val="fr-FR"/>
        </w:rPr>
        <w:t xml:space="preserve"> Le Comité les a informés des dernières évolutions de ses travaux, en particulier des conséquences que la crise de liquidités qui perturbait l’exécution du budget ordinaire avait sur l’ensemble des organes conventionnels des droits de l’homme</w:t>
      </w:r>
      <w:r w:rsidR="007A599E" w:rsidRPr="007A599E">
        <w:rPr>
          <w:lang w:val="fr-FR"/>
        </w:rPr>
        <w:t>.</w:t>
      </w:r>
      <w:r>
        <w:rPr>
          <w:lang w:val="fr-FR"/>
        </w:rPr>
        <w:t xml:space="preserve"> Il a invité les États Parties à présenter leurs rapports dans les délais impartis et à accepter sa compétence pour recevoir et examiner, au titre de l’article 14, les communications émanant de particuliers dénonçant des violations de la Convention</w:t>
      </w:r>
      <w:r w:rsidR="007A599E" w:rsidRPr="007A599E">
        <w:rPr>
          <w:lang w:val="fr-FR"/>
        </w:rPr>
        <w:t>.</w:t>
      </w:r>
      <w:r>
        <w:rPr>
          <w:lang w:val="fr-FR"/>
        </w:rPr>
        <w:t xml:space="preserve"> Il les a en outre invités à participer à la célébration du soixantième anniversaire de la Convention</w:t>
      </w:r>
      <w:r w:rsidR="007A599E" w:rsidRPr="007A599E">
        <w:rPr>
          <w:lang w:val="fr-FR"/>
        </w:rPr>
        <w:t>.</w:t>
      </w:r>
    </w:p>
    <w:p w14:paraId="4182E48A" w14:textId="7B82E264" w:rsidR="005E5363" w:rsidRPr="007E0FB5" w:rsidRDefault="005E5363" w:rsidP="005E5363">
      <w:pPr>
        <w:pStyle w:val="SingleTxtG"/>
      </w:pPr>
      <w:r>
        <w:rPr>
          <w:lang w:val="fr-FR"/>
        </w:rPr>
        <w:t>12</w:t>
      </w:r>
      <w:r w:rsidR="007A599E" w:rsidRPr="007A599E">
        <w:rPr>
          <w:lang w:val="fr-FR"/>
        </w:rPr>
        <w:t>.</w:t>
      </w:r>
      <w:r>
        <w:rPr>
          <w:lang w:val="fr-FR"/>
        </w:rPr>
        <w:tab/>
        <w:t>À ses 114</w:t>
      </w:r>
      <w:r>
        <w:rPr>
          <w:vertAlign w:val="superscript"/>
          <w:lang w:val="fr-FR"/>
        </w:rPr>
        <w:t>e</w:t>
      </w:r>
      <w:r>
        <w:rPr>
          <w:lang w:val="fr-FR"/>
        </w:rPr>
        <w:t xml:space="preserve"> et 115</w:t>
      </w:r>
      <w:r>
        <w:rPr>
          <w:vertAlign w:val="superscript"/>
          <w:lang w:val="fr-FR"/>
        </w:rPr>
        <w:t>e</w:t>
      </w:r>
      <w:r>
        <w:rPr>
          <w:lang w:val="fr-FR"/>
        </w:rPr>
        <w:t> sessions, le Comité a tenu des séances privées avec des organisations de la société civile ayant leur siège à Genève afin de les informer de ses travaux et de discuter du renforcement de leur collaboration</w:t>
      </w:r>
      <w:r w:rsidR="007A599E" w:rsidRPr="007A599E">
        <w:rPr>
          <w:lang w:val="fr-FR"/>
        </w:rPr>
        <w:t>.</w:t>
      </w:r>
      <w:r>
        <w:rPr>
          <w:lang w:val="fr-FR"/>
        </w:rPr>
        <w:t xml:space="preserve"> Des représentants de grandes organisations non gouvernementales qui soutiennent les défenseurs des droits de l’homme œuvrant au niveau local ont participé à ces séances</w:t>
      </w:r>
      <w:r w:rsidR="007A599E" w:rsidRPr="007A599E">
        <w:rPr>
          <w:lang w:val="fr-FR"/>
        </w:rPr>
        <w:t>.</w:t>
      </w:r>
    </w:p>
    <w:p w14:paraId="5586632A" w14:textId="52124B04" w:rsidR="005E5363" w:rsidRPr="007E0FB5" w:rsidRDefault="005E5363" w:rsidP="005E5363">
      <w:pPr>
        <w:pStyle w:val="H1G"/>
      </w:pPr>
      <w:r>
        <w:rPr>
          <w:bCs/>
          <w:lang w:val="fr-FR"/>
        </w:rPr>
        <w:tab/>
        <w:t>G</w:t>
      </w:r>
      <w:r w:rsidR="007A599E" w:rsidRPr="007A599E">
        <w:rPr>
          <w:bCs/>
          <w:lang w:val="fr-FR"/>
        </w:rPr>
        <w:t>.</w:t>
      </w:r>
      <w:r>
        <w:rPr>
          <w:lang w:val="fr-FR"/>
        </w:rPr>
        <w:tab/>
      </w:r>
      <w:r>
        <w:rPr>
          <w:bCs/>
          <w:lang w:val="fr-FR"/>
        </w:rPr>
        <w:t>Adoption du rapport annuel du Comité</w:t>
      </w:r>
      <w:bookmarkStart w:id="64" w:name="_Toc428794283"/>
      <w:bookmarkStart w:id="65" w:name="_Toc17361296"/>
      <w:bookmarkStart w:id="66" w:name="_Toc48752319"/>
      <w:bookmarkStart w:id="67" w:name="_Toc48816872"/>
      <w:bookmarkStart w:id="68" w:name="_Toc81563225"/>
      <w:bookmarkStart w:id="69" w:name="_Toc113263034"/>
      <w:bookmarkStart w:id="70" w:name="_Toc176248181"/>
      <w:bookmarkStart w:id="71" w:name="_Toc176248846"/>
      <w:bookmarkEnd w:id="64"/>
      <w:bookmarkEnd w:id="65"/>
      <w:bookmarkEnd w:id="66"/>
      <w:bookmarkEnd w:id="67"/>
      <w:bookmarkEnd w:id="68"/>
      <w:bookmarkEnd w:id="69"/>
      <w:bookmarkEnd w:id="70"/>
      <w:bookmarkEnd w:id="71"/>
    </w:p>
    <w:p w14:paraId="1F9724B7" w14:textId="784D42FD" w:rsidR="005E5363" w:rsidRPr="007E0FB5" w:rsidRDefault="005E5363" w:rsidP="005E5363">
      <w:pPr>
        <w:pStyle w:val="SingleTxtG"/>
      </w:pPr>
      <w:r>
        <w:rPr>
          <w:lang w:val="fr-FR"/>
        </w:rPr>
        <w:t>13</w:t>
      </w:r>
      <w:r w:rsidR="007A599E" w:rsidRPr="007A599E">
        <w:rPr>
          <w:lang w:val="fr-FR"/>
        </w:rPr>
        <w:t>.</w:t>
      </w:r>
      <w:r>
        <w:rPr>
          <w:lang w:val="fr-FR"/>
        </w:rPr>
        <w:tab/>
        <w:t>En raison de l’annulation de sa session qui aurait dû se tenir du 11 au 29 août 2025, le Comité a adopté son rapport annuel à l’Assemblée générale pendant la période intersessions</w:t>
      </w:r>
      <w:r w:rsidR="007A599E" w:rsidRPr="007A599E">
        <w:rPr>
          <w:lang w:val="fr-FR"/>
        </w:rPr>
        <w:t>.</w:t>
      </w:r>
    </w:p>
    <w:p w14:paraId="04684DE3" w14:textId="77777777" w:rsidR="005E5363" w:rsidRPr="007E0FB5" w:rsidRDefault="005E5363" w:rsidP="005E5363">
      <w:pPr>
        <w:pStyle w:val="SingleTxtG"/>
      </w:pPr>
      <w:r w:rsidRPr="007E0FB5">
        <w:br w:type="page"/>
      </w:r>
    </w:p>
    <w:p w14:paraId="3080A2EE" w14:textId="46FFB1A2" w:rsidR="005E5363" w:rsidRPr="007E0FB5" w:rsidRDefault="005E5363" w:rsidP="005E5363">
      <w:pPr>
        <w:pStyle w:val="HChG"/>
      </w:pPr>
      <w:r>
        <w:rPr>
          <w:bCs/>
          <w:lang w:val="fr-FR"/>
        </w:rPr>
        <w:lastRenderedPageBreak/>
        <w:tab/>
        <w:t>II</w:t>
      </w:r>
      <w:r w:rsidR="007A599E" w:rsidRPr="007A599E">
        <w:rPr>
          <w:bCs/>
          <w:lang w:val="fr-FR"/>
        </w:rPr>
        <w:t>.</w:t>
      </w:r>
      <w:r>
        <w:rPr>
          <w:lang w:val="fr-FR"/>
        </w:rPr>
        <w:tab/>
      </w:r>
      <w:r>
        <w:rPr>
          <w:bCs/>
          <w:lang w:val="fr-FR"/>
        </w:rPr>
        <w:t>Examen de situations au titre des procédures d’alerte rapide et d’intervention d’urgence</w:t>
      </w:r>
      <w:bookmarkStart w:id="72" w:name="_Toc428794284"/>
      <w:bookmarkStart w:id="73" w:name="_Toc17361297"/>
      <w:bookmarkStart w:id="74" w:name="_Toc48752320"/>
      <w:bookmarkStart w:id="75" w:name="_Toc48816873"/>
      <w:bookmarkStart w:id="76" w:name="_Toc81563226"/>
      <w:bookmarkStart w:id="77" w:name="_Toc113263035"/>
      <w:bookmarkStart w:id="78" w:name="_Toc176248182"/>
      <w:bookmarkStart w:id="79" w:name="_Toc176248847"/>
      <w:bookmarkEnd w:id="72"/>
      <w:bookmarkEnd w:id="73"/>
      <w:bookmarkEnd w:id="74"/>
      <w:bookmarkEnd w:id="75"/>
      <w:bookmarkEnd w:id="76"/>
      <w:bookmarkEnd w:id="77"/>
      <w:bookmarkEnd w:id="78"/>
      <w:bookmarkEnd w:id="79"/>
    </w:p>
    <w:p w14:paraId="51F75768" w14:textId="216046A3" w:rsidR="005E5363" w:rsidRPr="007E0FB5" w:rsidRDefault="005E5363" w:rsidP="005E5363">
      <w:pPr>
        <w:pStyle w:val="SingleTxtG"/>
      </w:pPr>
      <w:r>
        <w:rPr>
          <w:lang w:val="fr-FR"/>
        </w:rPr>
        <w:t>14</w:t>
      </w:r>
      <w:r w:rsidR="007A599E" w:rsidRPr="007A599E">
        <w:rPr>
          <w:lang w:val="fr-FR"/>
        </w:rPr>
        <w:t>.</w:t>
      </w:r>
      <w:r>
        <w:rPr>
          <w:lang w:val="fr-FR"/>
        </w:rPr>
        <w:tab/>
        <w:t>Les travaux que le Comité mène au titre de ses procédures d’alerte rapide et d’intervention d’urgence ont pour but de prévenir les violations graves de la Convention et d’intervenir en cas de violation</w:t>
      </w:r>
      <w:r w:rsidR="007A599E" w:rsidRPr="007A599E">
        <w:rPr>
          <w:lang w:val="fr-FR"/>
        </w:rPr>
        <w:t>.</w:t>
      </w:r>
      <w:r>
        <w:rPr>
          <w:lang w:val="fr-FR"/>
        </w:rPr>
        <w:t xml:space="preserve"> Le Comité a créé le Groupe de travail sur les procédures d’alerte rapide et d’intervention d’urgence à sa soixante-cinquième session, en août 2004</w:t>
      </w:r>
      <w:r w:rsidR="007A599E" w:rsidRPr="007A599E">
        <w:rPr>
          <w:lang w:val="fr-FR"/>
        </w:rPr>
        <w:t>.</w:t>
      </w:r>
      <w:r>
        <w:rPr>
          <w:lang w:val="fr-FR"/>
        </w:rPr>
        <w:t xml:space="preserve"> Les travaux du Comité et du Groupe de travail sont fondés sur les directives adoptées par le Comité à sa soixante et onzième session, en août 2007 (</w:t>
      </w:r>
      <w:hyperlink r:id="rId31" w:history="1">
        <w:r w:rsidRPr="00803B71">
          <w:rPr>
            <w:rStyle w:val="Lienhypertexte"/>
            <w:lang w:val="fr-FR"/>
          </w:rPr>
          <w:t>A/62/18</w:t>
        </w:r>
      </w:hyperlink>
      <w:r>
        <w:rPr>
          <w:lang w:val="fr-FR"/>
        </w:rPr>
        <w:t>, annexe III)</w:t>
      </w:r>
      <w:r w:rsidR="007A599E" w:rsidRPr="007A599E">
        <w:rPr>
          <w:lang w:val="fr-FR"/>
        </w:rPr>
        <w:t>.</w:t>
      </w:r>
      <w:hyperlink r:id="rId32" w:history="1"/>
    </w:p>
    <w:p w14:paraId="18E10D8C" w14:textId="1820A516" w:rsidR="005E5363" w:rsidRPr="007E0FB5" w:rsidRDefault="005E5363" w:rsidP="005E5363">
      <w:pPr>
        <w:pStyle w:val="SingleTxtG"/>
      </w:pPr>
      <w:r>
        <w:rPr>
          <w:lang w:val="fr-FR"/>
        </w:rPr>
        <w:t>15</w:t>
      </w:r>
      <w:r w:rsidR="007A599E" w:rsidRPr="007A599E">
        <w:rPr>
          <w:lang w:val="fr-FR"/>
        </w:rPr>
        <w:t>.</w:t>
      </w:r>
      <w:r>
        <w:rPr>
          <w:lang w:val="fr-FR"/>
        </w:rPr>
        <w:tab/>
        <w:t>Depuis 2003, le Comité a pris 293 mesures au titre des procédures d’alerte rapide et d’intervention d’urgence</w:t>
      </w:r>
      <w:r w:rsidR="000569FE">
        <w:rPr>
          <w:lang w:val="fr-FR"/>
        </w:rPr>
        <w:t> </w:t>
      </w:r>
      <w:r>
        <w:rPr>
          <w:lang w:val="fr-FR"/>
        </w:rPr>
        <w:t xml:space="preserve">: il a envoyé 246 lettres, adressées à des États Parties, à des organisations </w:t>
      </w:r>
      <w:proofErr w:type="spellStart"/>
      <w:r>
        <w:rPr>
          <w:lang w:val="fr-FR"/>
        </w:rPr>
        <w:t>intergouvernementales</w:t>
      </w:r>
      <w:proofErr w:type="spellEnd"/>
      <w:r>
        <w:rPr>
          <w:lang w:val="fr-FR"/>
        </w:rPr>
        <w:t xml:space="preserve"> régionales et à des mécanismes de protection des droits de l’homme, a fait 19 déclarations et a pris 28 décisions</w:t>
      </w:r>
      <w:r w:rsidR="007A599E" w:rsidRPr="007A599E">
        <w:rPr>
          <w:lang w:val="fr-FR"/>
        </w:rPr>
        <w:t>.</w:t>
      </w:r>
      <w:r>
        <w:rPr>
          <w:lang w:val="fr-FR"/>
        </w:rPr>
        <w:t xml:space="preserve"> Parmi ces mesures, 42 concernaient des États Parties d’Afrique, 72 des États Parties d’Asie et du Pacifique, 17 des États Parties d’Europe orientale, 86 des États Parties d’Amérique latine et des Caraïbes, 69 des États Parties d’Europe occidentale et d’autres États, 2 le Conseil de l’Europe et l’Union européenne et 5 portaient sur des questions thématiques intéressant tous les États Parties</w:t>
      </w:r>
      <w:r w:rsidR="007A599E" w:rsidRPr="007A599E">
        <w:rPr>
          <w:lang w:val="fr-FR"/>
        </w:rPr>
        <w:t>.</w:t>
      </w:r>
      <w:r>
        <w:rPr>
          <w:lang w:val="fr-FR"/>
        </w:rPr>
        <w:t xml:space="preserve"> </w:t>
      </w:r>
    </w:p>
    <w:p w14:paraId="0CD16265" w14:textId="7C4C6D60" w:rsidR="005E5363" w:rsidRPr="007E0FB5" w:rsidRDefault="005E5363" w:rsidP="005E5363">
      <w:pPr>
        <w:pStyle w:val="SingleTxtG"/>
        <w:rPr>
          <w:rFonts w:asciiTheme="majorBidi" w:hAnsiTheme="majorBidi" w:cstheme="majorBidi"/>
        </w:rPr>
      </w:pPr>
      <w:r>
        <w:rPr>
          <w:lang w:val="fr-FR"/>
        </w:rPr>
        <w:t>16</w:t>
      </w:r>
      <w:r w:rsidR="007A599E" w:rsidRPr="007A599E">
        <w:rPr>
          <w:lang w:val="fr-FR"/>
        </w:rPr>
        <w:t>.</w:t>
      </w:r>
      <w:r>
        <w:rPr>
          <w:lang w:val="fr-FR"/>
        </w:rPr>
        <w:tab/>
        <w:t>Au cours de la période allant du 1</w:t>
      </w:r>
      <w:r>
        <w:rPr>
          <w:vertAlign w:val="superscript"/>
          <w:lang w:val="fr-FR"/>
        </w:rPr>
        <w:t>er</w:t>
      </w:r>
      <w:r>
        <w:rPr>
          <w:lang w:val="fr-FR"/>
        </w:rPr>
        <w:t> janvier 2015 au 1</w:t>
      </w:r>
      <w:r>
        <w:rPr>
          <w:vertAlign w:val="superscript"/>
          <w:lang w:val="fr-FR"/>
        </w:rPr>
        <w:t>er</w:t>
      </w:r>
      <w:r>
        <w:rPr>
          <w:lang w:val="fr-FR"/>
        </w:rPr>
        <w:t> septembre 2025, le Comité a envoyé 130 lettres aux États Parties et a adopté 176 déclarations et 11 décisions, guidé par les indicateurs définis dans les directives applicables aux procédures d’alerte rapide et d’intervention d’urgence</w:t>
      </w:r>
      <w:r w:rsidR="007A599E" w:rsidRPr="007A599E">
        <w:rPr>
          <w:lang w:val="fr-FR"/>
        </w:rPr>
        <w:t>.</w:t>
      </w:r>
      <w:r>
        <w:rPr>
          <w:lang w:val="fr-FR"/>
        </w:rPr>
        <w:t xml:space="preserve"> Quatorze déclarations étaient liées ou partiellement liées à l’existence de plusieurs éléments indiquant une escalade de la haine et de la violence raciales, cinq déclarations portaient sur des pratiques étendues et persistantes de discrimination raciale et une déclaration concernait un afflux important de réfugiés ou de personnes déplacées trouvant sa source dans la discrimination raciale</w:t>
      </w:r>
      <w:r w:rsidR="007A599E" w:rsidRPr="007A599E">
        <w:rPr>
          <w:lang w:val="fr-FR"/>
        </w:rPr>
        <w:t>.</w:t>
      </w:r>
      <w:r>
        <w:rPr>
          <w:lang w:val="fr-FR"/>
        </w:rPr>
        <w:t xml:space="preserve"> Huit décisions étaient liées ou partiellement liées à l’existence de plusieurs éléments indiquant une escalade de la haine et de la violence raciales, deux décisions concernaient l’empiétement sur les terres traditionnelles de peuples autochtones ou l’expulsion forcée de ces peuples de leurs terres aux fins d’exploitation des ressources naturelles, une décision avait trait à des pratiques étendues et persistantes de discrimination raciale, une était liée à l’adoption de lois discriminatoires et une, enfin, concernait des politiques de ségrégation et l’exclusion de facto des membres d’un groupe de la vie politique, économique, sociale et culturelle</w:t>
      </w:r>
      <w:r w:rsidR="007A599E" w:rsidRPr="007A599E">
        <w:rPr>
          <w:lang w:val="fr-FR"/>
        </w:rPr>
        <w:t>.</w:t>
      </w:r>
    </w:p>
    <w:p w14:paraId="57B86873" w14:textId="5D34F151" w:rsidR="005E5363" w:rsidRPr="007E0FB5" w:rsidRDefault="005E5363" w:rsidP="005E5363">
      <w:pPr>
        <w:pStyle w:val="SingleTxtG"/>
      </w:pPr>
      <w:r>
        <w:rPr>
          <w:lang w:val="fr-FR"/>
        </w:rPr>
        <w:t>17</w:t>
      </w:r>
      <w:r w:rsidR="007A599E" w:rsidRPr="007A599E">
        <w:rPr>
          <w:lang w:val="fr-FR"/>
        </w:rPr>
        <w:t>.</w:t>
      </w:r>
      <w:r>
        <w:rPr>
          <w:lang w:val="fr-FR"/>
        </w:rPr>
        <w:tab/>
        <w:t>Aux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du Comité, le Groupe de travail était composé comme suit :</w:t>
      </w:r>
    </w:p>
    <w:p w14:paraId="588BE09D" w14:textId="77777777" w:rsidR="005E5363" w:rsidRPr="007E0FB5" w:rsidRDefault="005E5363" w:rsidP="005E5363">
      <w:pPr>
        <w:pStyle w:val="SingleTxtG"/>
        <w:tabs>
          <w:tab w:val="clear" w:pos="2268"/>
        </w:tabs>
        <w:ind w:left="3969" w:hanging="2268"/>
      </w:pPr>
      <w:r>
        <w:rPr>
          <w:i/>
          <w:iCs/>
          <w:lang w:val="fr-FR"/>
        </w:rPr>
        <w:t>Coordonnateur </w:t>
      </w:r>
      <w:r>
        <w:rPr>
          <w:lang w:val="fr-FR"/>
        </w:rPr>
        <w:t>:</w:t>
      </w:r>
      <w:r>
        <w:rPr>
          <w:lang w:val="fr-FR"/>
        </w:rPr>
        <w:tab/>
        <w:t xml:space="preserve">Ibrahima </w:t>
      </w:r>
      <w:proofErr w:type="spellStart"/>
      <w:r>
        <w:rPr>
          <w:lang w:val="fr-FR"/>
        </w:rPr>
        <w:t>Guissé</w:t>
      </w:r>
      <w:proofErr w:type="spellEnd"/>
    </w:p>
    <w:p w14:paraId="0934C2E7" w14:textId="77777777" w:rsidR="005E5363" w:rsidRPr="007E0FB5" w:rsidRDefault="005E5363" w:rsidP="00117B2A">
      <w:pPr>
        <w:pStyle w:val="SingleTxtG"/>
        <w:tabs>
          <w:tab w:val="clear" w:pos="2268"/>
          <w:tab w:val="clear" w:pos="2835"/>
        </w:tabs>
        <w:ind w:left="3969" w:hanging="2268"/>
      </w:pPr>
      <w:r>
        <w:rPr>
          <w:i/>
          <w:iCs/>
          <w:lang w:val="fr-FR"/>
        </w:rPr>
        <w:t>Membres </w:t>
      </w:r>
      <w:r w:rsidRPr="000569FE">
        <w:rPr>
          <w:lang w:val="fr-FR"/>
        </w:rPr>
        <w:t>:</w:t>
      </w:r>
      <w:r>
        <w:rPr>
          <w:lang w:val="fr-FR"/>
        </w:rPr>
        <w:tab/>
      </w:r>
      <w:proofErr w:type="spellStart"/>
      <w:r>
        <w:rPr>
          <w:lang w:val="fr-FR"/>
        </w:rPr>
        <w:t>Bakari</w:t>
      </w:r>
      <w:proofErr w:type="spellEnd"/>
      <w:r>
        <w:rPr>
          <w:lang w:val="fr-FR"/>
        </w:rPr>
        <w:t xml:space="preserve"> Sidiki Diaby</w:t>
      </w:r>
    </w:p>
    <w:p w14:paraId="4825BF8E" w14:textId="77777777" w:rsidR="005E5363" w:rsidRPr="007E0FB5" w:rsidRDefault="005E5363" w:rsidP="005E5363">
      <w:pPr>
        <w:pStyle w:val="SingleTxtG"/>
        <w:tabs>
          <w:tab w:val="clear" w:pos="2268"/>
        </w:tabs>
        <w:ind w:left="3969" w:hanging="2268"/>
        <w:rPr>
          <w:lang w:val="es-ES"/>
        </w:rPr>
      </w:pPr>
      <w:r>
        <w:rPr>
          <w:lang w:val="fr-FR"/>
        </w:rPr>
        <w:tab/>
      </w:r>
      <w:r>
        <w:rPr>
          <w:lang w:val="fr-FR"/>
        </w:rPr>
        <w:tab/>
      </w:r>
      <w:proofErr w:type="spellStart"/>
      <w:r w:rsidRPr="007E0FB5">
        <w:rPr>
          <w:lang w:val="es-ES"/>
        </w:rPr>
        <w:t>Jian</w:t>
      </w:r>
      <w:proofErr w:type="spellEnd"/>
      <w:r w:rsidRPr="007E0FB5">
        <w:rPr>
          <w:lang w:val="es-ES"/>
        </w:rPr>
        <w:t xml:space="preserve"> Guan</w:t>
      </w:r>
    </w:p>
    <w:p w14:paraId="6B3287CB" w14:textId="77777777" w:rsidR="005E5363" w:rsidRPr="007E0FB5" w:rsidRDefault="005E5363" w:rsidP="005E5363">
      <w:pPr>
        <w:pStyle w:val="SingleTxtG"/>
        <w:tabs>
          <w:tab w:val="clear" w:pos="2268"/>
        </w:tabs>
        <w:ind w:left="3969" w:hanging="2268"/>
        <w:rPr>
          <w:lang w:val="es-ES"/>
        </w:rPr>
      </w:pPr>
      <w:r w:rsidRPr="007E0FB5">
        <w:rPr>
          <w:lang w:val="es-ES"/>
        </w:rPr>
        <w:tab/>
      </w:r>
      <w:r w:rsidRPr="007E0FB5">
        <w:rPr>
          <w:lang w:val="es-ES"/>
        </w:rPr>
        <w:tab/>
      </w:r>
      <w:proofErr w:type="spellStart"/>
      <w:r w:rsidRPr="007E0FB5">
        <w:rPr>
          <w:lang w:val="es-ES"/>
        </w:rPr>
        <w:t>Chrispine</w:t>
      </w:r>
      <w:proofErr w:type="spellEnd"/>
      <w:r w:rsidRPr="007E0FB5">
        <w:rPr>
          <w:lang w:val="es-ES"/>
        </w:rPr>
        <w:t xml:space="preserve"> </w:t>
      </w:r>
      <w:proofErr w:type="spellStart"/>
      <w:r w:rsidRPr="007E0FB5">
        <w:rPr>
          <w:lang w:val="es-ES"/>
        </w:rPr>
        <w:t>Gwalawala</w:t>
      </w:r>
      <w:proofErr w:type="spellEnd"/>
      <w:r w:rsidRPr="007E0FB5">
        <w:rPr>
          <w:lang w:val="es-ES"/>
        </w:rPr>
        <w:t xml:space="preserve"> </w:t>
      </w:r>
      <w:proofErr w:type="spellStart"/>
      <w:r w:rsidRPr="007E0FB5">
        <w:rPr>
          <w:lang w:val="es-ES"/>
        </w:rPr>
        <w:t>Sibande</w:t>
      </w:r>
      <w:proofErr w:type="spellEnd"/>
    </w:p>
    <w:p w14:paraId="0C907574" w14:textId="77777777" w:rsidR="005E5363" w:rsidRPr="007E0FB5" w:rsidRDefault="005E5363" w:rsidP="005E5363">
      <w:pPr>
        <w:pStyle w:val="SingleTxtG"/>
        <w:tabs>
          <w:tab w:val="clear" w:pos="2268"/>
        </w:tabs>
        <w:ind w:left="3969" w:hanging="2268"/>
        <w:rPr>
          <w:lang w:val="es-ES"/>
        </w:rPr>
      </w:pPr>
      <w:r w:rsidRPr="007E0FB5">
        <w:rPr>
          <w:lang w:val="es-ES"/>
        </w:rPr>
        <w:tab/>
      </w:r>
      <w:r w:rsidRPr="007E0FB5">
        <w:rPr>
          <w:lang w:val="es-ES"/>
        </w:rPr>
        <w:tab/>
      </w:r>
      <w:proofErr w:type="spellStart"/>
      <w:r w:rsidRPr="007E0FB5">
        <w:rPr>
          <w:lang w:val="es-ES"/>
        </w:rPr>
        <w:t>Mazalo</w:t>
      </w:r>
      <w:proofErr w:type="spellEnd"/>
      <w:r w:rsidRPr="007E0FB5">
        <w:rPr>
          <w:lang w:val="es-ES"/>
        </w:rPr>
        <w:t xml:space="preserve"> </w:t>
      </w:r>
      <w:proofErr w:type="spellStart"/>
      <w:r w:rsidRPr="007E0FB5">
        <w:rPr>
          <w:lang w:val="es-ES"/>
        </w:rPr>
        <w:t>Tebie</w:t>
      </w:r>
      <w:proofErr w:type="spellEnd"/>
    </w:p>
    <w:p w14:paraId="1CF69C9D" w14:textId="77777777" w:rsidR="005E5363" w:rsidRPr="007E0FB5" w:rsidRDefault="005E5363" w:rsidP="005E5363">
      <w:pPr>
        <w:pStyle w:val="SingleTxtG"/>
        <w:tabs>
          <w:tab w:val="clear" w:pos="2268"/>
        </w:tabs>
        <w:ind w:left="3969" w:hanging="2268"/>
      </w:pPr>
      <w:r w:rsidRPr="007E0FB5">
        <w:rPr>
          <w:lang w:val="es-ES"/>
        </w:rPr>
        <w:tab/>
      </w:r>
      <w:r w:rsidRPr="007E0FB5">
        <w:rPr>
          <w:lang w:val="es-ES"/>
        </w:rPr>
        <w:tab/>
      </w:r>
      <w:proofErr w:type="spellStart"/>
      <w:r>
        <w:rPr>
          <w:lang w:val="fr-FR"/>
        </w:rPr>
        <w:t>Abderrahman</w:t>
      </w:r>
      <w:proofErr w:type="spellEnd"/>
      <w:r>
        <w:rPr>
          <w:lang w:val="fr-FR"/>
        </w:rPr>
        <w:t xml:space="preserve"> </w:t>
      </w:r>
      <w:proofErr w:type="spellStart"/>
      <w:r>
        <w:rPr>
          <w:lang w:val="fr-FR"/>
        </w:rPr>
        <w:t>Tlemçani</w:t>
      </w:r>
      <w:proofErr w:type="spellEnd"/>
    </w:p>
    <w:p w14:paraId="3BE2F2BA" w14:textId="24B37ABF" w:rsidR="005E5363" w:rsidRPr="007E0FB5" w:rsidRDefault="005E5363" w:rsidP="005E5363">
      <w:pPr>
        <w:pStyle w:val="SingleTxtG"/>
      </w:pPr>
      <w:r>
        <w:rPr>
          <w:lang w:val="fr-FR"/>
        </w:rPr>
        <w:t>18</w:t>
      </w:r>
      <w:r w:rsidR="007A599E" w:rsidRPr="007A599E">
        <w:rPr>
          <w:lang w:val="fr-FR"/>
        </w:rPr>
        <w:t>.</w:t>
      </w:r>
      <w:r>
        <w:rPr>
          <w:lang w:val="fr-FR"/>
        </w:rPr>
        <w:tab/>
        <w:t>Au cours de la période considérée, le Comité a adopté une décision, publié deux déclarations et envoyé 22 lettres publiques</w:t>
      </w:r>
      <w:r w:rsidRPr="00803B71">
        <w:rPr>
          <w:rStyle w:val="Appelnotedebasdep"/>
        </w:rPr>
        <w:footnoteReference w:id="9"/>
      </w:r>
      <w:r w:rsidR="007A599E" w:rsidRPr="007A599E">
        <w:rPr>
          <w:lang w:val="fr-FR"/>
        </w:rPr>
        <w:t>.</w:t>
      </w:r>
    </w:p>
    <w:p w14:paraId="0C868C2F" w14:textId="7686FF5B" w:rsidR="005E5363" w:rsidRPr="007E0FB5" w:rsidRDefault="005E5363" w:rsidP="005E5363">
      <w:pPr>
        <w:pStyle w:val="H1G"/>
      </w:pPr>
      <w:r>
        <w:rPr>
          <w:bCs/>
          <w:lang w:val="fr-FR"/>
        </w:rPr>
        <w:tab/>
        <w:t>A</w:t>
      </w:r>
      <w:r w:rsidR="007A599E" w:rsidRPr="007A599E">
        <w:rPr>
          <w:bCs/>
          <w:lang w:val="fr-FR"/>
        </w:rPr>
        <w:t>.</w:t>
      </w:r>
      <w:r>
        <w:rPr>
          <w:lang w:val="fr-FR"/>
        </w:rPr>
        <w:tab/>
      </w:r>
      <w:r>
        <w:rPr>
          <w:bCs/>
          <w:lang w:val="fr-FR"/>
        </w:rPr>
        <w:t>Décision</w:t>
      </w:r>
      <w:bookmarkStart w:id="80" w:name="_Toc176248183"/>
      <w:bookmarkStart w:id="81" w:name="_Toc176248848"/>
      <w:bookmarkEnd w:id="80"/>
      <w:bookmarkEnd w:id="81"/>
    </w:p>
    <w:p w14:paraId="20BCACE9" w14:textId="7FD925FB" w:rsidR="005E5363" w:rsidRPr="007E0FB5" w:rsidRDefault="005E5363" w:rsidP="005E5363">
      <w:pPr>
        <w:pStyle w:val="SingleTxtG"/>
      </w:pPr>
      <w:r>
        <w:rPr>
          <w:lang w:val="fr-FR"/>
        </w:rPr>
        <w:t>19</w:t>
      </w:r>
      <w:r w:rsidR="007A599E" w:rsidRPr="007A599E">
        <w:rPr>
          <w:lang w:val="fr-FR"/>
        </w:rPr>
        <w:t>.</w:t>
      </w:r>
      <w:r>
        <w:rPr>
          <w:lang w:val="fr-FR"/>
        </w:rPr>
        <w:tab/>
        <w:t>Dans sa décision </w:t>
      </w:r>
      <w:r w:rsidRPr="00117B2A">
        <w:rPr>
          <w:lang w:val="fr-FR"/>
        </w:rPr>
        <w:t>2 (2024)</w:t>
      </w:r>
      <w:r>
        <w:rPr>
          <w:lang w:val="fr-FR"/>
        </w:rPr>
        <w:t xml:space="preserve"> du 12 décembre 2024 concernant Israël et l’État de Palestine</w:t>
      </w:r>
      <w:r w:rsidRPr="00803B71">
        <w:rPr>
          <w:rStyle w:val="Appelnotedebasdep"/>
        </w:rPr>
        <w:footnoteReference w:id="10"/>
      </w:r>
      <w:r>
        <w:rPr>
          <w:lang w:val="fr-FR"/>
        </w:rPr>
        <w:t>, le Comité a rappelé sa déclaration </w:t>
      </w:r>
      <w:r w:rsidRPr="00117B2A">
        <w:rPr>
          <w:lang w:val="fr-FR"/>
        </w:rPr>
        <w:t>5 (2023)</w:t>
      </w:r>
      <w:r>
        <w:rPr>
          <w:lang w:val="fr-FR"/>
        </w:rPr>
        <w:t xml:space="preserve"> du 27 octobre 2023 et sa décision </w:t>
      </w:r>
      <w:r w:rsidRPr="00117B2A">
        <w:rPr>
          <w:lang w:val="fr-FR"/>
        </w:rPr>
        <w:t>2 (2023)</w:t>
      </w:r>
      <w:r>
        <w:rPr>
          <w:lang w:val="fr-FR"/>
        </w:rPr>
        <w:t xml:space="preserve"> du 21 décembre 2023</w:t>
      </w:r>
      <w:r w:rsidR="007A599E" w:rsidRPr="007A599E">
        <w:rPr>
          <w:lang w:val="fr-FR"/>
        </w:rPr>
        <w:t>.</w:t>
      </w:r>
      <w:r>
        <w:rPr>
          <w:lang w:val="fr-FR"/>
        </w:rPr>
        <w:t xml:space="preserve"> Il a également rappelé le rapport de la commission de </w:t>
      </w:r>
      <w:r>
        <w:rPr>
          <w:lang w:val="fr-FR"/>
        </w:rPr>
        <w:lastRenderedPageBreak/>
        <w:t>conciliation ad hoc chargée d’examiner la communication interétatique soumise par l’État de Palestine contre Israël au titre de l’article 11 de la Convention (</w:t>
      </w:r>
      <w:hyperlink r:id="rId33" w:history="1">
        <w:r w:rsidRPr="00803B71">
          <w:rPr>
            <w:rStyle w:val="Lienhypertexte"/>
            <w:lang w:val="fr-FR"/>
          </w:rPr>
          <w:t>CERD/C/113/3</w:t>
        </w:r>
      </w:hyperlink>
      <w:r>
        <w:rPr>
          <w:lang w:val="fr-FR"/>
        </w:rPr>
        <w:t xml:space="preserve">, </w:t>
      </w:r>
      <w:hyperlink r:id="rId34" w:history="1">
        <w:r w:rsidRPr="00803B71">
          <w:rPr>
            <w:rStyle w:val="Lienhypertexte"/>
            <w:lang w:val="fr-FR"/>
          </w:rPr>
          <w:t>CERD/C/113/3/Add</w:t>
        </w:r>
        <w:r w:rsidR="007A599E" w:rsidRPr="007A599E">
          <w:rPr>
            <w:rStyle w:val="Lienhypertexte"/>
            <w:lang w:val="fr-FR"/>
          </w:rPr>
          <w:t>.</w:t>
        </w:r>
        <w:r w:rsidRPr="00803B71">
          <w:rPr>
            <w:rStyle w:val="Lienhypertexte"/>
            <w:lang w:val="fr-FR"/>
          </w:rPr>
          <w:t>1</w:t>
        </w:r>
      </w:hyperlink>
      <w:r>
        <w:rPr>
          <w:lang w:val="fr-FR"/>
        </w:rPr>
        <w:t xml:space="preserve"> et </w:t>
      </w:r>
      <w:hyperlink r:id="rId35" w:history="1">
        <w:r w:rsidRPr="00803B71">
          <w:rPr>
            <w:rStyle w:val="Lienhypertexte"/>
            <w:lang w:val="fr-FR"/>
          </w:rPr>
          <w:t>CERD/C/113/3/Add</w:t>
        </w:r>
        <w:r w:rsidR="007A599E" w:rsidRPr="007A599E">
          <w:rPr>
            <w:rStyle w:val="Lienhypertexte"/>
            <w:lang w:val="fr-FR"/>
          </w:rPr>
          <w:t>.</w:t>
        </w:r>
        <w:r w:rsidRPr="00803B71">
          <w:rPr>
            <w:rStyle w:val="Lienhypertexte"/>
            <w:lang w:val="fr-FR"/>
          </w:rPr>
          <w:t>2</w:t>
        </w:r>
      </w:hyperlink>
      <w:r>
        <w:rPr>
          <w:lang w:val="fr-FR"/>
        </w:rPr>
        <w:t>) et les recommandations qui y étaient formulées, notamment les conclusions selon lesquelles il était essentiel que le droit des Palestiniens à disposer d’eux-mêmes soit garanti pour qu’une paix durable puisse exister entre Israël et l’État de Palestine et que les deux communautés puissent jouir de tous les droits consacrés par la Convention, et celles selon lesquelles Israël, Puissance occupante, avait le devoir de veiller à ce qu’il n’y ait pas de discrimination raciale ou de précarité et à ce que des perspectives d’</w:t>
      </w:r>
      <w:proofErr w:type="spellStart"/>
      <w:r>
        <w:rPr>
          <w:lang w:val="fr-FR"/>
        </w:rPr>
        <w:t>autodétermination</w:t>
      </w:r>
      <w:proofErr w:type="spellEnd"/>
      <w:r>
        <w:rPr>
          <w:lang w:val="fr-FR"/>
        </w:rPr>
        <w:t xml:space="preserve"> existent ainsi que la responsabilité absolue de protéger les civils dans le cadre des opérations militaires qu’elle menait dans le Territoire palestinien occupé</w:t>
      </w:r>
      <w:r w:rsidR="007A599E" w:rsidRPr="007A599E">
        <w:rPr>
          <w:lang w:val="fr-FR"/>
        </w:rPr>
        <w:t>.</w:t>
      </w:r>
      <w:hyperlink r:id="rId36" w:history="1"/>
      <w:hyperlink r:id="rId37" w:history="1"/>
      <w:hyperlink r:id="rId38" w:history="1"/>
    </w:p>
    <w:p w14:paraId="01422537" w14:textId="437215C9" w:rsidR="005E5363" w:rsidRPr="007E0FB5" w:rsidRDefault="005E5363" w:rsidP="005E5363">
      <w:pPr>
        <w:pStyle w:val="SingleTxtG"/>
      </w:pPr>
      <w:r>
        <w:rPr>
          <w:lang w:val="fr-FR"/>
        </w:rPr>
        <w:t>20</w:t>
      </w:r>
      <w:r w:rsidR="007A599E" w:rsidRPr="007A599E">
        <w:rPr>
          <w:lang w:val="fr-FR"/>
        </w:rPr>
        <w:t>.</w:t>
      </w:r>
      <w:r>
        <w:rPr>
          <w:lang w:val="fr-FR"/>
        </w:rPr>
        <w:tab/>
        <w:t>Le Comité s’est dit alarmé par le mépris flagrant d’Israël à l’égard de ses décisions et recommandations, des recommandations de la commission de conciliation ad hoc, des diverses ordonnances juridiquement contraignantes en indication de mesures conservatoires rendues par la Cour internationale de Justice, de l’avis consultatif rendu par cette dernière le 19 juillet 2024 et des recommandations figurant dans des rapports récents du Comité spécial chargé d’enquêter sur les pratiques israéliennes affectant les droits de l’homme du peuple palestinien et des autres Arabes des territoires occupés, du Haut-Commissaire des Nations Unies aux droits de l’homme, de la Commission internationale indépendante chargée d’enquêter dans le Territoire palestinien occupé, y compris Jérusalem-Est, et en Israël, de la Rapporteuse spéciale sur la situation des droits de l’homme dans les territoires palestiniens occupés depuis 1967 et d’autres mécanismes de protection des droits de l’homme</w:t>
      </w:r>
      <w:r w:rsidR="007A599E" w:rsidRPr="007A599E">
        <w:rPr>
          <w:lang w:val="fr-FR"/>
        </w:rPr>
        <w:t>.</w:t>
      </w:r>
    </w:p>
    <w:p w14:paraId="619A55CB" w14:textId="4DDA4A4A" w:rsidR="005E5363" w:rsidRPr="007E0FB5" w:rsidRDefault="005E5363" w:rsidP="005E5363">
      <w:pPr>
        <w:pStyle w:val="SingleTxtG"/>
      </w:pPr>
      <w:r>
        <w:rPr>
          <w:lang w:val="fr-FR"/>
        </w:rPr>
        <w:t>21</w:t>
      </w:r>
      <w:r w:rsidR="007A599E" w:rsidRPr="007A599E">
        <w:rPr>
          <w:lang w:val="fr-FR"/>
        </w:rPr>
        <w:t>.</w:t>
      </w:r>
      <w:r>
        <w:rPr>
          <w:lang w:val="fr-FR"/>
        </w:rPr>
        <w:tab/>
        <w:t xml:space="preserve">Le Comité s’est dit consterné par les attaques brutales perpétrées sans discrimination contre des femmes, des enfants et des hommes innocents, principalement dans la bande de Gaza, et par le fait que plus de 44 500 Palestiniens avaient été tués, plus de 105 000 avaient été blessés et plus de 10 000 étaient portés disparus ou piégés sous les décombres ; par la destruction délibérée et presque totale des habitations et d’autres infrastructures protégées telles que les hôpitaux et les écoles ; par le déplacement de quelque 1,9 million de Palestiniens à Gaza ; par l’ampleur sans précédent de la famine qui sévissait à Gaza, où plus de 1,2 million de personnes faisaient face à une insécurité alimentaire catastrophique ou relevant de l’urgence ; par la mort d’au moins 343 travailleurs humanitaires, dont 253 membres du personnel des Nations Unies, de 1 047 agents de santé et de 88 agents de la protection civile dans l’exercice de leurs fonctions ainsi que de 183 journalistes et professionnels des </w:t>
      </w:r>
      <w:proofErr w:type="spellStart"/>
      <w:r>
        <w:rPr>
          <w:lang w:val="fr-FR"/>
        </w:rPr>
        <w:t>médias</w:t>
      </w:r>
      <w:proofErr w:type="spellEnd"/>
      <w:r w:rsidR="007A599E" w:rsidRPr="007A599E">
        <w:rPr>
          <w:lang w:val="fr-FR"/>
        </w:rPr>
        <w:t>.</w:t>
      </w:r>
      <w:r>
        <w:rPr>
          <w:lang w:val="fr-FR"/>
        </w:rPr>
        <w:t xml:space="preserve"> Aussi a-t-il exprimé de sérieuses préoccupations quant au respect par Israël et les autres États Parties de leurs obligations de prévenir les crimes de guerre, les crimes contre l’humanité et le génocide</w:t>
      </w:r>
      <w:r w:rsidR="007A599E" w:rsidRPr="007A599E">
        <w:rPr>
          <w:lang w:val="fr-FR"/>
        </w:rPr>
        <w:t>.</w:t>
      </w:r>
    </w:p>
    <w:p w14:paraId="78DA2A08" w14:textId="12873640" w:rsidR="005E5363" w:rsidRPr="007E0FB5" w:rsidRDefault="005E5363" w:rsidP="005E5363">
      <w:pPr>
        <w:pStyle w:val="SingleTxtG"/>
      </w:pPr>
      <w:r>
        <w:rPr>
          <w:lang w:val="fr-FR"/>
        </w:rPr>
        <w:t>22</w:t>
      </w:r>
      <w:r w:rsidR="007A599E" w:rsidRPr="007A599E">
        <w:rPr>
          <w:lang w:val="fr-FR"/>
        </w:rPr>
        <w:t>.</w:t>
      </w:r>
      <w:r>
        <w:rPr>
          <w:lang w:val="fr-FR"/>
        </w:rPr>
        <w:tab/>
        <w:t>Le Comité s’est déclaré vivement préoccupé par la détérioration de la situation des droits de l’homme en Cisjordanie et à Jérusalem-Est au cours de l’année écoulée, et en particulier par les informations selon lesquelles, en moyenne, trois enfants palestiniens étaient tués chaque semaine par les forces israéliennes dans la région ; par le fait que les forces israéliennes recouraient de plus en plus à des méthodes militaires et à des armes conçues pour un usage militaire, ce qui avait notamment entraîné la mort de plus de 180 Palestiniens dans des frappes aériennes ; par le fait que plus de 800 Palestiniens avaient été tués et plus de 6 000 avaient été blessés par les forces israéliennes ou les colons</w:t>
      </w:r>
      <w:r w:rsidRPr="003C55D2">
        <w:rPr>
          <w:lang w:val="fr-FR"/>
        </w:rPr>
        <w:t xml:space="preserve"> </w:t>
      </w:r>
      <w:r>
        <w:rPr>
          <w:lang w:val="fr-FR"/>
        </w:rPr>
        <w:t>israéliens ; par le déplacement de plus de 6 300 Palestiniens, y compris des Bédouins et d’autres communautés d’éleveurs</w:t>
      </w:r>
      <w:r w:rsidR="007A599E" w:rsidRPr="007A599E">
        <w:rPr>
          <w:lang w:val="fr-FR"/>
        </w:rPr>
        <w:t>.</w:t>
      </w:r>
    </w:p>
    <w:p w14:paraId="648B5FAD" w14:textId="5343B6CF" w:rsidR="005E5363" w:rsidRPr="007E0FB5" w:rsidRDefault="005E5363" w:rsidP="005E5363">
      <w:pPr>
        <w:pStyle w:val="SingleTxtG"/>
      </w:pPr>
      <w:bookmarkStart w:id="82" w:name="_Hlk208321686"/>
      <w:r>
        <w:rPr>
          <w:lang w:val="fr-FR"/>
        </w:rPr>
        <w:t>23</w:t>
      </w:r>
      <w:r w:rsidR="007A599E" w:rsidRPr="007A599E">
        <w:rPr>
          <w:lang w:val="fr-FR"/>
        </w:rPr>
        <w:t>.</w:t>
      </w:r>
      <w:r>
        <w:rPr>
          <w:lang w:val="fr-FR"/>
        </w:rPr>
        <w:tab/>
        <w:t>Le Comité a déclaré qu’il était très préoccupé par la propagation de la violence et des hostilités à d’autres pays de la région, en particulier par les frappes aériennes à grande échelle menées par les forces israéliennes au Liban, qui, depuis le début du conflit, avait coûté la vie à plus de 4 000 personnes, fait plus de 16 000 blessés et entraîné le déplacement de plus de 1,4 million de personnes ; par les informations selon lesquelles plus de 150 attaques avaient visé des établissements de santé, 241 agents de santé avaient été tués et au moins 292 avaient été blessés, ce qui limitait l’accès de la population aux soins de santé essentiels ; par les récentes incursions des forces israéliennes sur le territoire de la République arabe syrienne</w:t>
      </w:r>
      <w:r w:rsidR="007A599E" w:rsidRPr="007A599E">
        <w:rPr>
          <w:lang w:val="fr-FR"/>
        </w:rPr>
        <w:t>.</w:t>
      </w:r>
      <w:bookmarkEnd w:id="82"/>
    </w:p>
    <w:p w14:paraId="51E269E8" w14:textId="5D76F3E4" w:rsidR="005E5363" w:rsidRPr="007E0FB5" w:rsidRDefault="005E5363" w:rsidP="005E5363">
      <w:pPr>
        <w:pStyle w:val="SingleTxtG"/>
      </w:pPr>
      <w:r>
        <w:rPr>
          <w:lang w:val="fr-FR"/>
        </w:rPr>
        <w:t>24</w:t>
      </w:r>
      <w:r w:rsidR="007A599E" w:rsidRPr="007A599E">
        <w:rPr>
          <w:lang w:val="fr-FR"/>
        </w:rPr>
        <w:t>.</w:t>
      </w:r>
      <w:r>
        <w:rPr>
          <w:lang w:val="fr-FR"/>
        </w:rPr>
        <w:tab/>
        <w:t>Le Comité a déclaré qu’il était affligé par le fait que les violations continues du droit international et l’impunité dont jouissaient leurs auteurs ébranlaient l’ordre international fondé sur le droit</w:t>
      </w:r>
      <w:r w:rsidR="007A599E" w:rsidRPr="007A599E">
        <w:rPr>
          <w:lang w:val="fr-FR"/>
        </w:rPr>
        <w:t>.</w:t>
      </w:r>
    </w:p>
    <w:p w14:paraId="7605BEFF" w14:textId="79BD61E6" w:rsidR="005E5363" w:rsidRPr="007E0FB5" w:rsidRDefault="005E5363" w:rsidP="005E5363">
      <w:pPr>
        <w:pStyle w:val="SingleTxtG"/>
      </w:pPr>
      <w:r>
        <w:rPr>
          <w:lang w:val="fr-FR"/>
        </w:rPr>
        <w:lastRenderedPageBreak/>
        <w:t>25</w:t>
      </w:r>
      <w:r w:rsidR="007A599E" w:rsidRPr="007A599E">
        <w:rPr>
          <w:lang w:val="fr-FR"/>
        </w:rPr>
        <w:t>.</w:t>
      </w:r>
      <w:r>
        <w:rPr>
          <w:lang w:val="fr-FR"/>
        </w:rPr>
        <w:tab/>
        <w:t>Le Comité a exhorté toutes les parties au conflit dans la bande de Gaza à instaurer un cessez-le-feu immédiat et durable</w:t>
      </w:r>
      <w:r w:rsidR="007A599E" w:rsidRPr="007A599E">
        <w:rPr>
          <w:lang w:val="fr-FR"/>
        </w:rPr>
        <w:t>.</w:t>
      </w:r>
      <w:r>
        <w:rPr>
          <w:lang w:val="fr-FR"/>
        </w:rPr>
        <w:t xml:space="preserve"> Il a demandé instamment la libération des otages retenus par le Hamas et d’autres groupes armés ainsi que la libération des Palestiniens de Cisjordanie et de Jérusalem-Est et des citoyens palestiniens d’Israël détenus arbitrairement par Israël</w:t>
      </w:r>
      <w:r w:rsidR="007A599E" w:rsidRPr="007A599E">
        <w:rPr>
          <w:lang w:val="fr-FR"/>
        </w:rPr>
        <w:t>.</w:t>
      </w:r>
      <w:r>
        <w:rPr>
          <w:lang w:val="fr-FR"/>
        </w:rPr>
        <w:t xml:space="preserve"> Il a également exhorté toutes les parties à respecter pleinement l’accord de cessez-le-feu signé au Liban le 27 novembre 2024</w:t>
      </w:r>
      <w:r w:rsidR="007A599E" w:rsidRPr="007A599E">
        <w:rPr>
          <w:lang w:val="fr-FR"/>
        </w:rPr>
        <w:t>.</w:t>
      </w:r>
    </w:p>
    <w:p w14:paraId="557D350C" w14:textId="182C693F" w:rsidR="005E5363" w:rsidRPr="007E0FB5" w:rsidRDefault="005E5363" w:rsidP="005E5363">
      <w:pPr>
        <w:pStyle w:val="SingleTxtG"/>
      </w:pPr>
      <w:r>
        <w:rPr>
          <w:lang w:val="fr-FR"/>
        </w:rPr>
        <w:t>26</w:t>
      </w:r>
      <w:r w:rsidR="007A599E" w:rsidRPr="007A599E">
        <w:rPr>
          <w:lang w:val="fr-FR"/>
        </w:rPr>
        <w:t>.</w:t>
      </w:r>
      <w:r>
        <w:rPr>
          <w:lang w:val="fr-FR"/>
        </w:rPr>
        <w:tab/>
        <w:t>Le Comité a demandé à Israël de respecter pleinement les obligations mises à sa charge par le droit international, notamment celles découlant de la Convention, et de veiller à ce que, dans l’ensemble du Territoire palestinien occupé, tous les Palestiniens jouissent, sans discrimination, de tous les droits consacrés par la Convention, en particulier le droit à la vie, à la sûreté de la personne et à la protection contre les voies de fait ou les sévices, le droit de circuler librement et de choisir sa résidence, le droit à la liberté d’opinion et d’expression, le droit à la liberté de réunion pacifique et d’association et les droits au logement, aux soins médicaux et à l’éducation, et aient pleinement accès à la justice et obtiennent réparation ou satisfaction pour tout préjudice subi</w:t>
      </w:r>
      <w:r w:rsidR="007A599E" w:rsidRPr="007A599E">
        <w:rPr>
          <w:lang w:val="fr-FR"/>
        </w:rPr>
        <w:t>.</w:t>
      </w:r>
    </w:p>
    <w:p w14:paraId="3F68E34D" w14:textId="1D9CE07F" w:rsidR="005E5363" w:rsidRPr="007E0FB5" w:rsidRDefault="005E5363" w:rsidP="005E5363">
      <w:pPr>
        <w:pStyle w:val="SingleTxtG"/>
      </w:pPr>
      <w:r>
        <w:rPr>
          <w:lang w:val="fr-FR"/>
        </w:rPr>
        <w:t>27</w:t>
      </w:r>
      <w:r w:rsidR="007A599E" w:rsidRPr="007A599E">
        <w:rPr>
          <w:lang w:val="fr-FR"/>
        </w:rPr>
        <w:t>.</w:t>
      </w:r>
      <w:r>
        <w:rPr>
          <w:lang w:val="fr-FR"/>
        </w:rPr>
        <w:tab/>
        <w:t>Le Comité a exhorté Israël à appliquer immédiatement et efficacement les ordonnances en indication de mesures conservatoires rendues le 26 janvier, le 28 mars et le 24 mai 2024 par la Cour internationale de Justice dans l’affaire relative à l’</w:t>
      </w:r>
      <w:r>
        <w:rPr>
          <w:i/>
          <w:iCs/>
          <w:lang w:val="fr-FR"/>
        </w:rPr>
        <w:t>Application de la Convention pour la prévention et la répression du crime de génocide dans la bande de Gaza (Afrique du Sud c</w:t>
      </w:r>
      <w:r w:rsidR="007A599E" w:rsidRPr="007A599E">
        <w:rPr>
          <w:i/>
          <w:iCs/>
          <w:lang w:val="fr-FR"/>
        </w:rPr>
        <w:t>.</w:t>
      </w:r>
      <w:r>
        <w:rPr>
          <w:i/>
          <w:iCs/>
          <w:lang w:val="fr-FR"/>
        </w:rPr>
        <w:t xml:space="preserve"> Israël)</w:t>
      </w:r>
      <w:r w:rsidR="007A599E" w:rsidRPr="007A599E">
        <w:rPr>
          <w:i/>
          <w:iCs/>
          <w:lang w:val="fr-FR"/>
        </w:rPr>
        <w:t>.</w:t>
      </w:r>
    </w:p>
    <w:p w14:paraId="35E4E7ED" w14:textId="1187E738" w:rsidR="005E5363" w:rsidRPr="007E0FB5" w:rsidRDefault="005E5363" w:rsidP="005E5363">
      <w:pPr>
        <w:pStyle w:val="SingleTxtG"/>
      </w:pPr>
      <w:r>
        <w:rPr>
          <w:lang w:val="fr-FR"/>
        </w:rPr>
        <w:t>28</w:t>
      </w:r>
      <w:r w:rsidR="007A599E" w:rsidRPr="007A599E">
        <w:rPr>
          <w:lang w:val="fr-FR"/>
        </w:rPr>
        <w:t>.</w:t>
      </w:r>
      <w:r>
        <w:rPr>
          <w:lang w:val="fr-FR"/>
        </w:rPr>
        <w:tab/>
        <w:t>Le Comité a demandé à Israël et à l’État de Palestine de coopérer pleinement avec le Procureur de la Cour pénale internationale dans son enquête sur la situation dans l’État de Palestine</w:t>
      </w:r>
      <w:r w:rsidR="007A599E" w:rsidRPr="007A599E">
        <w:rPr>
          <w:lang w:val="fr-FR"/>
        </w:rPr>
        <w:t>.</w:t>
      </w:r>
    </w:p>
    <w:p w14:paraId="29A2389B" w14:textId="20500099" w:rsidR="005E5363" w:rsidRPr="007E0FB5" w:rsidRDefault="005E5363" w:rsidP="005E5363">
      <w:pPr>
        <w:pStyle w:val="SingleTxtG"/>
        <w:rPr>
          <w:rFonts w:asciiTheme="majorBidi" w:hAnsiTheme="majorBidi" w:cstheme="majorBidi"/>
        </w:rPr>
      </w:pPr>
      <w:r>
        <w:rPr>
          <w:lang w:val="fr-FR"/>
        </w:rPr>
        <w:t>29</w:t>
      </w:r>
      <w:r w:rsidR="007A599E" w:rsidRPr="007A599E">
        <w:rPr>
          <w:lang w:val="fr-FR"/>
        </w:rPr>
        <w:t>.</w:t>
      </w:r>
      <w:r>
        <w:rPr>
          <w:lang w:val="fr-FR"/>
        </w:rPr>
        <w:tab/>
        <w:t>Le Comité a demandé à tous les États Parties de veiller à ce que tous les individus soupçonnés d’être responsables de crimes de guerre et de crimes contre l’humanité ainsi que de tout autre crime international commis dans le cadre du conflit armé en cours, en particulier les supérieurs hiérarchiques, soient rapidement traduits en justice, ce qui impliquait notamment de respecter et d’exécuter les mandats d’arrêt que la Chambre préliminaire I de la Cour pénale internationale avait délivrés le 21 novembre 2024 contre des personnes soupçonnées d’avoir commis des crimes contre l’humanité et des crimes de guerre</w:t>
      </w:r>
      <w:r w:rsidR="007A599E" w:rsidRPr="007A599E">
        <w:rPr>
          <w:lang w:val="fr-FR"/>
        </w:rPr>
        <w:t>.</w:t>
      </w:r>
    </w:p>
    <w:p w14:paraId="4F624D0D" w14:textId="187A2E05" w:rsidR="005E5363" w:rsidRPr="007E0FB5" w:rsidRDefault="005E5363" w:rsidP="005E5363">
      <w:pPr>
        <w:pStyle w:val="SingleTxtG"/>
        <w:rPr>
          <w:rFonts w:asciiTheme="majorBidi" w:hAnsiTheme="majorBidi" w:cstheme="majorBidi"/>
        </w:rPr>
      </w:pPr>
      <w:r>
        <w:rPr>
          <w:lang w:val="fr-FR"/>
        </w:rPr>
        <w:t>30</w:t>
      </w:r>
      <w:r w:rsidR="007A599E" w:rsidRPr="007A599E">
        <w:rPr>
          <w:lang w:val="fr-FR"/>
        </w:rPr>
        <w:t>.</w:t>
      </w:r>
      <w:r>
        <w:rPr>
          <w:lang w:val="fr-FR"/>
        </w:rPr>
        <w:tab/>
        <w:t>Le Comité a également demandé à tous les États Parties de respecter pleinement leurs obligations internationales, en particulier celles découlant de la Convention, de la Convention pour la prévention et la répression du crime de génocide et de l’article premier commun aux Conventions de Genève du 12 août 1949, et de coopérer pour faire cesser les violations en cours et prévenir les crimes de guerre, les crimes contre l’humanité et le génocide, notamment en cessant de fournir de l’aide militaire lorsque celle-ci risquait manifestement d’être utilisée en violation du droit international</w:t>
      </w:r>
      <w:r w:rsidR="007A599E" w:rsidRPr="007A599E">
        <w:rPr>
          <w:lang w:val="fr-FR"/>
        </w:rPr>
        <w:t>.</w:t>
      </w:r>
    </w:p>
    <w:p w14:paraId="0932D527" w14:textId="2F498D61" w:rsidR="005E5363" w:rsidRPr="007E0FB5" w:rsidRDefault="005E5363" w:rsidP="005E5363">
      <w:pPr>
        <w:pStyle w:val="H1G"/>
      </w:pPr>
      <w:r>
        <w:rPr>
          <w:bCs/>
          <w:lang w:val="fr-FR"/>
        </w:rPr>
        <w:tab/>
        <w:t>B</w:t>
      </w:r>
      <w:r w:rsidR="007A599E" w:rsidRPr="007A599E">
        <w:rPr>
          <w:bCs/>
          <w:lang w:val="fr-FR"/>
        </w:rPr>
        <w:t>.</w:t>
      </w:r>
      <w:r>
        <w:rPr>
          <w:lang w:val="fr-FR"/>
        </w:rPr>
        <w:tab/>
      </w:r>
      <w:r>
        <w:rPr>
          <w:bCs/>
          <w:lang w:val="fr-FR"/>
        </w:rPr>
        <w:t>Déclarations</w:t>
      </w:r>
      <w:bookmarkStart w:id="83" w:name="_Toc176248184"/>
      <w:bookmarkStart w:id="84" w:name="_Toc176248849"/>
      <w:bookmarkEnd w:id="83"/>
      <w:bookmarkEnd w:id="84"/>
    </w:p>
    <w:p w14:paraId="7E27DC15" w14:textId="2E7A687D" w:rsidR="005E5363" w:rsidRPr="007E0FB5" w:rsidRDefault="005E5363" w:rsidP="005E5363">
      <w:pPr>
        <w:pStyle w:val="H23G"/>
      </w:pPr>
      <w:r>
        <w:rPr>
          <w:lang w:val="fr-FR"/>
        </w:rPr>
        <w:tab/>
      </w:r>
      <w:r>
        <w:rPr>
          <w:lang w:val="fr-FR"/>
        </w:rPr>
        <w:tab/>
      </w:r>
      <w:r>
        <w:rPr>
          <w:bCs/>
          <w:lang w:val="fr-FR"/>
        </w:rPr>
        <w:t>Déclaration </w:t>
      </w:r>
      <w:r w:rsidRPr="00117B2A">
        <w:rPr>
          <w:bCs/>
          <w:lang w:val="fr-FR"/>
        </w:rPr>
        <w:t>1 (2024)</w:t>
      </w:r>
    </w:p>
    <w:p w14:paraId="5A330431" w14:textId="11400BF9" w:rsidR="005E5363" w:rsidRPr="007E0FB5" w:rsidRDefault="005E5363" w:rsidP="005E5363">
      <w:pPr>
        <w:pStyle w:val="SingleTxtG"/>
        <w:rPr>
          <w:rFonts w:asciiTheme="majorBidi" w:hAnsiTheme="majorBidi" w:cstheme="majorBidi"/>
        </w:rPr>
      </w:pPr>
      <w:r>
        <w:rPr>
          <w:lang w:val="fr-FR"/>
        </w:rPr>
        <w:t>31</w:t>
      </w:r>
      <w:r w:rsidR="007A599E" w:rsidRPr="007A599E">
        <w:rPr>
          <w:lang w:val="fr-FR"/>
        </w:rPr>
        <w:t>.</w:t>
      </w:r>
      <w:r>
        <w:rPr>
          <w:lang w:val="fr-FR"/>
        </w:rPr>
        <w:tab/>
        <w:t>Le 29 juin 2024, le Comité a publié la déclaration </w:t>
      </w:r>
      <w:r w:rsidRPr="00117B2A">
        <w:rPr>
          <w:lang w:val="fr-FR"/>
        </w:rPr>
        <w:t>1 (2024)</w:t>
      </w:r>
      <w:r>
        <w:rPr>
          <w:lang w:val="fr-FR"/>
        </w:rPr>
        <w:t xml:space="preserve"> sur la situation des Rohingya ayant fui le Myanmar pour l’Inde</w:t>
      </w:r>
      <w:r w:rsidRPr="00803B71">
        <w:rPr>
          <w:rStyle w:val="Appelnotedebasdep"/>
        </w:rPr>
        <w:footnoteReference w:id="11"/>
      </w:r>
      <w:r w:rsidR="007A599E" w:rsidRPr="007A599E">
        <w:rPr>
          <w:lang w:val="fr-FR"/>
        </w:rPr>
        <w:t>.</w:t>
      </w:r>
      <w:r>
        <w:rPr>
          <w:lang w:val="fr-FR"/>
        </w:rPr>
        <w:t xml:space="preserve"> Il a rappelé la lettre qu’il avait envoyée le 14 décembre 2018 durant sa quatre-vingt-dix-septième session au titre des procédures d’alerte rapide et d’intervention d’urgence</w:t>
      </w:r>
      <w:r w:rsidRPr="00803B71">
        <w:rPr>
          <w:rStyle w:val="Appelnotedebasdep"/>
        </w:rPr>
        <w:footnoteReference w:id="12"/>
      </w:r>
      <w:r>
        <w:rPr>
          <w:lang w:val="fr-FR"/>
        </w:rPr>
        <w:t xml:space="preserve">, dans laquelle il s’était dit préoccupé par les allégations selon lesquelles les Rohingya étaient la cible de discours de haine et de violences en Inde, où d’aucuns réclamaient même leur expulsion vers le Myanmar, ainsi que par les conditions de vie dans les camps de détention de migrants et par le fait que les manifestations de discrimination raciale ciblant les Rohingya en Inde et les expulsions de Rohingya vers le Myanmar, menées en violation du principe de non-refoulement, risquaient de porter atteinte </w:t>
      </w:r>
      <w:r>
        <w:rPr>
          <w:lang w:val="fr-FR"/>
        </w:rPr>
        <w:lastRenderedPageBreak/>
        <w:t>aux droits qui leur étaient garantis par la Convention</w:t>
      </w:r>
      <w:r w:rsidR="007A599E" w:rsidRPr="007A599E">
        <w:rPr>
          <w:lang w:val="fr-FR"/>
        </w:rPr>
        <w:t>.</w:t>
      </w:r>
      <w:r>
        <w:rPr>
          <w:lang w:val="fr-FR"/>
        </w:rPr>
        <w:t xml:space="preserve"> Il a également rappelé sa recommandation générale n</w:t>
      </w:r>
      <w:r>
        <w:rPr>
          <w:vertAlign w:val="superscript"/>
          <w:lang w:val="fr-FR"/>
        </w:rPr>
        <w:t>o</w:t>
      </w:r>
      <w:r>
        <w:rPr>
          <w:lang w:val="fr-FR"/>
        </w:rPr>
        <w:t> 30 (2004) sur la discrimination contre les non-ressortissants et sa recommandation générale n</w:t>
      </w:r>
      <w:r>
        <w:rPr>
          <w:vertAlign w:val="superscript"/>
          <w:lang w:val="fr-FR"/>
        </w:rPr>
        <w:t>o</w:t>
      </w:r>
      <w:r>
        <w:rPr>
          <w:lang w:val="fr-FR"/>
        </w:rPr>
        <w:t> 31 (2005) sur la discrimination raciale dans l’administration et le fonctionnement du système de justice pénale</w:t>
      </w:r>
      <w:r w:rsidR="007A599E" w:rsidRPr="007A599E">
        <w:rPr>
          <w:lang w:val="fr-FR"/>
        </w:rPr>
        <w:t>.</w:t>
      </w:r>
    </w:p>
    <w:p w14:paraId="7234C1A9" w14:textId="62CFCE82" w:rsidR="005E5363" w:rsidRPr="007E0FB5" w:rsidRDefault="005E5363" w:rsidP="005E5363">
      <w:pPr>
        <w:pStyle w:val="SingleTxtG"/>
        <w:rPr>
          <w:rFonts w:asciiTheme="majorBidi" w:hAnsiTheme="majorBidi" w:cstheme="majorBidi"/>
        </w:rPr>
      </w:pPr>
      <w:r>
        <w:rPr>
          <w:lang w:val="fr-FR"/>
        </w:rPr>
        <w:t>32</w:t>
      </w:r>
      <w:r w:rsidR="007A599E" w:rsidRPr="007A599E">
        <w:rPr>
          <w:lang w:val="fr-FR"/>
        </w:rPr>
        <w:t>.</w:t>
      </w:r>
      <w:r>
        <w:rPr>
          <w:lang w:val="fr-FR"/>
        </w:rPr>
        <w:tab/>
        <w:t>Le Comité a demandé à l’Inde de respecter pleinement ses obligations internationales découlant de la Convention</w:t>
      </w:r>
      <w:r w:rsidR="007A599E" w:rsidRPr="007A599E">
        <w:rPr>
          <w:lang w:val="fr-FR"/>
        </w:rPr>
        <w:t>.</w:t>
      </w:r>
    </w:p>
    <w:p w14:paraId="6CF665E1" w14:textId="19E9DB0C" w:rsidR="005E5363" w:rsidRPr="007E0FB5" w:rsidRDefault="005E5363" w:rsidP="005E5363">
      <w:pPr>
        <w:pStyle w:val="SingleTxtG"/>
        <w:rPr>
          <w:rFonts w:asciiTheme="majorBidi" w:hAnsiTheme="majorBidi" w:cstheme="majorBidi"/>
        </w:rPr>
      </w:pPr>
      <w:r>
        <w:rPr>
          <w:lang w:val="fr-FR"/>
        </w:rPr>
        <w:t>33</w:t>
      </w:r>
      <w:r w:rsidR="007A599E" w:rsidRPr="007A599E">
        <w:rPr>
          <w:lang w:val="fr-FR"/>
        </w:rPr>
        <w:t>.</w:t>
      </w:r>
      <w:r>
        <w:rPr>
          <w:lang w:val="fr-FR"/>
        </w:rPr>
        <w:tab/>
        <w:t>Le Comité a demandé à l’Inde de faire le nécessaire pour que les dispositions législatives contre la discrimination raciale s’appliquent aux non-ressortissants indépendamment de leur statut au regard de la législation sur l’immigration et pour que les lois et politiques relatives à l’immigration, à l’expulsion ou à d’autres formes d’éloignement des non-ressortissants ne causent pas, par leur but ou par leurs effets, une discrimination fondée sur la race, la couleur ou l’origine ethnique ou nationale</w:t>
      </w:r>
      <w:r w:rsidR="007A599E" w:rsidRPr="007A599E">
        <w:rPr>
          <w:lang w:val="fr-FR"/>
        </w:rPr>
        <w:t>.</w:t>
      </w:r>
    </w:p>
    <w:p w14:paraId="43AF61BF" w14:textId="4571D64C" w:rsidR="005E5363" w:rsidRPr="007E0FB5" w:rsidRDefault="005E5363" w:rsidP="005E5363">
      <w:pPr>
        <w:pStyle w:val="SingleTxtG"/>
        <w:rPr>
          <w:rFonts w:asciiTheme="majorBidi" w:hAnsiTheme="majorBidi" w:cstheme="majorBidi"/>
        </w:rPr>
      </w:pPr>
      <w:r>
        <w:rPr>
          <w:lang w:val="fr-FR"/>
        </w:rPr>
        <w:t>34</w:t>
      </w:r>
      <w:r w:rsidR="007A599E" w:rsidRPr="007A599E">
        <w:rPr>
          <w:lang w:val="fr-FR"/>
        </w:rPr>
        <w:t>.</w:t>
      </w:r>
      <w:r>
        <w:rPr>
          <w:lang w:val="fr-FR"/>
        </w:rPr>
        <w:tab/>
        <w:t>Le Comité a demandé à l’Inde de s’abstenir d’expulser et de renvoyer de force les Rohingya au Myanmar, où ils risquaient d’être victimes de graves violations des droits de l’homme et d’atteintes à ces droits, ainsi que d’autoriser les personnes ayant besoin d’une protection internationale à entrer sur son territoire</w:t>
      </w:r>
      <w:r w:rsidR="007A599E" w:rsidRPr="007A599E">
        <w:rPr>
          <w:lang w:val="fr-FR"/>
        </w:rPr>
        <w:t>.</w:t>
      </w:r>
    </w:p>
    <w:p w14:paraId="3A45C3B7" w14:textId="7027AA3A" w:rsidR="005E5363" w:rsidRPr="007E0FB5" w:rsidRDefault="005E5363" w:rsidP="005E5363">
      <w:pPr>
        <w:pStyle w:val="SingleTxtG"/>
        <w:rPr>
          <w:rFonts w:asciiTheme="majorBidi" w:hAnsiTheme="majorBidi" w:cstheme="majorBidi"/>
        </w:rPr>
      </w:pPr>
      <w:r>
        <w:rPr>
          <w:lang w:val="fr-FR"/>
        </w:rPr>
        <w:t>35</w:t>
      </w:r>
      <w:r w:rsidR="007A599E" w:rsidRPr="007A599E">
        <w:rPr>
          <w:lang w:val="fr-FR"/>
        </w:rPr>
        <w:t>.</w:t>
      </w:r>
      <w:r>
        <w:rPr>
          <w:lang w:val="fr-FR"/>
        </w:rPr>
        <w:tab/>
        <w:t xml:space="preserve">Le Comité a exhorté l’Inde à faire le nécessaire pour que les Rohingya aient accès à des recours utiles, notamment le droit de contester une mesure d’expulsion, et soient autorisés à exercer ces recours, et pour que le système judiciaire permette aux victimes d’obtenir une décision de justice dans un délai raisonnable ; à mettre fin à la discrimination raciale à l’égard des Rohingya et à lever les restrictions qui les empêchaient de jouir sans discrimination de leurs droits, en particulier en ce qui concernait l’accès à l’emploi, à la santé et à l’éducation, notamment en garantissant la délivrance de visas de longue durée et d’autres documents d’identité ; à combattre la prolifération des discours de haine racistes dans les </w:t>
      </w:r>
      <w:proofErr w:type="spellStart"/>
      <w:r>
        <w:rPr>
          <w:lang w:val="fr-FR"/>
        </w:rPr>
        <w:t>médias</w:t>
      </w:r>
      <w:proofErr w:type="spellEnd"/>
      <w:r>
        <w:rPr>
          <w:lang w:val="fr-FR"/>
        </w:rPr>
        <w:t>, sur Internet et sur les réseaux sociaux, à condamner fermement les discours de haine sous toutes leurs formes et à se désolidariser des discours de haine racistes prononcés par des responsables politiques et des personnalités publiques, parmi lesquels des membres du Parlement et des chefs religieux, et à veiller à ce que ces discours fassent l’objet d’enquêtes et à ce que leurs auteurs soient dûment sanctionnés</w:t>
      </w:r>
      <w:r w:rsidR="007A599E" w:rsidRPr="007A599E">
        <w:rPr>
          <w:lang w:val="fr-FR"/>
        </w:rPr>
        <w:t>.</w:t>
      </w:r>
    </w:p>
    <w:p w14:paraId="21720977" w14:textId="19DC49A8" w:rsidR="005E5363" w:rsidRPr="007E0FB5" w:rsidRDefault="005E5363" w:rsidP="005E5363">
      <w:pPr>
        <w:pStyle w:val="SingleTxtG"/>
        <w:rPr>
          <w:rFonts w:asciiTheme="majorBidi" w:hAnsiTheme="majorBidi" w:cstheme="majorBidi"/>
        </w:rPr>
      </w:pPr>
      <w:r>
        <w:rPr>
          <w:lang w:val="fr-FR"/>
        </w:rPr>
        <w:t>36</w:t>
      </w:r>
      <w:r w:rsidR="007A599E" w:rsidRPr="007A599E">
        <w:rPr>
          <w:lang w:val="fr-FR"/>
        </w:rPr>
        <w:t>.</w:t>
      </w:r>
      <w:r>
        <w:rPr>
          <w:lang w:val="fr-FR"/>
        </w:rPr>
        <w:tab/>
        <w:t>Le Comité a demandé à l’Inde de mettre fin à la détention arbitraire et massive des Rohingya, de faire en sorte que les migrants ne soient placés en détention qu’en dernier ressort et pour une durée aussi brève que possible, de fournir aux Rohingya détenus des garanties juridiques et de veiller à ce qu’ils aient accès à un avocat, et de faire en sorte que les conditions de vie dans les lieux de détention soient décentes et conformes aux normes internationales</w:t>
      </w:r>
      <w:r w:rsidR="007A599E" w:rsidRPr="007A599E">
        <w:rPr>
          <w:lang w:val="fr-FR"/>
        </w:rPr>
        <w:t>.</w:t>
      </w:r>
    </w:p>
    <w:p w14:paraId="2EE1E6BC" w14:textId="36339B9C" w:rsidR="005E5363" w:rsidRPr="007E0FB5" w:rsidRDefault="005E5363" w:rsidP="005E5363">
      <w:pPr>
        <w:pStyle w:val="H23G"/>
      </w:pPr>
      <w:r>
        <w:rPr>
          <w:lang w:val="fr-FR"/>
        </w:rPr>
        <w:tab/>
      </w:r>
      <w:r>
        <w:rPr>
          <w:lang w:val="fr-FR"/>
        </w:rPr>
        <w:tab/>
      </w:r>
      <w:r>
        <w:rPr>
          <w:bCs/>
          <w:lang w:val="fr-FR"/>
        </w:rPr>
        <w:t>Déclaration </w:t>
      </w:r>
      <w:r w:rsidRPr="00117B2A">
        <w:rPr>
          <w:bCs/>
          <w:lang w:val="fr-FR"/>
        </w:rPr>
        <w:t>1 (2025)</w:t>
      </w:r>
    </w:p>
    <w:p w14:paraId="2B5D7F3C" w14:textId="1ABF6C50" w:rsidR="005E5363" w:rsidRPr="00330F0E" w:rsidRDefault="005E5363" w:rsidP="005E5363">
      <w:pPr>
        <w:pStyle w:val="SingleTxtG"/>
        <w:rPr>
          <w:lang w:val="fr-FR"/>
        </w:rPr>
      </w:pPr>
      <w:r>
        <w:rPr>
          <w:lang w:val="fr-FR"/>
        </w:rPr>
        <w:t>37</w:t>
      </w:r>
      <w:r w:rsidR="007A599E" w:rsidRPr="007A599E">
        <w:rPr>
          <w:lang w:val="fr-FR"/>
        </w:rPr>
        <w:t>.</w:t>
      </w:r>
      <w:r>
        <w:rPr>
          <w:lang w:val="fr-FR"/>
        </w:rPr>
        <w:tab/>
        <w:t>Le 9 mai 2025, le Comité a publié la déclaration </w:t>
      </w:r>
      <w:r w:rsidRPr="00117B2A">
        <w:rPr>
          <w:lang w:val="fr-FR"/>
        </w:rPr>
        <w:t>1 (2025)</w:t>
      </w:r>
      <w:r>
        <w:rPr>
          <w:lang w:val="fr-FR"/>
        </w:rPr>
        <w:t xml:space="preserve"> sur la crise humanitaire catastrophique dans le Territoire palestinien occupé</w:t>
      </w:r>
      <w:r w:rsidRPr="00803B71">
        <w:rPr>
          <w:rStyle w:val="Appelnotedebasdep"/>
        </w:rPr>
        <w:footnoteReference w:id="13"/>
      </w:r>
      <w:r>
        <w:rPr>
          <w:lang w:val="fr-FR"/>
        </w:rPr>
        <w:t xml:space="preserve"> dans le cadre de sa procédure de suivi de l’application des recommandations formulées par la commission ad hoc de conciliation chargée d’examiner la communication interétatique soumise par l’État de Palestine contre Israël au titre de l’article 11 de la Convention</w:t>
      </w:r>
      <w:r w:rsidR="007A599E" w:rsidRPr="007A599E">
        <w:rPr>
          <w:lang w:val="fr-FR"/>
        </w:rPr>
        <w:t>.</w:t>
      </w:r>
      <w:r>
        <w:rPr>
          <w:lang w:val="fr-FR"/>
        </w:rPr>
        <w:t xml:space="preserve"> Cette déclaration s’inscrivait également dans le cadre de ses procédures d’alerte rapide et d’intervention d’urgence</w:t>
      </w:r>
      <w:r w:rsidR="007A599E" w:rsidRPr="007A599E">
        <w:rPr>
          <w:lang w:val="fr-FR"/>
        </w:rPr>
        <w:t>.</w:t>
      </w:r>
    </w:p>
    <w:p w14:paraId="3CE6D878" w14:textId="31E7E4B2" w:rsidR="005E5363" w:rsidRPr="007E0FB5" w:rsidRDefault="005E5363" w:rsidP="005E5363">
      <w:pPr>
        <w:pStyle w:val="SingleTxtG"/>
      </w:pPr>
      <w:r>
        <w:rPr>
          <w:lang w:val="fr-FR"/>
        </w:rPr>
        <w:t>38</w:t>
      </w:r>
      <w:r w:rsidR="007A599E" w:rsidRPr="007A599E">
        <w:rPr>
          <w:lang w:val="fr-FR"/>
        </w:rPr>
        <w:t>.</w:t>
      </w:r>
      <w:r>
        <w:rPr>
          <w:lang w:val="fr-FR"/>
        </w:rPr>
        <w:tab/>
        <w:t>Le Comité a rappelé sa décision </w:t>
      </w:r>
      <w:r w:rsidRPr="00117B2A">
        <w:rPr>
          <w:lang w:val="fr-FR"/>
        </w:rPr>
        <w:t>2 (2024)</w:t>
      </w:r>
      <w:r>
        <w:rPr>
          <w:lang w:val="fr-FR"/>
        </w:rPr>
        <w:t xml:space="preserve"> du 12 décembre 2024, dans laquelle il avait exprimé de sérieuses préoccupations concernant le respect par Israël et les autres États Parties de leurs obligations de prévenir les crimes de guerre, les crimes contre l’humanité et le génocide</w:t>
      </w:r>
      <w:r w:rsidR="007A599E" w:rsidRPr="007A599E">
        <w:rPr>
          <w:lang w:val="fr-FR"/>
        </w:rPr>
        <w:t>.</w:t>
      </w:r>
    </w:p>
    <w:p w14:paraId="7F0B4BDB" w14:textId="322C1CBF" w:rsidR="005E5363" w:rsidRPr="007E0FB5" w:rsidRDefault="005E5363" w:rsidP="005E5363">
      <w:pPr>
        <w:pStyle w:val="SingleTxtG"/>
      </w:pPr>
      <w:r>
        <w:rPr>
          <w:lang w:val="fr-FR"/>
        </w:rPr>
        <w:t>39</w:t>
      </w:r>
      <w:r w:rsidR="007A599E" w:rsidRPr="007A599E">
        <w:rPr>
          <w:lang w:val="fr-FR"/>
        </w:rPr>
        <w:t>.</w:t>
      </w:r>
      <w:r>
        <w:rPr>
          <w:lang w:val="fr-FR"/>
        </w:rPr>
        <w:tab/>
        <w:t>Le Comité s’est dit alarmé par l’intensification des opérations militaires menées par les forces israéliennes dans la bande de Gaza depuis le début du mois de mars 2025, notamment les bombardements aveugles et les incursions terrestres étendues, qui avaient considérablement aggravé la crise humanitaire, mis gravement en danger la population civile et sérieusement compromis les infrastructures humanitaires essentielles</w:t>
      </w:r>
      <w:r w:rsidR="007A599E" w:rsidRPr="007A599E">
        <w:rPr>
          <w:lang w:val="fr-FR"/>
        </w:rPr>
        <w:t>.</w:t>
      </w:r>
      <w:r>
        <w:rPr>
          <w:lang w:val="fr-FR"/>
        </w:rPr>
        <w:t xml:space="preserve"> Il s’est dit préoccupé </w:t>
      </w:r>
      <w:r>
        <w:rPr>
          <w:lang w:val="fr-FR"/>
        </w:rPr>
        <w:lastRenderedPageBreak/>
        <w:t>par la détérioration rapide de la situation dans l’ensemble du Territoire palestinien occupé, y compris la Cisjordanie et Jérusalem-Est, où, du fait de leur caractère systématique, les destructions, les déplacements massifs et la violence des colons étaient de plus en plus comparables à ceux observés à Gaza, ainsi que par le maintien du blocus imposé par les autorités israéliennes, l’interdiction de l’Office de secours et de travaux des Nations Unies pour les réfugiés de Palestine dans le Proche-Orient et le blocage systématique de l’aide humanitaire vitale, en particulier des denrées alimentaires et des médicaments</w:t>
      </w:r>
      <w:r w:rsidR="007A599E" w:rsidRPr="007A599E">
        <w:rPr>
          <w:lang w:val="fr-FR"/>
        </w:rPr>
        <w:t>.</w:t>
      </w:r>
      <w:r>
        <w:rPr>
          <w:lang w:val="fr-FR"/>
        </w:rPr>
        <w:t xml:space="preserve"> Il s’est dit profondément alarmé par le fait qu’au 25 avril 2025, le Programme alimentaire mondial avait épuisé ses stocks de nourriture à Gaza et que la plupart des infrastructures d’approvisionnement en eau et des infrastructures électriques avaient été détruites ou gravement endommagées, ce qui exposait la population civile, en particulier les groupes vulnérables tels que les enfants, les femmes, les personnes âgées et les personnes handicapées, à un risque immédiat de famine, de maladie et de décès</w:t>
      </w:r>
      <w:r w:rsidR="007A599E" w:rsidRPr="007A599E">
        <w:rPr>
          <w:lang w:val="fr-FR"/>
        </w:rPr>
        <w:t>.</w:t>
      </w:r>
    </w:p>
    <w:p w14:paraId="6F6A0FB6" w14:textId="5BD231FD" w:rsidR="005E5363" w:rsidRPr="007E0FB5" w:rsidRDefault="005E5363" w:rsidP="005E5363">
      <w:pPr>
        <w:pStyle w:val="SingleTxtG"/>
      </w:pPr>
      <w:r>
        <w:rPr>
          <w:lang w:val="fr-FR"/>
        </w:rPr>
        <w:t>40</w:t>
      </w:r>
      <w:r w:rsidR="007A599E" w:rsidRPr="007A599E">
        <w:rPr>
          <w:lang w:val="fr-FR"/>
        </w:rPr>
        <w:t>.</w:t>
      </w:r>
      <w:r>
        <w:rPr>
          <w:lang w:val="fr-FR"/>
        </w:rPr>
        <w:tab/>
        <w:t>Le Comité a réaffirmé, ainsi que le Secrétaire général l’avait souligné dans le discours qu’il avait adressé au Conseil de sécurité lors du débat public sur la situation au Moyen-Orient, y compris la question palestinienne, qu’il était nécessaire de rétablir immédiatement l’acheminement de l’aide humanitaire, de garantir la sécurité du personnel des Nations Unies et des partenaires humanitaires et de permettre aux organismes des Nations Unies d’œuvrer dans le plein respect des principes humanitaires</w:t>
      </w:r>
      <w:r w:rsidRPr="00803B71">
        <w:rPr>
          <w:rStyle w:val="Appelnotedebasdep"/>
        </w:rPr>
        <w:footnoteReference w:id="14"/>
      </w:r>
      <w:r w:rsidR="007A599E" w:rsidRPr="007A599E">
        <w:rPr>
          <w:lang w:val="fr-FR"/>
        </w:rPr>
        <w:t>.</w:t>
      </w:r>
      <w:r>
        <w:rPr>
          <w:lang w:val="fr-FR"/>
        </w:rPr>
        <w:t xml:space="preserve"> Il a également réaffirmé la résolution </w:t>
      </w:r>
      <w:hyperlink r:id="rId39" w:history="1">
        <w:r w:rsidRPr="00803B71">
          <w:rPr>
            <w:rStyle w:val="Lienhypertexte"/>
            <w:lang w:val="fr-FR"/>
          </w:rPr>
          <w:t>55/28</w:t>
        </w:r>
      </w:hyperlink>
      <w:r>
        <w:rPr>
          <w:lang w:val="fr-FR"/>
        </w:rPr>
        <w:t xml:space="preserve"> du Conseil des droits de l’homme, dans laquelle le Conseil avait exigé qu’Israël lève immédiatement son blocus de la bande de Gaza et mette fin à toutes les autres formes de châtiment collectif et demandé qu’un cessez-le-feu soit immédiatement instauré</w:t>
      </w:r>
      <w:r w:rsidR="007A599E" w:rsidRPr="007A599E">
        <w:rPr>
          <w:lang w:val="fr-FR"/>
        </w:rPr>
        <w:t>.</w:t>
      </w:r>
      <w:r>
        <w:rPr>
          <w:lang w:val="fr-FR"/>
        </w:rPr>
        <w:t xml:space="preserve"> Il a rappelé les recommandations de la commission de conciliation ad hoc</w:t>
      </w:r>
      <w:r w:rsidR="007A599E" w:rsidRPr="007A599E">
        <w:rPr>
          <w:lang w:val="fr-FR"/>
        </w:rPr>
        <w:t>.</w:t>
      </w:r>
    </w:p>
    <w:p w14:paraId="52E99C65" w14:textId="7380660A" w:rsidR="005E5363" w:rsidRPr="007E0FB5" w:rsidRDefault="005E5363" w:rsidP="005E5363">
      <w:pPr>
        <w:pStyle w:val="SingleTxtG"/>
      </w:pPr>
      <w:r>
        <w:rPr>
          <w:lang w:val="fr-FR"/>
        </w:rPr>
        <w:t>41</w:t>
      </w:r>
      <w:r w:rsidR="007A599E" w:rsidRPr="007A599E">
        <w:rPr>
          <w:lang w:val="fr-FR"/>
        </w:rPr>
        <w:t>.</w:t>
      </w:r>
      <w:r>
        <w:rPr>
          <w:lang w:val="fr-FR"/>
        </w:rPr>
        <w:tab/>
        <w:t>Le Comité a souligné qu’il fallait d’urgence instaurer un cessez-le-feu immédiat et durable et mettre en place des couloirs humanitaires sécurisés</w:t>
      </w:r>
      <w:r w:rsidR="007A599E" w:rsidRPr="007A599E">
        <w:rPr>
          <w:lang w:val="fr-FR"/>
        </w:rPr>
        <w:t>.</w:t>
      </w:r>
    </w:p>
    <w:p w14:paraId="6721C274" w14:textId="2E10979F" w:rsidR="005E5363" w:rsidRPr="007E0FB5" w:rsidRDefault="005E5363" w:rsidP="005E5363">
      <w:pPr>
        <w:pStyle w:val="SingleTxtG"/>
      </w:pPr>
      <w:r>
        <w:rPr>
          <w:lang w:val="fr-FR"/>
        </w:rPr>
        <w:t>42</w:t>
      </w:r>
      <w:r w:rsidR="007A599E" w:rsidRPr="007A599E">
        <w:rPr>
          <w:lang w:val="fr-FR"/>
        </w:rPr>
        <w:t>.</w:t>
      </w:r>
      <w:r>
        <w:rPr>
          <w:lang w:val="fr-FR"/>
        </w:rPr>
        <w:tab/>
        <w:t>Le Comité a exhorté Israël à lever tous les obstacles à l’accès humanitaire, à permettre l’acheminement immédiat et sans entrave de l’aide humanitaire et à cesser toute action de nature à entraver la fourniture de services essentiels à la population civile de la bande de Gaza</w:t>
      </w:r>
      <w:r w:rsidR="007A599E" w:rsidRPr="007A599E">
        <w:rPr>
          <w:lang w:val="fr-FR"/>
        </w:rPr>
        <w:t>.</w:t>
      </w:r>
    </w:p>
    <w:p w14:paraId="152DCE56" w14:textId="26F5BAB9" w:rsidR="005E5363" w:rsidRPr="007E0FB5" w:rsidRDefault="005E5363" w:rsidP="005E5363">
      <w:pPr>
        <w:pStyle w:val="SingleTxtG"/>
      </w:pPr>
      <w:r>
        <w:rPr>
          <w:lang w:val="fr-FR"/>
        </w:rPr>
        <w:t>43</w:t>
      </w:r>
      <w:r w:rsidR="007A599E" w:rsidRPr="007A599E">
        <w:rPr>
          <w:lang w:val="fr-FR"/>
        </w:rPr>
        <w:t>.</w:t>
      </w:r>
      <w:r>
        <w:rPr>
          <w:lang w:val="fr-FR"/>
        </w:rPr>
        <w:tab/>
        <w:t>Le Comité a exhorté tous les États Parties à s’acquitter de leurs obligations en prenant toutes les mesures voulues, individuellement et collectivement, pour empêcher une nouvelle escalade des hostilités et assurer la protection des civils</w:t>
      </w:r>
      <w:r w:rsidR="007A599E" w:rsidRPr="007A599E">
        <w:rPr>
          <w:lang w:val="fr-FR"/>
        </w:rPr>
        <w:t>.</w:t>
      </w:r>
    </w:p>
    <w:p w14:paraId="195165D4" w14:textId="6CA7489C" w:rsidR="005E5363" w:rsidRPr="007E0FB5" w:rsidRDefault="005E5363" w:rsidP="005E5363">
      <w:pPr>
        <w:pStyle w:val="SingleTxtG"/>
      </w:pPr>
      <w:r>
        <w:rPr>
          <w:lang w:val="fr-FR"/>
        </w:rPr>
        <w:t>44</w:t>
      </w:r>
      <w:r w:rsidR="007A599E" w:rsidRPr="007A599E">
        <w:rPr>
          <w:lang w:val="fr-FR"/>
        </w:rPr>
        <w:t>.</w:t>
      </w:r>
      <w:r>
        <w:rPr>
          <w:lang w:val="fr-FR"/>
        </w:rPr>
        <w:tab/>
        <w:t>Le Comité a également exhorté tous les États Parties à respecter pleinement leurs obligations internationales, en particulier celles découlant de la Convention, de la Convention pour la prévention et la répression du crime de génocide et de l’article premier commun aux Conventions de Genève du 12 août 1949, et à coopérer pour faire cesser les violations en cours et prévenir les crimes de guerre, les crimes contre l’humanité et le génocide, notamment en cessant de fournir de l’aide militaire lorsque celle-ci risquait manifestement d’être utilisée en violation du droit international</w:t>
      </w:r>
      <w:r w:rsidR="007A599E" w:rsidRPr="007A599E">
        <w:rPr>
          <w:lang w:val="fr-FR"/>
        </w:rPr>
        <w:t>.</w:t>
      </w:r>
    </w:p>
    <w:p w14:paraId="62BC2C69" w14:textId="648C720D" w:rsidR="005E5363" w:rsidRPr="007E0FB5" w:rsidRDefault="005E5363" w:rsidP="005E5363">
      <w:pPr>
        <w:pStyle w:val="H1G"/>
      </w:pPr>
      <w:r>
        <w:rPr>
          <w:bCs/>
          <w:lang w:val="fr-FR"/>
        </w:rPr>
        <w:tab/>
        <w:t>C</w:t>
      </w:r>
      <w:r w:rsidR="007A599E" w:rsidRPr="007A599E">
        <w:rPr>
          <w:bCs/>
          <w:lang w:val="fr-FR"/>
        </w:rPr>
        <w:t>.</w:t>
      </w:r>
      <w:r>
        <w:rPr>
          <w:lang w:val="fr-FR"/>
        </w:rPr>
        <w:tab/>
        <w:t>Lettres</w:t>
      </w:r>
      <w:bookmarkStart w:id="85" w:name="_Toc176248185"/>
      <w:bookmarkStart w:id="86" w:name="_Toc176248850"/>
      <w:bookmarkEnd w:id="85"/>
      <w:bookmarkEnd w:id="86"/>
    </w:p>
    <w:p w14:paraId="6800B366" w14:textId="6C5CE0F2" w:rsidR="005E5363" w:rsidRPr="007E0FB5" w:rsidRDefault="005E5363" w:rsidP="005E5363">
      <w:pPr>
        <w:pStyle w:val="SingleTxtG"/>
        <w:rPr>
          <w:rFonts w:asciiTheme="majorBidi" w:eastAsia="Times New Roman" w:hAnsiTheme="majorBidi" w:cstheme="majorBidi"/>
        </w:rPr>
      </w:pPr>
      <w:r>
        <w:rPr>
          <w:lang w:val="fr-FR"/>
        </w:rPr>
        <w:t>45</w:t>
      </w:r>
      <w:r w:rsidR="007A599E" w:rsidRPr="007A599E">
        <w:rPr>
          <w:lang w:val="fr-FR"/>
        </w:rPr>
        <w:t>.</w:t>
      </w:r>
      <w:r>
        <w:rPr>
          <w:lang w:val="fr-FR"/>
        </w:rPr>
        <w:tab/>
        <w:t>Le Comité a envoyé au Gouvernement australien une lettre, datée du 12 mai 2025</w:t>
      </w:r>
      <w:r w:rsidRPr="00803B71">
        <w:rPr>
          <w:rStyle w:val="Appelnotedebasdep"/>
        </w:rPr>
        <w:footnoteReference w:id="15"/>
      </w:r>
      <w:r>
        <w:rPr>
          <w:lang w:val="fr-FR"/>
        </w:rPr>
        <w:t>, au sujet de la situation des enfants autochtones dans le système de justice pénale</w:t>
      </w:r>
      <w:r w:rsidR="007A599E" w:rsidRPr="007A599E">
        <w:rPr>
          <w:lang w:val="fr-FR"/>
        </w:rPr>
        <w:t>.</w:t>
      </w:r>
    </w:p>
    <w:p w14:paraId="7DEF4889" w14:textId="4EE04D3F" w:rsidR="005E5363" w:rsidRPr="007E0FB5" w:rsidRDefault="005E5363" w:rsidP="005E5363">
      <w:pPr>
        <w:pStyle w:val="SingleTxtG"/>
        <w:rPr>
          <w:rFonts w:asciiTheme="majorBidi" w:hAnsiTheme="majorBidi" w:cstheme="majorBidi"/>
        </w:rPr>
      </w:pPr>
      <w:r>
        <w:rPr>
          <w:lang w:val="fr-FR"/>
        </w:rPr>
        <w:t>46</w:t>
      </w:r>
      <w:r w:rsidR="007A599E" w:rsidRPr="007A599E">
        <w:rPr>
          <w:lang w:val="fr-FR"/>
        </w:rPr>
        <w:t>.</w:t>
      </w:r>
      <w:r>
        <w:rPr>
          <w:lang w:val="fr-FR"/>
        </w:rPr>
        <w:tab/>
        <w:t>Le Comité a envoyé au Gouvernement bangladais une lettre, datée du 13 décembre 2024</w:t>
      </w:r>
      <w:r w:rsidRPr="00803B71">
        <w:rPr>
          <w:rStyle w:val="Appelnotedebasdep"/>
        </w:rPr>
        <w:footnoteReference w:id="16"/>
      </w:r>
      <w:r>
        <w:rPr>
          <w:lang w:val="fr-FR"/>
        </w:rPr>
        <w:t>, au sujet de la situation des peuples autochtones dans la région des Chittagong Hill Tracts</w:t>
      </w:r>
      <w:r w:rsidR="007A599E" w:rsidRPr="007A599E">
        <w:rPr>
          <w:lang w:val="fr-FR"/>
        </w:rPr>
        <w:t>.</w:t>
      </w:r>
    </w:p>
    <w:p w14:paraId="5FBEB2F8" w14:textId="14E98E80" w:rsidR="005E5363" w:rsidRPr="007E0FB5" w:rsidRDefault="005E5363" w:rsidP="005E5363">
      <w:pPr>
        <w:pStyle w:val="SingleTxtG"/>
        <w:rPr>
          <w:rFonts w:asciiTheme="majorBidi" w:hAnsiTheme="majorBidi" w:cstheme="majorBidi"/>
        </w:rPr>
      </w:pPr>
      <w:r>
        <w:rPr>
          <w:lang w:val="fr-FR"/>
        </w:rPr>
        <w:lastRenderedPageBreak/>
        <w:t>47</w:t>
      </w:r>
      <w:r w:rsidR="007A599E" w:rsidRPr="007A599E">
        <w:rPr>
          <w:lang w:val="fr-FR"/>
        </w:rPr>
        <w:t>.</w:t>
      </w:r>
      <w:r>
        <w:rPr>
          <w:lang w:val="fr-FR"/>
        </w:rPr>
        <w:tab/>
        <w:t>Le Comité a envoyé des lettres datées du 12 mai 2025 au Gouvernement canadien au sujet des exportations d’armes par le Canada</w:t>
      </w:r>
      <w:r w:rsidRPr="00803B71">
        <w:rPr>
          <w:rStyle w:val="Appelnotedebasdep"/>
        </w:rPr>
        <w:footnoteReference w:id="17"/>
      </w:r>
      <w:r>
        <w:rPr>
          <w:lang w:val="fr-FR"/>
        </w:rPr>
        <w:t xml:space="preserve"> et au Gouvernement des États-Unis d’Amérique au sujet des armes et des munitions que les États-Unis transfèrent à Israël et de l’assistance militaire qu’ils lui fournissent</w:t>
      </w:r>
      <w:r w:rsidRPr="00803B71">
        <w:rPr>
          <w:rStyle w:val="Appelnotedebasdep"/>
        </w:rPr>
        <w:footnoteReference w:id="18"/>
      </w:r>
      <w:r w:rsidR="007A599E" w:rsidRPr="007A599E">
        <w:rPr>
          <w:lang w:val="fr-FR"/>
        </w:rPr>
        <w:t>.</w:t>
      </w:r>
      <w:r>
        <w:rPr>
          <w:lang w:val="fr-FR"/>
        </w:rPr>
        <w:t xml:space="preserve"> Il y a évoqué les conséquences que ces actions avaient sur la jouissance par les Palestiniens se trouvant dans le Territoire palestinien occupé, en particulier dans la bande de Gaza, des droits qui leur étaient reconnus par la Convention</w:t>
      </w:r>
      <w:r w:rsidR="007A599E" w:rsidRPr="007A599E">
        <w:rPr>
          <w:lang w:val="fr-FR"/>
        </w:rPr>
        <w:t>.</w:t>
      </w:r>
    </w:p>
    <w:p w14:paraId="31E4B008" w14:textId="51CD1EB6" w:rsidR="005E5363" w:rsidRPr="007E0FB5" w:rsidRDefault="005E5363" w:rsidP="005E5363">
      <w:pPr>
        <w:pStyle w:val="SingleTxtG"/>
        <w:rPr>
          <w:rFonts w:asciiTheme="majorBidi" w:hAnsiTheme="majorBidi" w:cstheme="majorBidi"/>
        </w:rPr>
      </w:pPr>
      <w:r>
        <w:rPr>
          <w:lang w:val="fr-FR"/>
        </w:rPr>
        <w:t>48</w:t>
      </w:r>
      <w:r w:rsidR="007A599E" w:rsidRPr="007A599E">
        <w:rPr>
          <w:lang w:val="fr-FR"/>
        </w:rPr>
        <w:t>.</w:t>
      </w:r>
      <w:r>
        <w:rPr>
          <w:lang w:val="fr-FR"/>
        </w:rPr>
        <w:tab/>
        <w:t>Le Comité a envoyé au Gouvernement canadien une lettre, datée du 13 décembre 2024</w:t>
      </w:r>
      <w:r w:rsidRPr="00803B71">
        <w:rPr>
          <w:rStyle w:val="Appelnotedebasdep"/>
        </w:rPr>
        <w:footnoteReference w:id="19"/>
      </w:r>
      <w:r>
        <w:rPr>
          <w:lang w:val="fr-FR"/>
        </w:rPr>
        <w:t>, au sujet de l’impact de la canalisation 5 de l’oléoduc de pétrole brut d’</w:t>
      </w:r>
      <w:proofErr w:type="spellStart"/>
      <w:r>
        <w:rPr>
          <w:lang w:val="fr-FR"/>
        </w:rPr>
        <w:t>Enbridge</w:t>
      </w:r>
      <w:proofErr w:type="spellEnd"/>
      <w:r>
        <w:rPr>
          <w:lang w:val="fr-FR"/>
        </w:rPr>
        <w:t xml:space="preserve"> pour les droits des peuples autochtones au Canada et aux États-Unis</w:t>
      </w:r>
      <w:r w:rsidR="007A599E" w:rsidRPr="007A599E">
        <w:rPr>
          <w:lang w:val="fr-FR"/>
        </w:rPr>
        <w:t>.</w:t>
      </w:r>
    </w:p>
    <w:p w14:paraId="2D41F7E0" w14:textId="464FB47C" w:rsidR="005E5363" w:rsidRPr="007E0FB5" w:rsidRDefault="005E5363" w:rsidP="005E5363">
      <w:pPr>
        <w:pStyle w:val="SingleTxtG"/>
        <w:rPr>
          <w:rFonts w:asciiTheme="majorBidi" w:hAnsiTheme="majorBidi" w:cstheme="majorBidi"/>
        </w:rPr>
      </w:pPr>
      <w:r>
        <w:rPr>
          <w:lang w:val="fr-FR"/>
        </w:rPr>
        <w:t>49</w:t>
      </w:r>
      <w:r w:rsidR="007A599E" w:rsidRPr="007A599E">
        <w:rPr>
          <w:lang w:val="fr-FR"/>
        </w:rPr>
        <w:t>.</w:t>
      </w:r>
      <w:r>
        <w:rPr>
          <w:lang w:val="fr-FR"/>
        </w:rPr>
        <w:tab/>
        <w:t>Le Comité a envoyé au Gouvernement canadien une lettre, datée du 13 décembre 2024</w:t>
      </w:r>
      <w:r w:rsidRPr="00803B71">
        <w:rPr>
          <w:rStyle w:val="Appelnotedebasdep"/>
        </w:rPr>
        <w:footnoteReference w:id="20"/>
      </w:r>
      <w:r>
        <w:rPr>
          <w:lang w:val="fr-FR"/>
        </w:rPr>
        <w:t xml:space="preserve">, au sujet de l’effet des projets relatifs à l’oléoduc Trans </w:t>
      </w:r>
      <w:proofErr w:type="spellStart"/>
      <w:r>
        <w:rPr>
          <w:lang w:val="fr-FR"/>
        </w:rPr>
        <w:t>Mountain</w:t>
      </w:r>
      <w:proofErr w:type="spellEnd"/>
      <w:r>
        <w:rPr>
          <w:lang w:val="fr-FR"/>
        </w:rPr>
        <w:t xml:space="preserve"> et au gazoduc Coastal </w:t>
      </w:r>
      <w:proofErr w:type="spellStart"/>
      <w:r>
        <w:rPr>
          <w:lang w:val="fr-FR"/>
        </w:rPr>
        <w:t>GasLink</w:t>
      </w:r>
      <w:proofErr w:type="spellEnd"/>
      <w:r>
        <w:rPr>
          <w:lang w:val="fr-FR"/>
        </w:rPr>
        <w:t xml:space="preserve"> dans la province de Colombie-Britannique sur la situation des communautés </w:t>
      </w:r>
      <w:proofErr w:type="spellStart"/>
      <w:r>
        <w:rPr>
          <w:lang w:val="fr-FR"/>
        </w:rPr>
        <w:t>Secwepemc</w:t>
      </w:r>
      <w:proofErr w:type="spellEnd"/>
      <w:r>
        <w:rPr>
          <w:lang w:val="fr-FR"/>
        </w:rPr>
        <w:t xml:space="preserve"> et </w:t>
      </w:r>
      <w:proofErr w:type="spellStart"/>
      <w:r>
        <w:rPr>
          <w:lang w:val="fr-FR"/>
        </w:rPr>
        <w:t>Wet’suwet’en</w:t>
      </w:r>
      <w:proofErr w:type="spellEnd"/>
      <w:r w:rsidR="007A599E" w:rsidRPr="007A599E">
        <w:rPr>
          <w:lang w:val="fr-FR"/>
        </w:rPr>
        <w:t>.</w:t>
      </w:r>
    </w:p>
    <w:p w14:paraId="56CF2577" w14:textId="619FC1BD" w:rsidR="005E5363" w:rsidRPr="007E0FB5" w:rsidRDefault="005E5363" w:rsidP="005E5363">
      <w:pPr>
        <w:pStyle w:val="SingleTxtG"/>
        <w:rPr>
          <w:rFonts w:asciiTheme="majorBidi" w:hAnsiTheme="majorBidi" w:cstheme="majorBidi"/>
        </w:rPr>
      </w:pPr>
      <w:r>
        <w:rPr>
          <w:lang w:val="fr-FR"/>
        </w:rPr>
        <w:t>50</w:t>
      </w:r>
      <w:r w:rsidR="007A599E" w:rsidRPr="007A599E">
        <w:rPr>
          <w:lang w:val="fr-FR"/>
        </w:rPr>
        <w:t>.</w:t>
      </w:r>
      <w:r>
        <w:rPr>
          <w:lang w:val="fr-FR"/>
        </w:rPr>
        <w:tab/>
        <w:t>Le Comité a envoyé au Gouvernement canadien une lettre, datée du 23 août 2024</w:t>
      </w:r>
      <w:r w:rsidRPr="00803B71">
        <w:rPr>
          <w:rStyle w:val="Appelnotedebasdep"/>
        </w:rPr>
        <w:footnoteReference w:id="21"/>
      </w:r>
      <w:r>
        <w:rPr>
          <w:lang w:val="fr-FR"/>
        </w:rPr>
        <w:t>, concernant le fait que les Premières Nations n’auraient pas été consultées au sujet de l’allocation des aides octroyées pour faire face à la pandémie de maladie à coronavirus (COVID-19) dans les provinces d’Alberta et de Saskatchewan ainsi que de l’élaboration de dispositions législatives sur la santé des Autochtones fondées sur les distinctions</w:t>
      </w:r>
      <w:r w:rsidR="007A599E" w:rsidRPr="007A599E">
        <w:rPr>
          <w:lang w:val="fr-FR"/>
        </w:rPr>
        <w:t>.</w:t>
      </w:r>
    </w:p>
    <w:p w14:paraId="63DD1EF2" w14:textId="0DF836F7" w:rsidR="005E5363" w:rsidRPr="007E0FB5" w:rsidRDefault="005E5363" w:rsidP="005E5363">
      <w:pPr>
        <w:pStyle w:val="SingleTxtG"/>
        <w:rPr>
          <w:rFonts w:asciiTheme="majorBidi" w:hAnsiTheme="majorBidi" w:cstheme="majorBidi"/>
        </w:rPr>
      </w:pPr>
      <w:r>
        <w:rPr>
          <w:lang w:val="fr-FR"/>
        </w:rPr>
        <w:t>51</w:t>
      </w:r>
      <w:r w:rsidR="007A599E" w:rsidRPr="007A599E">
        <w:rPr>
          <w:lang w:val="fr-FR"/>
        </w:rPr>
        <w:t>.</w:t>
      </w:r>
      <w:r>
        <w:rPr>
          <w:lang w:val="fr-FR"/>
        </w:rPr>
        <w:tab/>
        <w:t>Le Comité a envoyé au Gouvernement camerounais une lettre, datée du 13 décembre 2024</w:t>
      </w:r>
      <w:r w:rsidRPr="00803B71">
        <w:rPr>
          <w:rStyle w:val="Appelnotedebasdep"/>
        </w:rPr>
        <w:footnoteReference w:id="22"/>
      </w:r>
      <w:r>
        <w:rPr>
          <w:lang w:val="fr-FR"/>
        </w:rPr>
        <w:t xml:space="preserve">, au sujet de la situation des </w:t>
      </w:r>
      <w:proofErr w:type="spellStart"/>
      <w:r>
        <w:rPr>
          <w:lang w:val="fr-FR"/>
        </w:rPr>
        <w:t>Bagyeli</w:t>
      </w:r>
      <w:proofErr w:type="spellEnd"/>
      <w:r>
        <w:rPr>
          <w:lang w:val="fr-FR"/>
        </w:rPr>
        <w:t xml:space="preserve"> dans le département de l’Océan</w:t>
      </w:r>
      <w:r w:rsidR="007A599E" w:rsidRPr="007A599E">
        <w:rPr>
          <w:lang w:val="fr-FR"/>
        </w:rPr>
        <w:t>.</w:t>
      </w:r>
    </w:p>
    <w:p w14:paraId="34F90627" w14:textId="5EBCD767" w:rsidR="005E5363" w:rsidRPr="007E0FB5" w:rsidRDefault="005E5363" w:rsidP="005E5363">
      <w:pPr>
        <w:pStyle w:val="SingleTxtG"/>
        <w:rPr>
          <w:rFonts w:asciiTheme="majorBidi" w:eastAsia="Times New Roman" w:hAnsiTheme="majorBidi" w:cstheme="majorBidi"/>
        </w:rPr>
      </w:pPr>
      <w:r>
        <w:rPr>
          <w:lang w:val="fr-FR"/>
        </w:rPr>
        <w:t>52</w:t>
      </w:r>
      <w:r w:rsidR="007A599E" w:rsidRPr="007A599E">
        <w:rPr>
          <w:lang w:val="fr-FR"/>
        </w:rPr>
        <w:t>.</w:t>
      </w:r>
      <w:r>
        <w:rPr>
          <w:lang w:val="fr-FR"/>
        </w:rPr>
        <w:tab/>
        <w:t>Le Comité a envoyé au Gouvernement français une lettre, datée du 12 mai 2025</w:t>
      </w:r>
      <w:r w:rsidRPr="00803B71">
        <w:rPr>
          <w:rStyle w:val="Appelnotedebasdep"/>
        </w:rPr>
        <w:footnoteReference w:id="23"/>
      </w:r>
      <w:r>
        <w:rPr>
          <w:lang w:val="fr-FR"/>
        </w:rPr>
        <w:t>, au sujet de l’impact du projet de Centrale électrique de l’ouest guyanais sur les populations Kali’na en Guyane française</w:t>
      </w:r>
      <w:r w:rsidR="007A599E" w:rsidRPr="007A599E">
        <w:rPr>
          <w:lang w:val="fr-FR"/>
        </w:rPr>
        <w:t>.</w:t>
      </w:r>
    </w:p>
    <w:p w14:paraId="506DD0A5" w14:textId="6754ABE9" w:rsidR="005E5363" w:rsidRPr="007E0FB5" w:rsidRDefault="005E5363" w:rsidP="005E5363">
      <w:pPr>
        <w:pStyle w:val="SingleTxtG"/>
        <w:rPr>
          <w:rFonts w:asciiTheme="majorBidi" w:hAnsiTheme="majorBidi" w:cstheme="majorBidi"/>
        </w:rPr>
      </w:pPr>
      <w:r>
        <w:rPr>
          <w:lang w:val="fr-FR"/>
        </w:rPr>
        <w:t>53</w:t>
      </w:r>
      <w:r w:rsidR="007A599E" w:rsidRPr="007A599E">
        <w:rPr>
          <w:lang w:val="fr-FR"/>
        </w:rPr>
        <w:t>.</w:t>
      </w:r>
      <w:r>
        <w:rPr>
          <w:lang w:val="fr-FR"/>
        </w:rPr>
        <w:tab/>
        <w:t>Le Comité a envoyé au Gouvernement guyanien une lettre, datée du 13 décembre 2024</w:t>
      </w:r>
      <w:r w:rsidRPr="00803B71">
        <w:rPr>
          <w:rStyle w:val="Appelnotedebasdep"/>
        </w:rPr>
        <w:footnoteReference w:id="24"/>
      </w:r>
      <w:r>
        <w:rPr>
          <w:lang w:val="fr-FR"/>
        </w:rPr>
        <w:t xml:space="preserve">, au sujet de la situation des villages autochtones akawaio de </w:t>
      </w:r>
      <w:proofErr w:type="spellStart"/>
      <w:r>
        <w:rPr>
          <w:lang w:val="fr-FR"/>
        </w:rPr>
        <w:t>Tassarene</w:t>
      </w:r>
      <w:proofErr w:type="spellEnd"/>
      <w:r>
        <w:rPr>
          <w:lang w:val="fr-FR"/>
        </w:rPr>
        <w:t xml:space="preserve"> et de </w:t>
      </w:r>
      <w:proofErr w:type="spellStart"/>
      <w:r>
        <w:rPr>
          <w:lang w:val="fr-FR"/>
        </w:rPr>
        <w:t>Kangaruma</w:t>
      </w:r>
      <w:proofErr w:type="spellEnd"/>
      <w:r>
        <w:rPr>
          <w:lang w:val="fr-FR"/>
        </w:rPr>
        <w:t xml:space="preserve">, du peuple </w:t>
      </w:r>
      <w:proofErr w:type="spellStart"/>
      <w:r>
        <w:rPr>
          <w:lang w:val="fr-FR"/>
        </w:rPr>
        <w:t>wapichan</w:t>
      </w:r>
      <w:proofErr w:type="spellEnd"/>
      <w:r>
        <w:rPr>
          <w:lang w:val="fr-FR"/>
        </w:rPr>
        <w:t xml:space="preserve"> et de la communauté autochtone karib de </w:t>
      </w:r>
      <w:proofErr w:type="spellStart"/>
      <w:r>
        <w:rPr>
          <w:lang w:val="fr-FR"/>
        </w:rPr>
        <w:t>Chinese</w:t>
      </w:r>
      <w:proofErr w:type="spellEnd"/>
      <w:r>
        <w:rPr>
          <w:lang w:val="fr-FR"/>
        </w:rPr>
        <w:t xml:space="preserve"> Landing</w:t>
      </w:r>
      <w:r w:rsidR="007A599E" w:rsidRPr="007A599E">
        <w:rPr>
          <w:lang w:val="fr-FR"/>
        </w:rPr>
        <w:t>.</w:t>
      </w:r>
    </w:p>
    <w:p w14:paraId="1FEA38EA" w14:textId="2D4952C6" w:rsidR="005E5363" w:rsidRPr="007E0FB5" w:rsidRDefault="005E5363" w:rsidP="005E5363">
      <w:pPr>
        <w:pStyle w:val="SingleTxtG"/>
        <w:rPr>
          <w:rFonts w:asciiTheme="majorBidi" w:eastAsia="Times New Roman" w:hAnsiTheme="majorBidi" w:cstheme="majorBidi"/>
        </w:rPr>
      </w:pPr>
      <w:r>
        <w:rPr>
          <w:lang w:val="fr-FR"/>
        </w:rPr>
        <w:t>54</w:t>
      </w:r>
      <w:r w:rsidR="007A599E" w:rsidRPr="007A599E">
        <w:rPr>
          <w:lang w:val="fr-FR"/>
        </w:rPr>
        <w:t>.</w:t>
      </w:r>
      <w:r>
        <w:rPr>
          <w:lang w:val="fr-FR"/>
        </w:rPr>
        <w:tab/>
        <w:t>Le Comité a envoyé au Gouvernement indien une lettre, datée du 12 mai 2025</w:t>
      </w:r>
      <w:r w:rsidRPr="00803B71">
        <w:rPr>
          <w:rStyle w:val="Appelnotedebasdep"/>
        </w:rPr>
        <w:footnoteReference w:id="25"/>
      </w:r>
      <w:r>
        <w:rPr>
          <w:lang w:val="fr-FR"/>
        </w:rPr>
        <w:t>, au sujet de la situation des peuples autochtones que sont les peuples tribaux et les peuples de la forêt en Inde</w:t>
      </w:r>
      <w:r w:rsidR="007A599E" w:rsidRPr="007A599E">
        <w:rPr>
          <w:lang w:val="fr-FR"/>
        </w:rPr>
        <w:t>.</w:t>
      </w:r>
    </w:p>
    <w:p w14:paraId="77961CDB" w14:textId="291B37DE" w:rsidR="005E5363" w:rsidRPr="007E0FB5" w:rsidRDefault="005E5363" w:rsidP="005E5363">
      <w:pPr>
        <w:pStyle w:val="SingleTxtG"/>
        <w:rPr>
          <w:rFonts w:asciiTheme="majorBidi" w:hAnsiTheme="majorBidi" w:cstheme="majorBidi"/>
        </w:rPr>
      </w:pPr>
      <w:r>
        <w:rPr>
          <w:lang w:val="fr-FR"/>
        </w:rPr>
        <w:t>55</w:t>
      </w:r>
      <w:r w:rsidR="007A599E" w:rsidRPr="007A599E">
        <w:rPr>
          <w:lang w:val="fr-FR"/>
        </w:rPr>
        <w:t>.</w:t>
      </w:r>
      <w:r>
        <w:rPr>
          <w:lang w:val="fr-FR"/>
        </w:rPr>
        <w:tab/>
        <w:t>Le Comité a envoyé au Gouvernement indien une lettre, datée du 12 mai 2025</w:t>
      </w:r>
      <w:r w:rsidRPr="00803B71">
        <w:rPr>
          <w:rStyle w:val="Appelnotedebasdep"/>
        </w:rPr>
        <w:footnoteReference w:id="26"/>
      </w:r>
      <w:r>
        <w:rPr>
          <w:lang w:val="fr-FR"/>
        </w:rPr>
        <w:t xml:space="preserve">, au sujet de la situation des musulmans </w:t>
      </w:r>
      <w:proofErr w:type="spellStart"/>
      <w:r>
        <w:rPr>
          <w:lang w:val="fr-FR"/>
        </w:rPr>
        <w:t>bengalophones</w:t>
      </w:r>
      <w:proofErr w:type="spellEnd"/>
      <w:r>
        <w:rPr>
          <w:lang w:val="fr-FR"/>
        </w:rPr>
        <w:t xml:space="preserve"> dans l’État d’Assam, dans le nord-est de l’Inde</w:t>
      </w:r>
      <w:r w:rsidR="007A599E" w:rsidRPr="007A599E">
        <w:rPr>
          <w:lang w:val="fr-FR"/>
        </w:rPr>
        <w:t>.</w:t>
      </w:r>
    </w:p>
    <w:p w14:paraId="54DDF212" w14:textId="4404F33A" w:rsidR="005E5363" w:rsidRPr="007E0FB5" w:rsidRDefault="005E5363" w:rsidP="005E5363">
      <w:pPr>
        <w:pStyle w:val="SingleTxtG"/>
        <w:rPr>
          <w:rFonts w:asciiTheme="majorBidi" w:hAnsiTheme="majorBidi" w:cstheme="majorBidi"/>
        </w:rPr>
      </w:pPr>
      <w:r>
        <w:rPr>
          <w:lang w:val="fr-FR"/>
        </w:rPr>
        <w:lastRenderedPageBreak/>
        <w:t>56</w:t>
      </w:r>
      <w:r w:rsidR="007A599E" w:rsidRPr="007A599E">
        <w:rPr>
          <w:lang w:val="fr-FR"/>
        </w:rPr>
        <w:t>.</w:t>
      </w:r>
      <w:r>
        <w:rPr>
          <w:lang w:val="fr-FR"/>
        </w:rPr>
        <w:tab/>
        <w:t>Le Comité a envoyé au Gouvernement jamaïcain une lettre, datée du 12 mai 2025</w:t>
      </w:r>
      <w:r w:rsidRPr="00803B71">
        <w:rPr>
          <w:rStyle w:val="Appelnotedebasdep"/>
        </w:rPr>
        <w:footnoteReference w:id="27"/>
      </w:r>
      <w:r>
        <w:rPr>
          <w:lang w:val="fr-FR"/>
        </w:rPr>
        <w:t>, au sujet de la situation des Marrons</w:t>
      </w:r>
      <w:r w:rsidR="007A599E" w:rsidRPr="007A599E">
        <w:rPr>
          <w:lang w:val="fr-FR"/>
        </w:rPr>
        <w:t>.</w:t>
      </w:r>
    </w:p>
    <w:p w14:paraId="619C87C2" w14:textId="246027BC" w:rsidR="005E5363" w:rsidRPr="007E0FB5" w:rsidRDefault="005E5363" w:rsidP="005E5363">
      <w:pPr>
        <w:pStyle w:val="SingleTxtG"/>
        <w:rPr>
          <w:rFonts w:asciiTheme="majorBidi" w:hAnsiTheme="majorBidi" w:cstheme="majorBidi"/>
        </w:rPr>
      </w:pPr>
      <w:r>
        <w:rPr>
          <w:lang w:val="fr-FR"/>
        </w:rPr>
        <w:t>57</w:t>
      </w:r>
      <w:r w:rsidR="007A599E" w:rsidRPr="007A599E">
        <w:rPr>
          <w:lang w:val="fr-FR"/>
        </w:rPr>
        <w:t>.</w:t>
      </w:r>
      <w:r>
        <w:rPr>
          <w:lang w:val="fr-FR"/>
        </w:rPr>
        <w:tab/>
        <w:t>Le Comité a envoyé au Gouvernement japonais une lettre, datée du 12 mai 2025</w:t>
      </w:r>
      <w:r w:rsidRPr="00803B71">
        <w:rPr>
          <w:rStyle w:val="Appelnotedebasdep"/>
        </w:rPr>
        <w:footnoteReference w:id="28"/>
      </w:r>
      <w:r>
        <w:rPr>
          <w:lang w:val="fr-FR"/>
        </w:rPr>
        <w:t>, au sujet de la construction d’une nouvelle base militaire des États-Unis dans la partie nord de l’île d’Okinawa, y compris la baie d’</w:t>
      </w:r>
      <w:proofErr w:type="spellStart"/>
      <w:r>
        <w:rPr>
          <w:lang w:val="fr-FR"/>
        </w:rPr>
        <w:t>Henoko</w:t>
      </w:r>
      <w:proofErr w:type="spellEnd"/>
      <w:r>
        <w:rPr>
          <w:lang w:val="fr-FR"/>
        </w:rPr>
        <w:t>-Oura, et ses conséquences pour les peuples autochtones des îles Ryükyü</w:t>
      </w:r>
      <w:r w:rsidR="007A599E" w:rsidRPr="007A599E">
        <w:rPr>
          <w:lang w:val="fr-FR"/>
        </w:rPr>
        <w:t>.</w:t>
      </w:r>
    </w:p>
    <w:p w14:paraId="4D111AE8" w14:textId="5F5A8A0A" w:rsidR="005E5363" w:rsidRPr="007E0FB5" w:rsidRDefault="005E5363" w:rsidP="005E5363">
      <w:pPr>
        <w:pStyle w:val="SingleTxtG"/>
        <w:rPr>
          <w:rFonts w:asciiTheme="majorBidi" w:eastAsia="Times New Roman" w:hAnsiTheme="majorBidi" w:cstheme="majorBidi"/>
          <w:u w:val="single"/>
        </w:rPr>
      </w:pPr>
      <w:r>
        <w:rPr>
          <w:lang w:val="fr-FR"/>
        </w:rPr>
        <w:t>58</w:t>
      </w:r>
      <w:r w:rsidR="007A599E" w:rsidRPr="007A599E">
        <w:rPr>
          <w:lang w:val="fr-FR"/>
        </w:rPr>
        <w:t>.</w:t>
      </w:r>
      <w:r>
        <w:rPr>
          <w:lang w:val="fr-FR"/>
        </w:rPr>
        <w:tab/>
        <w:t>Le Comité a envoyé au Gouvernement japonais une lettre, datée du 12 mai 2025</w:t>
      </w:r>
      <w:r w:rsidRPr="00803B71">
        <w:rPr>
          <w:rStyle w:val="Appelnotedebasdep"/>
        </w:rPr>
        <w:footnoteReference w:id="29"/>
      </w:r>
      <w:r>
        <w:rPr>
          <w:lang w:val="fr-FR"/>
        </w:rPr>
        <w:t>, au sujet des modifications apportées en 2024 à la loi relative au contrôle de l’immigration et à la reconnaissance du statut de réfugié et des conséquences qu’elles pourraient avoir pour les non-ressortissants ayant le statut de résident permanent au Japon</w:t>
      </w:r>
      <w:r w:rsidR="007A599E" w:rsidRPr="007A599E">
        <w:rPr>
          <w:lang w:val="fr-FR"/>
        </w:rPr>
        <w:t>.</w:t>
      </w:r>
    </w:p>
    <w:p w14:paraId="244212AB" w14:textId="28CE9F32" w:rsidR="005E5363" w:rsidRPr="007E0FB5" w:rsidRDefault="005E5363" w:rsidP="005E5363">
      <w:pPr>
        <w:pStyle w:val="SingleTxtG"/>
        <w:rPr>
          <w:rFonts w:asciiTheme="majorBidi" w:hAnsiTheme="majorBidi" w:cstheme="majorBidi"/>
        </w:rPr>
      </w:pPr>
      <w:r>
        <w:rPr>
          <w:lang w:val="fr-FR"/>
        </w:rPr>
        <w:t>59</w:t>
      </w:r>
      <w:r w:rsidR="007A599E" w:rsidRPr="007A599E">
        <w:rPr>
          <w:lang w:val="fr-FR"/>
        </w:rPr>
        <w:t>.</w:t>
      </w:r>
      <w:r>
        <w:rPr>
          <w:lang w:val="fr-FR"/>
        </w:rPr>
        <w:tab/>
        <w:t>Le Comité a envoyé au Gouvernement namibien une lettre, datée du 13 décembre 2024</w:t>
      </w:r>
      <w:r w:rsidRPr="00803B71">
        <w:rPr>
          <w:rStyle w:val="Appelnotedebasdep"/>
        </w:rPr>
        <w:footnoteReference w:id="30"/>
      </w:r>
      <w:r>
        <w:rPr>
          <w:lang w:val="fr-FR"/>
        </w:rPr>
        <w:t xml:space="preserve">, au sujet du projet d’extension du port maritime de Lüderitz et de ses conséquences sur les droits des groupes ethniques que sont les Nama et les </w:t>
      </w:r>
      <w:proofErr w:type="spellStart"/>
      <w:r>
        <w:rPr>
          <w:lang w:val="fr-FR"/>
        </w:rPr>
        <w:t>Ovaherero</w:t>
      </w:r>
      <w:proofErr w:type="spellEnd"/>
      <w:r w:rsidR="007A599E" w:rsidRPr="007A599E">
        <w:rPr>
          <w:lang w:val="fr-FR"/>
        </w:rPr>
        <w:t>.</w:t>
      </w:r>
    </w:p>
    <w:p w14:paraId="15D3028A" w14:textId="2AF3FFFF" w:rsidR="005E5363" w:rsidRPr="007E0FB5" w:rsidRDefault="005E5363" w:rsidP="005E5363">
      <w:pPr>
        <w:pStyle w:val="SingleTxtG"/>
        <w:rPr>
          <w:rFonts w:asciiTheme="majorBidi" w:hAnsiTheme="majorBidi" w:cstheme="majorBidi"/>
        </w:rPr>
      </w:pPr>
      <w:r>
        <w:rPr>
          <w:lang w:val="fr-FR"/>
        </w:rPr>
        <w:t>60</w:t>
      </w:r>
      <w:r w:rsidR="007A599E" w:rsidRPr="007A599E">
        <w:rPr>
          <w:lang w:val="fr-FR"/>
        </w:rPr>
        <w:t>.</w:t>
      </w:r>
      <w:r>
        <w:rPr>
          <w:lang w:val="fr-FR"/>
        </w:rPr>
        <w:tab/>
        <w:t>Le Comité a envoyé au Gouvernement tanzanien une lettre, datée du 12 mai 2025</w:t>
      </w:r>
      <w:r w:rsidR="00393B58" w:rsidRPr="00803B71">
        <w:rPr>
          <w:rStyle w:val="Appelnotedebasdep"/>
        </w:rPr>
        <w:footnoteReference w:id="31"/>
      </w:r>
      <w:r>
        <w:rPr>
          <w:lang w:val="fr-FR"/>
        </w:rPr>
        <w:t xml:space="preserve">, au sujet de la situation du peuple masaï dans les régions de </w:t>
      </w:r>
      <w:proofErr w:type="spellStart"/>
      <w:r>
        <w:rPr>
          <w:lang w:val="fr-FR"/>
        </w:rPr>
        <w:t>Ngorongoro</w:t>
      </w:r>
      <w:proofErr w:type="spellEnd"/>
      <w:r>
        <w:rPr>
          <w:lang w:val="fr-FR"/>
        </w:rPr>
        <w:t xml:space="preserve"> et de </w:t>
      </w:r>
      <w:proofErr w:type="spellStart"/>
      <w:r>
        <w:rPr>
          <w:lang w:val="fr-FR"/>
        </w:rPr>
        <w:t>Loliondo</w:t>
      </w:r>
      <w:proofErr w:type="spellEnd"/>
      <w:r w:rsidR="00393B58">
        <w:rPr>
          <w:lang w:val="fr-FR"/>
        </w:rPr>
        <w:t>.</w:t>
      </w:r>
    </w:p>
    <w:p w14:paraId="5B15287F" w14:textId="54C81FDB" w:rsidR="005E5363" w:rsidRPr="007E0FB5" w:rsidRDefault="005E5363" w:rsidP="005E5363">
      <w:pPr>
        <w:pStyle w:val="SingleTxtG"/>
        <w:rPr>
          <w:rFonts w:asciiTheme="majorBidi" w:hAnsiTheme="majorBidi" w:cstheme="majorBidi"/>
        </w:rPr>
      </w:pPr>
      <w:r>
        <w:rPr>
          <w:lang w:val="fr-FR"/>
        </w:rPr>
        <w:t>61</w:t>
      </w:r>
      <w:r w:rsidR="007A599E" w:rsidRPr="007A599E">
        <w:rPr>
          <w:lang w:val="fr-FR"/>
        </w:rPr>
        <w:t>.</w:t>
      </w:r>
      <w:r>
        <w:rPr>
          <w:lang w:val="fr-FR"/>
        </w:rPr>
        <w:tab/>
        <w:t>Le Comité a envoyé au Gouvernement tunisien des lettres, datées du 23 août 2024</w:t>
      </w:r>
      <w:r w:rsidRPr="00803B71">
        <w:rPr>
          <w:rStyle w:val="Appelnotedebasdep"/>
        </w:rPr>
        <w:footnoteReference w:id="32"/>
      </w:r>
      <w:r>
        <w:rPr>
          <w:lang w:val="fr-FR"/>
        </w:rPr>
        <w:t xml:space="preserve"> et du 12 mai 2025</w:t>
      </w:r>
      <w:r w:rsidRPr="00803B71">
        <w:rPr>
          <w:rStyle w:val="Appelnotedebasdep"/>
        </w:rPr>
        <w:footnoteReference w:id="33"/>
      </w:r>
      <w:r>
        <w:rPr>
          <w:lang w:val="fr-FR"/>
        </w:rPr>
        <w:t>, au sujet de la situation des migrants, des réfugiés et des demandeurs d’asile originaires des pays de l’Afrique subsaharienne</w:t>
      </w:r>
      <w:r w:rsidR="007A599E" w:rsidRPr="007A599E">
        <w:rPr>
          <w:lang w:val="fr-FR"/>
        </w:rPr>
        <w:t>.</w:t>
      </w:r>
    </w:p>
    <w:p w14:paraId="55BF6B19" w14:textId="02763752" w:rsidR="005E5363" w:rsidRPr="007E0FB5" w:rsidRDefault="005E5363" w:rsidP="005E5363">
      <w:pPr>
        <w:pStyle w:val="SingleTxtG"/>
        <w:rPr>
          <w:rFonts w:asciiTheme="majorBidi" w:eastAsia="Times New Roman" w:hAnsiTheme="majorBidi" w:cstheme="majorBidi"/>
        </w:rPr>
      </w:pPr>
      <w:r>
        <w:rPr>
          <w:lang w:val="fr-FR"/>
        </w:rPr>
        <w:t>62</w:t>
      </w:r>
      <w:r w:rsidR="007A599E" w:rsidRPr="007A599E">
        <w:rPr>
          <w:lang w:val="fr-FR"/>
        </w:rPr>
        <w:t>.</w:t>
      </w:r>
      <w:r>
        <w:rPr>
          <w:lang w:val="fr-FR"/>
        </w:rPr>
        <w:tab/>
        <w:t>Le Comité a envoyé au Gouvernement des États-Unis une lettre, datée du 12 mai 2025</w:t>
      </w:r>
      <w:r w:rsidRPr="00803B71">
        <w:rPr>
          <w:rStyle w:val="Appelnotedebasdep"/>
        </w:rPr>
        <w:footnoteReference w:id="34"/>
      </w:r>
      <w:r>
        <w:rPr>
          <w:lang w:val="fr-FR"/>
        </w:rPr>
        <w:t xml:space="preserve">, au sujet de la construction du Télescope de trente mètres au sommet du volcan </w:t>
      </w:r>
      <w:proofErr w:type="spellStart"/>
      <w:r>
        <w:rPr>
          <w:lang w:val="fr-FR"/>
        </w:rPr>
        <w:t>Mauna</w:t>
      </w:r>
      <w:proofErr w:type="spellEnd"/>
      <w:r>
        <w:rPr>
          <w:lang w:val="fr-FR"/>
        </w:rPr>
        <w:t xml:space="preserve"> </w:t>
      </w:r>
      <w:proofErr w:type="spellStart"/>
      <w:r>
        <w:rPr>
          <w:lang w:val="fr-FR"/>
        </w:rPr>
        <w:t>Kea</w:t>
      </w:r>
      <w:proofErr w:type="spellEnd"/>
      <w:r>
        <w:rPr>
          <w:lang w:val="fr-FR"/>
        </w:rPr>
        <w:t xml:space="preserve"> dans l’État d’Hawaï et de ses conséquences sur les droits des autochtones hawaïens</w:t>
      </w:r>
      <w:r w:rsidR="007A599E" w:rsidRPr="007A599E">
        <w:rPr>
          <w:lang w:val="fr-FR"/>
        </w:rPr>
        <w:t>.</w:t>
      </w:r>
    </w:p>
    <w:p w14:paraId="2B7C8B8E" w14:textId="1A7CEE61" w:rsidR="005E5363" w:rsidRPr="007E0FB5" w:rsidRDefault="005E5363" w:rsidP="005E5363">
      <w:pPr>
        <w:pStyle w:val="SingleTxtG"/>
        <w:rPr>
          <w:rFonts w:asciiTheme="majorBidi" w:hAnsiTheme="majorBidi" w:cstheme="majorBidi"/>
        </w:rPr>
      </w:pPr>
      <w:r>
        <w:rPr>
          <w:lang w:val="fr-FR"/>
        </w:rPr>
        <w:t>63</w:t>
      </w:r>
      <w:r w:rsidR="007A599E" w:rsidRPr="007A599E">
        <w:rPr>
          <w:lang w:val="fr-FR"/>
        </w:rPr>
        <w:t>.</w:t>
      </w:r>
      <w:r>
        <w:rPr>
          <w:lang w:val="fr-FR"/>
        </w:rPr>
        <w:tab/>
        <w:t>Le Comité a envoyé au Gouvernement des États-Unis des lettres, datées du 23 août 2024</w:t>
      </w:r>
      <w:r w:rsidRPr="00803B71">
        <w:rPr>
          <w:rStyle w:val="Appelnotedebasdep"/>
        </w:rPr>
        <w:footnoteReference w:id="35"/>
      </w:r>
      <w:r>
        <w:rPr>
          <w:lang w:val="fr-FR"/>
        </w:rPr>
        <w:t xml:space="preserve"> et du 12 mai 2025</w:t>
      </w:r>
      <w:r w:rsidRPr="00803B71">
        <w:rPr>
          <w:rStyle w:val="Appelnotedebasdep"/>
        </w:rPr>
        <w:footnoteReference w:id="36"/>
      </w:r>
      <w:r>
        <w:rPr>
          <w:lang w:val="fr-FR"/>
        </w:rPr>
        <w:t>, au sujet de la situation de la tribu apache de San Carlos dans l’État de l’Arizona</w:t>
      </w:r>
      <w:r w:rsidR="007A599E" w:rsidRPr="007A599E">
        <w:rPr>
          <w:lang w:val="fr-FR"/>
        </w:rPr>
        <w:t>.</w:t>
      </w:r>
    </w:p>
    <w:p w14:paraId="64028885" w14:textId="77777777" w:rsidR="005E5363" w:rsidRPr="007E0FB5" w:rsidRDefault="005E5363" w:rsidP="005E5363">
      <w:pPr>
        <w:pStyle w:val="SingleTxtG"/>
      </w:pPr>
      <w:bookmarkStart w:id="87" w:name="CF"/>
      <w:bookmarkEnd w:id="87"/>
      <w:r w:rsidRPr="007E0FB5">
        <w:br w:type="page"/>
      </w:r>
    </w:p>
    <w:p w14:paraId="503C5086" w14:textId="18184FC9" w:rsidR="005E5363" w:rsidRPr="007E0FB5" w:rsidRDefault="005E5363" w:rsidP="005E5363">
      <w:pPr>
        <w:pStyle w:val="HChG"/>
      </w:pPr>
      <w:r>
        <w:rPr>
          <w:bCs/>
          <w:lang w:val="fr-FR"/>
        </w:rPr>
        <w:lastRenderedPageBreak/>
        <w:tab/>
        <w:t>III</w:t>
      </w:r>
      <w:r w:rsidR="007A599E" w:rsidRPr="007A599E">
        <w:rPr>
          <w:bCs/>
          <w:lang w:val="fr-FR"/>
        </w:rPr>
        <w:t>.</w:t>
      </w:r>
      <w:r>
        <w:rPr>
          <w:lang w:val="fr-FR"/>
        </w:rPr>
        <w:tab/>
      </w:r>
      <w:r>
        <w:rPr>
          <w:bCs/>
          <w:lang w:val="fr-FR"/>
        </w:rPr>
        <w:t xml:space="preserve">Examen des rapports, observations et renseignements soumis par les États Parties en application de l’article 9 </w:t>
      </w:r>
      <w:r>
        <w:rPr>
          <w:bCs/>
          <w:lang w:val="fr-FR"/>
        </w:rPr>
        <w:br/>
        <w:t>de la Convention</w:t>
      </w:r>
      <w:bookmarkStart w:id="88" w:name="_Toc428794287"/>
      <w:bookmarkStart w:id="89" w:name="_Toc17361299"/>
      <w:bookmarkStart w:id="90" w:name="_Toc48752324"/>
      <w:bookmarkStart w:id="91" w:name="_Toc48816877"/>
      <w:bookmarkStart w:id="92" w:name="_Toc81563229"/>
      <w:bookmarkStart w:id="93" w:name="_Toc113263038"/>
      <w:bookmarkStart w:id="94" w:name="_Toc176248186"/>
      <w:bookmarkStart w:id="95" w:name="_Toc176248851"/>
      <w:bookmarkEnd w:id="88"/>
      <w:bookmarkEnd w:id="89"/>
      <w:bookmarkEnd w:id="90"/>
      <w:bookmarkEnd w:id="91"/>
      <w:bookmarkEnd w:id="92"/>
      <w:bookmarkEnd w:id="93"/>
      <w:bookmarkEnd w:id="94"/>
      <w:bookmarkEnd w:id="95"/>
    </w:p>
    <w:p w14:paraId="34EA0856" w14:textId="42DC01D0" w:rsidR="005E5363" w:rsidRPr="007E0FB5" w:rsidRDefault="005E5363" w:rsidP="005E5363">
      <w:pPr>
        <w:pStyle w:val="SingleTxtG"/>
      </w:pPr>
      <w:r>
        <w:rPr>
          <w:lang w:val="fr-FR"/>
        </w:rPr>
        <w:t>64</w:t>
      </w:r>
      <w:r w:rsidR="007A599E" w:rsidRPr="007A599E">
        <w:rPr>
          <w:lang w:val="fr-FR"/>
        </w:rPr>
        <w:t>.</w:t>
      </w:r>
      <w:r>
        <w:rPr>
          <w:lang w:val="fr-FR"/>
        </w:rPr>
        <w:tab/>
        <w:t>À sa 113</w:t>
      </w:r>
      <w:r>
        <w:rPr>
          <w:vertAlign w:val="superscript"/>
          <w:lang w:val="fr-FR"/>
        </w:rPr>
        <w:t>e</w:t>
      </w:r>
      <w:r>
        <w:rPr>
          <w:lang w:val="fr-FR"/>
        </w:rPr>
        <w:t> session, le Comité a adopté des observations finales sur les rapports présentés par le Bélarus (</w:t>
      </w:r>
      <w:hyperlink r:id="rId40" w:history="1">
        <w:r w:rsidRPr="00803B71">
          <w:rPr>
            <w:rStyle w:val="Lienhypertexte"/>
            <w:lang w:val="fr-FR"/>
          </w:rPr>
          <w:t>CERD/C/BLR/CO/24-25</w:t>
        </w:r>
      </w:hyperlink>
      <w:r>
        <w:rPr>
          <w:lang w:val="fr-FR"/>
        </w:rPr>
        <w:t>), la Bosnie-Herzégovine (</w:t>
      </w:r>
      <w:hyperlink r:id="rId41" w:history="1">
        <w:r w:rsidRPr="00803B71">
          <w:rPr>
            <w:rStyle w:val="Lienhypertexte"/>
            <w:lang w:val="fr-FR"/>
          </w:rPr>
          <w:t>CERD/C/BIH/</w:t>
        </w:r>
        <w:r w:rsidR="00AF6F14">
          <w:rPr>
            <w:rStyle w:val="Lienhypertexte"/>
            <w:lang w:val="fr-FR"/>
          </w:rPr>
          <w:t xml:space="preserve"> </w:t>
        </w:r>
        <w:r w:rsidRPr="00803B71">
          <w:rPr>
            <w:rStyle w:val="Lienhypertexte"/>
            <w:lang w:val="fr-FR"/>
          </w:rPr>
          <w:t>CO/14-15</w:t>
        </w:r>
      </w:hyperlink>
      <w:r>
        <w:rPr>
          <w:lang w:val="fr-FR"/>
        </w:rPr>
        <w:t>), l’Iraq (</w:t>
      </w:r>
      <w:hyperlink r:id="rId42" w:history="1">
        <w:r w:rsidRPr="00803B71">
          <w:rPr>
            <w:rStyle w:val="Lienhypertexte"/>
            <w:lang w:val="fr-FR"/>
          </w:rPr>
          <w:t>CERD/C/IRQ/CO/26-27</w:t>
        </w:r>
      </w:hyperlink>
      <w:r>
        <w:rPr>
          <w:lang w:val="fr-FR"/>
        </w:rPr>
        <w:t>), le Pakistan (</w:t>
      </w:r>
      <w:hyperlink r:id="rId43" w:history="1">
        <w:r w:rsidRPr="00803B71">
          <w:rPr>
            <w:rStyle w:val="Lienhypertexte"/>
            <w:lang w:val="fr-FR"/>
          </w:rPr>
          <w:t>CERD/C/PAK/CO/24-26</w:t>
        </w:r>
      </w:hyperlink>
      <w:r>
        <w:rPr>
          <w:lang w:val="fr-FR"/>
        </w:rPr>
        <w:t>), la République bolivarienne du Venezuela (</w:t>
      </w:r>
      <w:hyperlink r:id="rId44" w:history="1">
        <w:r w:rsidRPr="00803B71">
          <w:rPr>
            <w:rStyle w:val="Lienhypertexte"/>
            <w:lang w:val="fr-FR"/>
          </w:rPr>
          <w:t>CERD/C/VEN/CO/22-24</w:t>
        </w:r>
      </w:hyperlink>
      <w:r>
        <w:rPr>
          <w:lang w:val="fr-FR"/>
        </w:rPr>
        <w:t>), la République islamique d’Iran (</w:t>
      </w:r>
      <w:hyperlink r:id="rId45" w:history="1">
        <w:r w:rsidRPr="00803B71">
          <w:rPr>
            <w:rStyle w:val="Lienhypertexte"/>
            <w:lang w:val="fr-FR"/>
          </w:rPr>
          <w:t>CERD/C/IRN/CO/20-27</w:t>
        </w:r>
      </w:hyperlink>
      <w:r>
        <w:rPr>
          <w:lang w:val="fr-FR"/>
        </w:rPr>
        <w:t>) et le Royaume-Uni de Grande-Bretagne et d’Irlande du Nord (</w:t>
      </w:r>
      <w:hyperlink r:id="rId46" w:history="1">
        <w:r w:rsidRPr="00803B71">
          <w:rPr>
            <w:rStyle w:val="Lienhypertexte"/>
            <w:lang w:val="fr-FR"/>
          </w:rPr>
          <w:t>CERD/C/GBR/CO/24-26</w:t>
        </w:r>
      </w:hyperlink>
      <w:r>
        <w:rPr>
          <w:lang w:val="fr-FR"/>
        </w:rPr>
        <w:t>)</w:t>
      </w:r>
      <w:r w:rsidR="007A599E" w:rsidRPr="007A599E">
        <w:rPr>
          <w:lang w:val="fr-FR"/>
        </w:rPr>
        <w:t>.</w:t>
      </w:r>
      <w:r>
        <w:rPr>
          <w:lang w:val="fr-FR"/>
        </w:rPr>
        <w:t xml:space="preserve"> Les rapporteurs et corapporteurs étaient : pour le Bélarus, M</w:t>
      </w:r>
      <w:r>
        <w:rPr>
          <w:vertAlign w:val="superscript"/>
          <w:lang w:val="fr-FR"/>
        </w:rPr>
        <w:t>me</w:t>
      </w:r>
      <w:r>
        <w:rPr>
          <w:lang w:val="fr-FR"/>
        </w:rPr>
        <w:t> </w:t>
      </w:r>
      <w:proofErr w:type="spellStart"/>
      <w:r>
        <w:rPr>
          <w:lang w:val="fr-FR"/>
        </w:rPr>
        <w:t>Esseneme</w:t>
      </w:r>
      <w:proofErr w:type="spellEnd"/>
      <w:r>
        <w:rPr>
          <w:lang w:val="fr-FR"/>
        </w:rPr>
        <w:t xml:space="preserve"> et M</w:t>
      </w:r>
      <w:r w:rsidR="007A599E" w:rsidRPr="007A599E">
        <w:rPr>
          <w:lang w:val="fr-FR"/>
        </w:rPr>
        <w:t>.</w:t>
      </w:r>
      <w:r>
        <w:rPr>
          <w:lang w:val="fr-FR"/>
        </w:rPr>
        <w:t> Diaby ; pour la Bosnie-Herzégovine, M</w:t>
      </w:r>
      <w:r>
        <w:rPr>
          <w:vertAlign w:val="superscript"/>
          <w:lang w:val="fr-FR"/>
        </w:rPr>
        <w:t>me</w:t>
      </w:r>
      <w:r>
        <w:rPr>
          <w:lang w:val="fr-FR"/>
        </w:rPr>
        <w:t> Chung et M</w:t>
      </w:r>
      <w:r w:rsidR="007A599E" w:rsidRPr="007A599E">
        <w:rPr>
          <w:lang w:val="fr-FR"/>
        </w:rPr>
        <w:t>.</w:t>
      </w:r>
      <w:r>
        <w:rPr>
          <w:lang w:val="fr-FR"/>
        </w:rPr>
        <w:t> Guan ; pour l’Iraq, M</w:t>
      </w:r>
      <w:r w:rsidR="007A599E" w:rsidRPr="007A599E">
        <w:rPr>
          <w:lang w:val="fr-FR"/>
        </w:rPr>
        <w:t>.</w:t>
      </w:r>
      <w:r>
        <w:rPr>
          <w:lang w:val="fr-FR"/>
        </w:rPr>
        <w:t> </w:t>
      </w:r>
      <w:proofErr w:type="spellStart"/>
      <w:r>
        <w:rPr>
          <w:lang w:val="fr-FR"/>
        </w:rPr>
        <w:t>Guissé</w:t>
      </w:r>
      <w:proofErr w:type="spellEnd"/>
      <w:r>
        <w:rPr>
          <w:lang w:val="fr-FR"/>
        </w:rPr>
        <w:t xml:space="preserve"> et M</w:t>
      </w:r>
      <w:r w:rsidR="007A599E" w:rsidRPr="007A599E">
        <w:rPr>
          <w:lang w:val="fr-FR"/>
        </w:rPr>
        <w:t>.</w:t>
      </w:r>
      <w:r>
        <w:rPr>
          <w:lang w:val="fr-FR"/>
        </w:rPr>
        <w:t> Amir ; pour le Pakistan, M</w:t>
      </w:r>
      <w:r w:rsidR="007A599E" w:rsidRPr="007A599E">
        <w:rPr>
          <w:lang w:val="fr-FR"/>
        </w:rPr>
        <w:t>.</w:t>
      </w:r>
      <w:r>
        <w:rPr>
          <w:lang w:val="fr-FR"/>
        </w:rPr>
        <w:t xml:space="preserve"> Yeung </w:t>
      </w:r>
      <w:proofErr w:type="spellStart"/>
      <w:r>
        <w:rPr>
          <w:lang w:val="fr-FR"/>
        </w:rPr>
        <w:t>Sik</w:t>
      </w:r>
      <w:proofErr w:type="spellEnd"/>
      <w:r>
        <w:rPr>
          <w:lang w:val="fr-FR"/>
        </w:rPr>
        <w:t xml:space="preserve"> </w:t>
      </w:r>
      <w:proofErr w:type="spellStart"/>
      <w:r>
        <w:rPr>
          <w:lang w:val="fr-FR"/>
        </w:rPr>
        <w:t>Yuen</w:t>
      </w:r>
      <w:proofErr w:type="spellEnd"/>
      <w:r>
        <w:rPr>
          <w:lang w:val="fr-FR"/>
        </w:rPr>
        <w:t xml:space="preserve"> et M</w:t>
      </w:r>
      <w:r>
        <w:rPr>
          <w:vertAlign w:val="superscript"/>
          <w:lang w:val="fr-FR"/>
        </w:rPr>
        <w:t>me</w:t>
      </w:r>
      <w:r>
        <w:rPr>
          <w:lang w:val="fr-FR"/>
        </w:rPr>
        <w:t> </w:t>
      </w:r>
      <w:proofErr w:type="spellStart"/>
      <w:r>
        <w:rPr>
          <w:lang w:val="fr-FR"/>
        </w:rPr>
        <w:t>Boker</w:t>
      </w:r>
      <w:proofErr w:type="spellEnd"/>
      <w:r>
        <w:rPr>
          <w:lang w:val="fr-FR"/>
        </w:rPr>
        <w:t>-Wilson ; pour la République bolivarienne du Venezuela, M</w:t>
      </w:r>
      <w:r w:rsidR="007A599E" w:rsidRPr="007A599E">
        <w:rPr>
          <w:lang w:val="fr-FR"/>
        </w:rPr>
        <w:t>.</w:t>
      </w:r>
      <w:r>
        <w:rPr>
          <w:lang w:val="fr-FR"/>
        </w:rPr>
        <w:t> Diaby et M</w:t>
      </w:r>
      <w:r w:rsidR="007A599E" w:rsidRPr="007A599E">
        <w:rPr>
          <w:lang w:val="fr-FR"/>
        </w:rPr>
        <w:t>.</w:t>
      </w:r>
      <w:r>
        <w:rPr>
          <w:lang w:val="fr-FR"/>
        </w:rPr>
        <w:t> </w:t>
      </w:r>
      <w:proofErr w:type="spellStart"/>
      <w:r>
        <w:rPr>
          <w:lang w:val="fr-FR"/>
        </w:rPr>
        <w:t>Tlemçani</w:t>
      </w:r>
      <w:proofErr w:type="spellEnd"/>
      <w:r>
        <w:rPr>
          <w:lang w:val="fr-FR"/>
        </w:rPr>
        <w:t> ; pour la République islamique d’Iran, M</w:t>
      </w:r>
      <w:r w:rsidR="007A599E" w:rsidRPr="007A599E">
        <w:rPr>
          <w:lang w:val="fr-FR"/>
        </w:rPr>
        <w:t>.</w:t>
      </w:r>
      <w:r>
        <w:rPr>
          <w:lang w:val="fr-FR"/>
        </w:rPr>
        <w:t> </w:t>
      </w:r>
      <w:proofErr w:type="spellStart"/>
      <w:r>
        <w:rPr>
          <w:lang w:val="fr-FR"/>
        </w:rPr>
        <w:t>Balcerzak</w:t>
      </w:r>
      <w:proofErr w:type="spellEnd"/>
      <w:r>
        <w:rPr>
          <w:lang w:val="fr-FR"/>
        </w:rPr>
        <w:t xml:space="preserve"> et M</w:t>
      </w:r>
      <w:r w:rsidR="007A599E" w:rsidRPr="007A599E">
        <w:rPr>
          <w:lang w:val="fr-FR"/>
        </w:rPr>
        <w:t>.</w:t>
      </w:r>
      <w:r>
        <w:rPr>
          <w:lang w:val="fr-FR"/>
        </w:rPr>
        <w:t> </w:t>
      </w:r>
      <w:proofErr w:type="spellStart"/>
      <w:r>
        <w:rPr>
          <w:lang w:val="fr-FR"/>
        </w:rPr>
        <w:t>Sibande</w:t>
      </w:r>
      <w:proofErr w:type="spellEnd"/>
      <w:r>
        <w:rPr>
          <w:lang w:val="fr-FR"/>
        </w:rPr>
        <w:t> ; pour le Royaume-Uni, M</w:t>
      </w:r>
      <w:r w:rsidR="007A599E" w:rsidRPr="007A599E">
        <w:rPr>
          <w:lang w:val="fr-FR"/>
        </w:rPr>
        <w:t>.</w:t>
      </w:r>
      <w:r>
        <w:rPr>
          <w:lang w:val="fr-FR"/>
        </w:rPr>
        <w:t> </w:t>
      </w:r>
      <w:proofErr w:type="spellStart"/>
      <w:r>
        <w:rPr>
          <w:lang w:val="fr-FR"/>
        </w:rPr>
        <w:t>Kut</w:t>
      </w:r>
      <w:proofErr w:type="spellEnd"/>
      <w:r>
        <w:rPr>
          <w:lang w:val="fr-FR"/>
        </w:rPr>
        <w:t xml:space="preserve"> et M</w:t>
      </w:r>
      <w:r>
        <w:rPr>
          <w:vertAlign w:val="superscript"/>
          <w:lang w:val="fr-FR"/>
        </w:rPr>
        <w:t>me</w:t>
      </w:r>
      <w:r>
        <w:rPr>
          <w:lang w:val="fr-FR"/>
        </w:rPr>
        <w:t> </w:t>
      </w:r>
      <w:proofErr w:type="spellStart"/>
      <w:r>
        <w:rPr>
          <w:lang w:val="fr-FR"/>
        </w:rPr>
        <w:t>Stavrinaki</w:t>
      </w:r>
      <w:proofErr w:type="spellEnd"/>
      <w:r w:rsidR="007A599E" w:rsidRPr="007A599E">
        <w:rPr>
          <w:lang w:val="fr-FR"/>
        </w:rPr>
        <w:t>.</w:t>
      </w:r>
      <w:hyperlink r:id="rId47" w:history="1"/>
      <w:hyperlink r:id="rId48" w:history="1"/>
      <w:hyperlink r:id="rId49" w:history="1"/>
      <w:hyperlink r:id="rId50" w:history="1"/>
      <w:hyperlink r:id="rId51" w:history="1"/>
      <w:hyperlink r:id="rId52" w:history="1"/>
      <w:hyperlink r:id="rId53" w:history="1"/>
    </w:p>
    <w:p w14:paraId="114E950D" w14:textId="63C8F5C1" w:rsidR="005E5363" w:rsidRPr="007E0FB5" w:rsidRDefault="005E5363" w:rsidP="005E5363">
      <w:pPr>
        <w:pStyle w:val="SingleTxtG"/>
      </w:pPr>
      <w:r>
        <w:rPr>
          <w:lang w:val="fr-FR"/>
        </w:rPr>
        <w:t>65</w:t>
      </w:r>
      <w:r w:rsidR="007A599E" w:rsidRPr="007A599E">
        <w:rPr>
          <w:lang w:val="fr-FR"/>
        </w:rPr>
        <w:t>.</w:t>
      </w:r>
      <w:r>
        <w:rPr>
          <w:lang w:val="fr-FR"/>
        </w:rPr>
        <w:tab/>
        <w:t>À sa 114</w:t>
      </w:r>
      <w:r>
        <w:rPr>
          <w:vertAlign w:val="superscript"/>
          <w:lang w:val="fr-FR"/>
        </w:rPr>
        <w:t>e</w:t>
      </w:r>
      <w:r>
        <w:rPr>
          <w:lang w:val="fr-FR"/>
        </w:rPr>
        <w:t> session, le Comité a adopté des observations finales sur les rapports présentés par l’Arabie saoudite (</w:t>
      </w:r>
      <w:hyperlink r:id="rId54" w:history="1">
        <w:r w:rsidRPr="00803B71">
          <w:rPr>
            <w:rStyle w:val="Lienhypertexte"/>
            <w:lang w:val="fr-FR"/>
          </w:rPr>
          <w:t>CERD/C/SAU/CO/10-11</w:t>
        </w:r>
      </w:hyperlink>
      <w:r>
        <w:rPr>
          <w:lang w:val="fr-FR"/>
        </w:rPr>
        <w:t>), l’Arménie (</w:t>
      </w:r>
      <w:hyperlink r:id="rId55" w:history="1">
        <w:r w:rsidRPr="00803B71">
          <w:rPr>
            <w:rStyle w:val="Lienhypertexte"/>
            <w:lang w:val="fr-FR"/>
          </w:rPr>
          <w:t>CERD/C/ARM/</w:t>
        </w:r>
        <w:r w:rsidR="00AF6F14">
          <w:rPr>
            <w:rStyle w:val="Lienhypertexte"/>
            <w:lang w:val="fr-FR"/>
          </w:rPr>
          <w:t xml:space="preserve"> </w:t>
        </w:r>
        <w:r w:rsidRPr="00803B71">
          <w:rPr>
            <w:rStyle w:val="Lienhypertexte"/>
            <w:lang w:val="fr-FR"/>
          </w:rPr>
          <w:t>CO/12-14</w:t>
        </w:r>
      </w:hyperlink>
      <w:r>
        <w:rPr>
          <w:lang w:val="fr-FR"/>
        </w:rPr>
        <w:t>), l’Équateur (</w:t>
      </w:r>
      <w:hyperlink r:id="rId56" w:history="1">
        <w:r w:rsidRPr="00803B71">
          <w:rPr>
            <w:rStyle w:val="Lienhypertexte"/>
            <w:lang w:val="fr-FR"/>
          </w:rPr>
          <w:t>CERD/C/ECU/CO/25</w:t>
        </w:r>
      </w:hyperlink>
      <w:r>
        <w:rPr>
          <w:lang w:val="fr-FR"/>
        </w:rPr>
        <w:t>), la Grèce (</w:t>
      </w:r>
      <w:hyperlink r:id="rId57" w:history="1">
        <w:r w:rsidRPr="00803B71">
          <w:rPr>
            <w:rStyle w:val="Lienhypertexte"/>
            <w:lang w:val="fr-FR"/>
          </w:rPr>
          <w:t>CERD/C/GRC/CO/23-24</w:t>
        </w:r>
      </w:hyperlink>
      <w:r>
        <w:rPr>
          <w:lang w:val="fr-FR"/>
        </w:rPr>
        <w:t>), le Kenya (</w:t>
      </w:r>
      <w:hyperlink r:id="rId58" w:history="1">
        <w:r w:rsidRPr="00803B71">
          <w:rPr>
            <w:rStyle w:val="Lienhypertexte"/>
            <w:lang w:val="fr-FR"/>
          </w:rPr>
          <w:t>CERD/C/KEN/CO/8-9</w:t>
        </w:r>
      </w:hyperlink>
      <w:r>
        <w:rPr>
          <w:lang w:val="fr-FR"/>
        </w:rPr>
        <w:t>) et Monaco (</w:t>
      </w:r>
      <w:hyperlink r:id="rId59" w:history="1">
        <w:r w:rsidRPr="00803B71">
          <w:rPr>
            <w:rStyle w:val="Lienhypertexte"/>
            <w:lang w:val="fr-FR"/>
          </w:rPr>
          <w:t>CERD/C/MCO/CO/7-9</w:t>
        </w:r>
      </w:hyperlink>
      <w:r>
        <w:rPr>
          <w:lang w:val="fr-FR"/>
        </w:rPr>
        <w:t>)</w:t>
      </w:r>
      <w:r w:rsidR="007A599E" w:rsidRPr="007A599E">
        <w:rPr>
          <w:lang w:val="fr-FR"/>
        </w:rPr>
        <w:t>.</w:t>
      </w:r>
      <w:r>
        <w:rPr>
          <w:lang w:val="fr-FR"/>
        </w:rPr>
        <w:t xml:space="preserve"> Les rapporteurs et corapporteurs étaient : pour l’Arabie saoudite, M</w:t>
      </w:r>
      <w:r>
        <w:rPr>
          <w:vertAlign w:val="superscript"/>
          <w:lang w:val="fr-FR"/>
        </w:rPr>
        <w:t>me</w:t>
      </w:r>
      <w:r>
        <w:rPr>
          <w:lang w:val="fr-FR"/>
        </w:rPr>
        <w:t> </w:t>
      </w:r>
      <w:proofErr w:type="spellStart"/>
      <w:r>
        <w:rPr>
          <w:lang w:val="fr-FR"/>
        </w:rPr>
        <w:t>Stavrinaki</w:t>
      </w:r>
      <w:proofErr w:type="spellEnd"/>
      <w:r>
        <w:rPr>
          <w:lang w:val="fr-FR"/>
        </w:rPr>
        <w:t xml:space="preserve"> et M</w:t>
      </w:r>
      <w:r w:rsidR="007A599E" w:rsidRPr="007A599E">
        <w:rPr>
          <w:lang w:val="fr-FR"/>
        </w:rPr>
        <w:t>.</w:t>
      </w:r>
      <w:r>
        <w:rPr>
          <w:lang w:val="fr-FR"/>
        </w:rPr>
        <w:t> </w:t>
      </w:r>
      <w:proofErr w:type="spellStart"/>
      <w:r>
        <w:rPr>
          <w:lang w:val="fr-FR"/>
        </w:rPr>
        <w:t>Guissé</w:t>
      </w:r>
      <w:proofErr w:type="spellEnd"/>
      <w:r>
        <w:rPr>
          <w:lang w:val="fr-FR"/>
        </w:rPr>
        <w:t> ; pour l’Arménie, M</w:t>
      </w:r>
      <w:r w:rsidR="007A599E" w:rsidRPr="007A599E">
        <w:rPr>
          <w:lang w:val="fr-FR"/>
        </w:rPr>
        <w:t>.</w:t>
      </w:r>
      <w:r>
        <w:rPr>
          <w:lang w:val="fr-FR"/>
        </w:rPr>
        <w:t xml:space="preserve"> Yeung </w:t>
      </w:r>
      <w:proofErr w:type="spellStart"/>
      <w:r>
        <w:rPr>
          <w:lang w:val="fr-FR"/>
        </w:rPr>
        <w:t>Sik</w:t>
      </w:r>
      <w:proofErr w:type="spellEnd"/>
      <w:r>
        <w:rPr>
          <w:lang w:val="fr-FR"/>
        </w:rPr>
        <w:t xml:space="preserve"> </w:t>
      </w:r>
      <w:proofErr w:type="spellStart"/>
      <w:r>
        <w:rPr>
          <w:lang w:val="fr-FR"/>
        </w:rPr>
        <w:t>Yuen</w:t>
      </w:r>
      <w:proofErr w:type="spellEnd"/>
      <w:r>
        <w:rPr>
          <w:lang w:val="fr-FR"/>
        </w:rPr>
        <w:t xml:space="preserve"> et M</w:t>
      </w:r>
      <w:r>
        <w:rPr>
          <w:vertAlign w:val="superscript"/>
          <w:lang w:val="fr-FR"/>
        </w:rPr>
        <w:t>me </w:t>
      </w:r>
      <w:r>
        <w:rPr>
          <w:lang w:val="fr-FR"/>
        </w:rPr>
        <w:t>Chung ; pour l’Équateur, M</w:t>
      </w:r>
      <w:r w:rsidR="007A599E" w:rsidRPr="007A599E">
        <w:rPr>
          <w:lang w:val="fr-FR"/>
        </w:rPr>
        <w:t>.</w:t>
      </w:r>
      <w:r>
        <w:rPr>
          <w:lang w:val="fr-FR"/>
        </w:rPr>
        <w:t> </w:t>
      </w:r>
      <w:proofErr w:type="spellStart"/>
      <w:r>
        <w:rPr>
          <w:lang w:val="fr-FR"/>
        </w:rPr>
        <w:t>Tlemçani</w:t>
      </w:r>
      <w:proofErr w:type="spellEnd"/>
      <w:r>
        <w:rPr>
          <w:lang w:val="fr-FR"/>
        </w:rPr>
        <w:t xml:space="preserve"> et M</w:t>
      </w:r>
      <w:r w:rsidR="007A599E" w:rsidRPr="007A599E">
        <w:rPr>
          <w:lang w:val="fr-FR"/>
        </w:rPr>
        <w:t>.</w:t>
      </w:r>
      <w:r>
        <w:rPr>
          <w:lang w:val="fr-FR"/>
        </w:rPr>
        <w:t> </w:t>
      </w:r>
      <w:proofErr w:type="spellStart"/>
      <w:r>
        <w:rPr>
          <w:lang w:val="fr-FR"/>
        </w:rPr>
        <w:t>Sibande</w:t>
      </w:r>
      <w:proofErr w:type="spellEnd"/>
      <w:r>
        <w:rPr>
          <w:lang w:val="fr-FR"/>
        </w:rPr>
        <w:t> ; pour la Grèce, M</w:t>
      </w:r>
      <w:r w:rsidR="007A599E" w:rsidRPr="007A599E">
        <w:rPr>
          <w:lang w:val="fr-FR"/>
        </w:rPr>
        <w:t>.</w:t>
      </w:r>
      <w:r>
        <w:rPr>
          <w:lang w:val="fr-FR"/>
        </w:rPr>
        <w:t> Diaby et M</w:t>
      </w:r>
      <w:r>
        <w:rPr>
          <w:vertAlign w:val="superscript"/>
          <w:lang w:val="fr-FR"/>
        </w:rPr>
        <w:t>me</w:t>
      </w:r>
      <w:r>
        <w:rPr>
          <w:lang w:val="fr-FR"/>
        </w:rPr>
        <w:t> </w:t>
      </w:r>
      <w:proofErr w:type="spellStart"/>
      <w:r>
        <w:rPr>
          <w:lang w:val="fr-FR"/>
        </w:rPr>
        <w:t>Tebie</w:t>
      </w:r>
      <w:proofErr w:type="spellEnd"/>
      <w:r>
        <w:rPr>
          <w:lang w:val="fr-FR"/>
        </w:rPr>
        <w:t> ; pour le Kenya, M</w:t>
      </w:r>
      <w:r>
        <w:rPr>
          <w:vertAlign w:val="superscript"/>
          <w:lang w:val="fr-FR"/>
        </w:rPr>
        <w:t>me</w:t>
      </w:r>
      <w:r>
        <w:rPr>
          <w:lang w:val="fr-FR"/>
        </w:rPr>
        <w:t> </w:t>
      </w:r>
      <w:proofErr w:type="spellStart"/>
      <w:r>
        <w:rPr>
          <w:lang w:val="fr-FR"/>
        </w:rPr>
        <w:t>Boker</w:t>
      </w:r>
      <w:proofErr w:type="spellEnd"/>
      <w:r>
        <w:rPr>
          <w:lang w:val="fr-FR"/>
        </w:rPr>
        <w:t>-Wilson et M</w:t>
      </w:r>
      <w:r>
        <w:rPr>
          <w:vertAlign w:val="superscript"/>
          <w:lang w:val="fr-FR"/>
        </w:rPr>
        <w:t>me</w:t>
      </w:r>
      <w:r>
        <w:rPr>
          <w:lang w:val="fr-FR"/>
        </w:rPr>
        <w:t> McDougall ; pour Monaco, M</w:t>
      </w:r>
      <w:r>
        <w:rPr>
          <w:vertAlign w:val="superscript"/>
          <w:lang w:val="fr-FR"/>
        </w:rPr>
        <w:t>me</w:t>
      </w:r>
      <w:r>
        <w:rPr>
          <w:lang w:val="fr-FR"/>
        </w:rPr>
        <w:t> </w:t>
      </w:r>
      <w:proofErr w:type="spellStart"/>
      <w:r>
        <w:rPr>
          <w:lang w:val="fr-FR"/>
        </w:rPr>
        <w:t>Esseneme</w:t>
      </w:r>
      <w:proofErr w:type="spellEnd"/>
      <w:r>
        <w:rPr>
          <w:lang w:val="fr-FR"/>
        </w:rPr>
        <w:t xml:space="preserve"> et M</w:t>
      </w:r>
      <w:r w:rsidR="007A599E" w:rsidRPr="007A599E">
        <w:rPr>
          <w:lang w:val="fr-FR"/>
        </w:rPr>
        <w:t>.</w:t>
      </w:r>
      <w:r>
        <w:rPr>
          <w:lang w:val="fr-FR"/>
        </w:rPr>
        <w:t> Guan</w:t>
      </w:r>
      <w:r w:rsidR="007A599E" w:rsidRPr="007A599E">
        <w:rPr>
          <w:lang w:val="fr-FR"/>
        </w:rPr>
        <w:t>.</w:t>
      </w:r>
      <w:r>
        <w:rPr>
          <w:lang w:val="fr-FR"/>
        </w:rPr>
        <w:t xml:space="preserve"> </w:t>
      </w:r>
      <w:hyperlink r:id="rId60" w:history="1"/>
      <w:hyperlink r:id="rId61" w:history="1"/>
      <w:hyperlink r:id="rId62" w:history="1"/>
      <w:hyperlink r:id="rId63" w:history="1"/>
      <w:hyperlink r:id="rId64" w:history="1"/>
      <w:hyperlink r:id="rId65" w:history="1"/>
    </w:p>
    <w:p w14:paraId="0EB8C3FB" w14:textId="30558DB2" w:rsidR="005E5363" w:rsidRPr="007E0FB5" w:rsidRDefault="005E5363" w:rsidP="005E5363">
      <w:pPr>
        <w:pStyle w:val="SingleTxtG"/>
      </w:pPr>
      <w:r>
        <w:rPr>
          <w:lang w:val="fr-FR"/>
        </w:rPr>
        <w:t>66</w:t>
      </w:r>
      <w:r w:rsidR="007A599E" w:rsidRPr="007A599E">
        <w:rPr>
          <w:lang w:val="fr-FR"/>
        </w:rPr>
        <w:t>.</w:t>
      </w:r>
      <w:r>
        <w:rPr>
          <w:lang w:val="fr-FR"/>
        </w:rPr>
        <w:tab/>
        <w:t>À sa 115</w:t>
      </w:r>
      <w:r>
        <w:rPr>
          <w:vertAlign w:val="superscript"/>
          <w:lang w:val="fr-FR"/>
        </w:rPr>
        <w:t>e</w:t>
      </w:r>
      <w:r>
        <w:rPr>
          <w:lang w:val="fr-FR"/>
        </w:rPr>
        <w:t> session, le Comité a adopté des observations finales sur les rapports présentés par le Gabon (</w:t>
      </w:r>
      <w:hyperlink r:id="rId66" w:history="1">
        <w:r w:rsidRPr="00803B71">
          <w:rPr>
            <w:rStyle w:val="Lienhypertexte"/>
            <w:lang w:val="fr-FR"/>
          </w:rPr>
          <w:t>CERD/C/GAB/CO/10</w:t>
        </w:r>
      </w:hyperlink>
      <w:r>
        <w:rPr>
          <w:lang w:val="fr-FR"/>
        </w:rPr>
        <w:t>), le Kirghizistan (</w:t>
      </w:r>
      <w:hyperlink r:id="rId67" w:history="1">
        <w:r w:rsidRPr="00803B71">
          <w:rPr>
            <w:rStyle w:val="Lienhypertexte"/>
            <w:lang w:val="fr-FR"/>
          </w:rPr>
          <w:t>CERD/C/KGZ/CO/11-12</w:t>
        </w:r>
      </w:hyperlink>
      <w:r>
        <w:rPr>
          <w:lang w:val="fr-FR"/>
        </w:rPr>
        <w:t>), Maurice (</w:t>
      </w:r>
      <w:hyperlink r:id="rId68" w:history="1">
        <w:r w:rsidRPr="00803B71">
          <w:rPr>
            <w:rStyle w:val="Lienhypertexte"/>
            <w:lang w:val="fr-FR"/>
          </w:rPr>
          <w:t>CERD/C/MUS/CO/24-25</w:t>
        </w:r>
      </w:hyperlink>
      <w:r>
        <w:rPr>
          <w:lang w:val="fr-FR"/>
        </w:rPr>
        <w:t>), la République de Corée (</w:t>
      </w:r>
      <w:hyperlink r:id="rId69" w:history="1">
        <w:r w:rsidRPr="00803B71">
          <w:rPr>
            <w:rStyle w:val="Lienhypertexte"/>
            <w:lang w:val="fr-FR"/>
          </w:rPr>
          <w:t>CERD/C/KOR/CO/20-22</w:t>
        </w:r>
      </w:hyperlink>
      <w:r>
        <w:rPr>
          <w:lang w:val="fr-FR"/>
        </w:rPr>
        <w:t>) et l’Ukraine (</w:t>
      </w:r>
      <w:hyperlink r:id="rId70" w:history="1">
        <w:r w:rsidRPr="00803B71">
          <w:rPr>
            <w:rStyle w:val="Lienhypertexte"/>
            <w:lang w:val="fr-FR"/>
          </w:rPr>
          <w:t>CERD/C/UKR/CO/24-26</w:t>
        </w:r>
      </w:hyperlink>
      <w:r>
        <w:rPr>
          <w:lang w:val="fr-FR"/>
        </w:rPr>
        <w:t>)</w:t>
      </w:r>
      <w:r w:rsidR="007A599E" w:rsidRPr="007A599E">
        <w:rPr>
          <w:lang w:val="fr-FR"/>
        </w:rPr>
        <w:t>.</w:t>
      </w:r>
      <w:r>
        <w:rPr>
          <w:lang w:val="fr-FR"/>
        </w:rPr>
        <w:t xml:space="preserve"> Les rapporteurs et corapporteurs étaient : pour le Gabon, M</w:t>
      </w:r>
      <w:r>
        <w:rPr>
          <w:vertAlign w:val="superscript"/>
          <w:lang w:val="fr-FR"/>
        </w:rPr>
        <w:t>me</w:t>
      </w:r>
      <w:r>
        <w:rPr>
          <w:lang w:val="fr-FR"/>
        </w:rPr>
        <w:t> </w:t>
      </w:r>
      <w:proofErr w:type="spellStart"/>
      <w:r>
        <w:rPr>
          <w:lang w:val="fr-FR"/>
        </w:rPr>
        <w:t>Esseneme</w:t>
      </w:r>
      <w:proofErr w:type="spellEnd"/>
      <w:r>
        <w:rPr>
          <w:lang w:val="fr-FR"/>
        </w:rPr>
        <w:t xml:space="preserve"> et M</w:t>
      </w:r>
      <w:r w:rsidR="007A599E" w:rsidRPr="007A599E">
        <w:rPr>
          <w:lang w:val="fr-FR"/>
        </w:rPr>
        <w:t>.</w:t>
      </w:r>
      <w:r>
        <w:rPr>
          <w:lang w:val="fr-FR"/>
        </w:rPr>
        <w:t> Diaby ; pour le Kirghizistan, M</w:t>
      </w:r>
      <w:r w:rsidR="007A599E" w:rsidRPr="007A599E">
        <w:rPr>
          <w:lang w:val="fr-FR"/>
        </w:rPr>
        <w:t>.</w:t>
      </w:r>
      <w:r>
        <w:rPr>
          <w:lang w:val="fr-FR"/>
        </w:rPr>
        <w:t> Guan et M</w:t>
      </w:r>
      <w:r>
        <w:rPr>
          <w:vertAlign w:val="superscript"/>
          <w:lang w:val="fr-FR"/>
        </w:rPr>
        <w:t>me</w:t>
      </w:r>
      <w:r>
        <w:rPr>
          <w:lang w:val="fr-FR"/>
        </w:rPr>
        <w:t> </w:t>
      </w:r>
      <w:proofErr w:type="spellStart"/>
      <w:r>
        <w:rPr>
          <w:lang w:val="fr-FR"/>
        </w:rPr>
        <w:t>Tebie</w:t>
      </w:r>
      <w:proofErr w:type="spellEnd"/>
      <w:r>
        <w:rPr>
          <w:lang w:val="fr-FR"/>
        </w:rPr>
        <w:t> ; pour Maurice, M</w:t>
      </w:r>
      <w:r>
        <w:rPr>
          <w:vertAlign w:val="superscript"/>
          <w:lang w:val="fr-FR"/>
        </w:rPr>
        <w:t>me </w:t>
      </w:r>
      <w:proofErr w:type="spellStart"/>
      <w:r>
        <w:rPr>
          <w:lang w:val="fr-FR"/>
        </w:rPr>
        <w:t>Boker</w:t>
      </w:r>
      <w:proofErr w:type="spellEnd"/>
      <w:r>
        <w:rPr>
          <w:lang w:val="fr-FR"/>
        </w:rPr>
        <w:t>-Wilson et M</w:t>
      </w:r>
      <w:r w:rsidR="007A599E" w:rsidRPr="007A599E">
        <w:rPr>
          <w:lang w:val="fr-FR"/>
        </w:rPr>
        <w:t>.</w:t>
      </w:r>
      <w:r>
        <w:rPr>
          <w:lang w:val="fr-FR"/>
        </w:rPr>
        <w:t> </w:t>
      </w:r>
      <w:proofErr w:type="spellStart"/>
      <w:r>
        <w:rPr>
          <w:lang w:val="fr-FR"/>
        </w:rPr>
        <w:t>Sibande</w:t>
      </w:r>
      <w:proofErr w:type="spellEnd"/>
      <w:r>
        <w:rPr>
          <w:lang w:val="fr-FR"/>
        </w:rPr>
        <w:t> ; pour la République de Corée, M</w:t>
      </w:r>
      <w:r w:rsidRPr="00AF6F14">
        <w:rPr>
          <w:vertAlign w:val="superscript"/>
          <w:lang w:val="fr-FR"/>
        </w:rPr>
        <w:t>me</w:t>
      </w:r>
      <w:r>
        <w:rPr>
          <w:lang w:val="fr-FR"/>
        </w:rPr>
        <w:t> </w:t>
      </w:r>
      <w:proofErr w:type="spellStart"/>
      <w:r>
        <w:rPr>
          <w:lang w:val="fr-FR"/>
        </w:rPr>
        <w:t>Stavrinaki</w:t>
      </w:r>
      <w:proofErr w:type="spellEnd"/>
      <w:r>
        <w:rPr>
          <w:lang w:val="fr-FR"/>
        </w:rPr>
        <w:t xml:space="preserve"> et M</w:t>
      </w:r>
      <w:r w:rsidR="007A599E" w:rsidRPr="007A599E">
        <w:rPr>
          <w:lang w:val="fr-FR"/>
        </w:rPr>
        <w:t>.</w:t>
      </w:r>
      <w:r>
        <w:rPr>
          <w:lang w:val="fr-FR"/>
        </w:rPr>
        <w:t xml:space="preserve"> Yeung </w:t>
      </w:r>
      <w:proofErr w:type="spellStart"/>
      <w:r>
        <w:rPr>
          <w:lang w:val="fr-FR"/>
        </w:rPr>
        <w:t>Sik</w:t>
      </w:r>
      <w:proofErr w:type="spellEnd"/>
      <w:r>
        <w:rPr>
          <w:lang w:val="fr-FR"/>
        </w:rPr>
        <w:t xml:space="preserve"> </w:t>
      </w:r>
      <w:proofErr w:type="spellStart"/>
      <w:r>
        <w:rPr>
          <w:lang w:val="fr-FR"/>
        </w:rPr>
        <w:t>Yuen</w:t>
      </w:r>
      <w:proofErr w:type="spellEnd"/>
      <w:r>
        <w:rPr>
          <w:lang w:val="fr-FR"/>
        </w:rPr>
        <w:t> ; pour l’Ukraine, M</w:t>
      </w:r>
      <w:r w:rsidR="007A599E" w:rsidRPr="007A599E">
        <w:rPr>
          <w:lang w:val="fr-FR"/>
        </w:rPr>
        <w:t>.</w:t>
      </w:r>
      <w:r>
        <w:rPr>
          <w:lang w:val="fr-FR"/>
        </w:rPr>
        <w:t> </w:t>
      </w:r>
      <w:proofErr w:type="spellStart"/>
      <w:r>
        <w:rPr>
          <w:lang w:val="fr-FR"/>
        </w:rPr>
        <w:t>Guissé</w:t>
      </w:r>
      <w:proofErr w:type="spellEnd"/>
      <w:r>
        <w:rPr>
          <w:lang w:val="fr-FR"/>
        </w:rPr>
        <w:t xml:space="preserve"> et M</w:t>
      </w:r>
      <w:r>
        <w:rPr>
          <w:vertAlign w:val="superscript"/>
          <w:lang w:val="fr-FR"/>
        </w:rPr>
        <w:t>me</w:t>
      </w:r>
      <w:r>
        <w:rPr>
          <w:lang w:val="fr-FR"/>
        </w:rPr>
        <w:t> Chung</w:t>
      </w:r>
      <w:r w:rsidR="007A599E" w:rsidRPr="007A599E">
        <w:rPr>
          <w:lang w:val="fr-FR"/>
        </w:rPr>
        <w:t>.</w:t>
      </w:r>
      <w:hyperlink r:id="rId71" w:history="1"/>
      <w:hyperlink r:id="rId72" w:history="1"/>
      <w:hyperlink r:id="rId73" w:history="1"/>
      <w:hyperlink r:id="rId74" w:history="1"/>
      <w:hyperlink r:id="rId75" w:history="1"/>
    </w:p>
    <w:p w14:paraId="614326C2" w14:textId="7120D780" w:rsidR="005E5363" w:rsidRPr="007E0FB5" w:rsidRDefault="005E5363" w:rsidP="005E5363">
      <w:pPr>
        <w:pStyle w:val="SingleTxtG"/>
      </w:pPr>
      <w:r>
        <w:rPr>
          <w:lang w:val="fr-FR"/>
        </w:rPr>
        <w:t>67</w:t>
      </w:r>
      <w:r w:rsidR="007A599E" w:rsidRPr="007A599E">
        <w:rPr>
          <w:lang w:val="fr-FR"/>
        </w:rPr>
        <w:t>.</w:t>
      </w:r>
      <w:r>
        <w:rPr>
          <w:lang w:val="fr-FR"/>
        </w:rPr>
        <w:tab/>
        <w:t>Il est possible de consulter les observations finales adoptées par le Comité à ses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sur sa page Web (</w:t>
      </w:r>
      <w:hyperlink r:id="rId76"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org/fr/treaty-bodies/cerd</w:t>
        </w:r>
      </w:hyperlink>
      <w:r>
        <w:rPr>
          <w:lang w:val="fr-FR"/>
        </w:rPr>
        <w:t>) et sur le Système de diffusion électronique des documents de l’Organisation des Nations Unies (</w:t>
      </w:r>
      <w:hyperlink r:id="rId77" w:history="1">
        <w:r>
          <w:rPr>
            <w:rStyle w:val="Lienhypertexte"/>
            <w:lang w:val="fr-FR"/>
          </w:rPr>
          <w:t>http://documents</w:t>
        </w:r>
        <w:r w:rsidR="007A599E" w:rsidRPr="007A599E">
          <w:rPr>
            <w:rStyle w:val="Lienhypertexte"/>
            <w:lang w:val="fr-FR"/>
          </w:rPr>
          <w:t>.</w:t>
        </w:r>
        <w:r>
          <w:rPr>
            <w:rStyle w:val="Lienhypertexte"/>
            <w:lang w:val="fr-FR"/>
          </w:rPr>
          <w:t>un</w:t>
        </w:r>
        <w:r w:rsidR="007A599E" w:rsidRPr="007A599E">
          <w:rPr>
            <w:rStyle w:val="Lienhypertexte"/>
            <w:lang w:val="fr-FR"/>
          </w:rPr>
          <w:t>.</w:t>
        </w:r>
        <w:r>
          <w:rPr>
            <w:rStyle w:val="Lienhypertexte"/>
            <w:lang w:val="fr-FR"/>
          </w:rPr>
          <w:t>org</w:t>
        </w:r>
      </w:hyperlink>
      <w:r>
        <w:rPr>
          <w:lang w:val="fr-FR"/>
        </w:rPr>
        <w:t>), à l’aide des cotes indiquées ci-dessus</w:t>
      </w:r>
      <w:r w:rsidR="007A599E" w:rsidRPr="007A599E">
        <w:rPr>
          <w:lang w:val="fr-FR"/>
        </w:rPr>
        <w:t>.</w:t>
      </w:r>
      <w:hyperlink r:id="rId78" w:history="1"/>
      <w:hyperlink r:id="rId79" w:history="1"/>
      <w:bookmarkStart w:id="96" w:name="_Toc428794288"/>
      <w:bookmarkStart w:id="97" w:name="_Toc17361300"/>
      <w:bookmarkStart w:id="98" w:name="_Toc48752325"/>
      <w:bookmarkStart w:id="99" w:name="_Toc48816878"/>
      <w:bookmarkStart w:id="100" w:name="_Toc81563230"/>
      <w:bookmarkStart w:id="101" w:name="_Toc113263039"/>
      <w:bookmarkStart w:id="102" w:name="_Toc176248187"/>
      <w:bookmarkStart w:id="103" w:name="_Toc176248852"/>
    </w:p>
    <w:p w14:paraId="6832D19E" w14:textId="77777777" w:rsidR="005E5363" w:rsidRPr="007E0FB5" w:rsidRDefault="005E5363" w:rsidP="005E5363">
      <w:pPr>
        <w:pStyle w:val="SingleTxtG"/>
      </w:pPr>
      <w:r w:rsidRPr="007E0FB5">
        <w:br w:type="page"/>
      </w:r>
    </w:p>
    <w:p w14:paraId="00A07EE2" w14:textId="3686B7B2" w:rsidR="005E5363" w:rsidRPr="007E0FB5" w:rsidRDefault="005E5363" w:rsidP="005E5363">
      <w:pPr>
        <w:pStyle w:val="HChG"/>
      </w:pPr>
      <w:r>
        <w:rPr>
          <w:bCs/>
          <w:lang w:val="fr-FR"/>
        </w:rPr>
        <w:lastRenderedPageBreak/>
        <w:tab/>
        <w:t>IV</w:t>
      </w:r>
      <w:r w:rsidR="007A599E" w:rsidRPr="007A599E">
        <w:rPr>
          <w:bCs/>
          <w:lang w:val="fr-FR"/>
        </w:rPr>
        <w:t>.</w:t>
      </w:r>
      <w:r>
        <w:rPr>
          <w:lang w:val="fr-FR"/>
        </w:rPr>
        <w:tab/>
      </w:r>
      <w:r>
        <w:rPr>
          <w:bCs/>
          <w:lang w:val="fr-FR"/>
        </w:rPr>
        <w:t>Suivi de l’examen des rapports soumis par les États Parties en application de l’article 9 de la Convention</w:t>
      </w:r>
      <w:bookmarkEnd w:id="96"/>
      <w:bookmarkEnd w:id="97"/>
      <w:bookmarkEnd w:id="98"/>
      <w:bookmarkEnd w:id="99"/>
      <w:bookmarkEnd w:id="100"/>
      <w:bookmarkEnd w:id="101"/>
      <w:bookmarkEnd w:id="102"/>
      <w:bookmarkEnd w:id="103"/>
    </w:p>
    <w:p w14:paraId="28304778" w14:textId="4D1EF52A" w:rsidR="005E5363" w:rsidRPr="007E0FB5" w:rsidRDefault="005E5363" w:rsidP="005E5363">
      <w:pPr>
        <w:pStyle w:val="SingleTxtG"/>
      </w:pPr>
      <w:r>
        <w:rPr>
          <w:lang w:val="fr-FR"/>
        </w:rPr>
        <w:t>68</w:t>
      </w:r>
      <w:r w:rsidR="007A599E" w:rsidRPr="007A599E">
        <w:rPr>
          <w:lang w:val="fr-FR"/>
        </w:rPr>
        <w:t>.</w:t>
      </w:r>
      <w:r>
        <w:rPr>
          <w:lang w:val="fr-FR"/>
        </w:rPr>
        <w:tab/>
        <w:t>Au cours de la période considérée, M</w:t>
      </w:r>
      <w:r>
        <w:rPr>
          <w:vertAlign w:val="superscript"/>
          <w:lang w:val="fr-FR"/>
        </w:rPr>
        <w:t>me </w:t>
      </w:r>
      <w:proofErr w:type="spellStart"/>
      <w:r>
        <w:rPr>
          <w:lang w:val="fr-FR"/>
        </w:rPr>
        <w:t>Tlakula</w:t>
      </w:r>
      <w:proofErr w:type="spellEnd"/>
      <w:r>
        <w:rPr>
          <w:lang w:val="fr-FR"/>
        </w:rPr>
        <w:t xml:space="preserve"> a exercé la fonction de rapporteuse chargée du suivi de l’examen des rapports soumis par les États Parties</w:t>
      </w:r>
      <w:r w:rsidR="007A599E" w:rsidRPr="007A599E">
        <w:rPr>
          <w:lang w:val="fr-FR"/>
        </w:rPr>
        <w:t>.</w:t>
      </w:r>
    </w:p>
    <w:p w14:paraId="5F32963E" w14:textId="1C311185" w:rsidR="005E5363" w:rsidRPr="007E0FB5" w:rsidRDefault="005E5363" w:rsidP="005E5363">
      <w:pPr>
        <w:pStyle w:val="SingleTxtG"/>
      </w:pPr>
      <w:r>
        <w:rPr>
          <w:lang w:val="fr-FR"/>
        </w:rPr>
        <w:t>69</w:t>
      </w:r>
      <w:r w:rsidR="007A599E" w:rsidRPr="007A599E">
        <w:rPr>
          <w:lang w:val="fr-FR"/>
        </w:rPr>
        <w:t>.</w:t>
      </w:r>
      <w:r>
        <w:rPr>
          <w:lang w:val="fr-FR"/>
        </w:rPr>
        <w:tab/>
        <w:t>Le mandat de rapporteur chargé du suivi</w:t>
      </w:r>
      <w:r w:rsidRPr="00803B71">
        <w:rPr>
          <w:rStyle w:val="Appelnotedebasdep"/>
        </w:rPr>
        <w:footnoteReference w:id="37"/>
      </w:r>
      <w:r>
        <w:rPr>
          <w:lang w:val="fr-FR"/>
        </w:rPr>
        <w:t xml:space="preserve"> et les principes directeurs concernant le suivi</w:t>
      </w:r>
      <w:r w:rsidRPr="00803B71">
        <w:rPr>
          <w:rStyle w:val="Appelnotedebasdep"/>
        </w:rPr>
        <w:footnoteReference w:id="38"/>
      </w:r>
      <w:r>
        <w:rPr>
          <w:lang w:val="fr-FR"/>
        </w:rPr>
        <w:t>, qui sont adressés à chaque État Partie avec les observations finales du Comité, ont été adoptés par ce dernier respectivement à ses soixante-sixième et soixante-huitième sessions</w:t>
      </w:r>
      <w:r w:rsidR="007A599E" w:rsidRPr="007A599E">
        <w:rPr>
          <w:lang w:val="fr-FR"/>
        </w:rPr>
        <w:t>.</w:t>
      </w:r>
    </w:p>
    <w:p w14:paraId="32BAB116" w14:textId="4722B78A" w:rsidR="005E5363" w:rsidRPr="007E0FB5" w:rsidRDefault="005E5363" w:rsidP="005E5363">
      <w:pPr>
        <w:pStyle w:val="SingleTxtG"/>
        <w:rPr>
          <w:rFonts w:asciiTheme="majorBidi" w:hAnsiTheme="majorBidi" w:cstheme="majorBidi"/>
        </w:rPr>
      </w:pPr>
      <w:r>
        <w:rPr>
          <w:lang w:val="fr-FR"/>
        </w:rPr>
        <w:t>70</w:t>
      </w:r>
      <w:r w:rsidR="007A599E" w:rsidRPr="007A599E">
        <w:rPr>
          <w:lang w:val="fr-FR"/>
        </w:rPr>
        <w:t>.</w:t>
      </w:r>
      <w:r>
        <w:rPr>
          <w:lang w:val="fr-FR"/>
        </w:rPr>
        <w:tab/>
        <w:t>À la 114</w:t>
      </w:r>
      <w:r>
        <w:rPr>
          <w:vertAlign w:val="superscript"/>
          <w:lang w:val="fr-FR"/>
        </w:rPr>
        <w:t>e</w:t>
      </w:r>
      <w:r>
        <w:rPr>
          <w:lang w:val="fr-FR"/>
        </w:rPr>
        <w:t> session (3133</w:t>
      </w:r>
      <w:r>
        <w:rPr>
          <w:vertAlign w:val="superscript"/>
          <w:lang w:val="fr-FR"/>
        </w:rPr>
        <w:t>e</w:t>
      </w:r>
      <w:r>
        <w:rPr>
          <w:lang w:val="fr-FR"/>
        </w:rPr>
        <w:t> séance) et à la 115</w:t>
      </w:r>
      <w:r>
        <w:rPr>
          <w:vertAlign w:val="superscript"/>
          <w:lang w:val="fr-FR"/>
        </w:rPr>
        <w:t>e</w:t>
      </w:r>
      <w:r>
        <w:rPr>
          <w:lang w:val="fr-FR"/>
        </w:rPr>
        <w:t> session (3160</w:t>
      </w:r>
      <w:r>
        <w:rPr>
          <w:vertAlign w:val="superscript"/>
          <w:lang w:val="fr-FR"/>
        </w:rPr>
        <w:t>e</w:t>
      </w:r>
      <w:r>
        <w:rPr>
          <w:lang w:val="fr-FR"/>
        </w:rPr>
        <w:t> séance), M</w:t>
      </w:r>
      <w:r>
        <w:rPr>
          <w:vertAlign w:val="superscript"/>
          <w:lang w:val="fr-FR"/>
        </w:rPr>
        <w:t>me</w:t>
      </w:r>
      <w:r>
        <w:rPr>
          <w:lang w:val="fr-FR"/>
        </w:rPr>
        <w:t> </w:t>
      </w:r>
      <w:proofErr w:type="spellStart"/>
      <w:r>
        <w:rPr>
          <w:lang w:val="fr-FR"/>
        </w:rPr>
        <w:t>Tlakula</w:t>
      </w:r>
      <w:proofErr w:type="spellEnd"/>
      <w:r>
        <w:rPr>
          <w:lang w:val="fr-FR"/>
        </w:rPr>
        <w:t xml:space="preserve"> a présenté au Comité un rapport sur les activités qu’elle avait menées en sa qualité de rapporteuse</w:t>
      </w:r>
      <w:r w:rsidR="007A599E" w:rsidRPr="007A599E">
        <w:rPr>
          <w:lang w:val="fr-FR"/>
        </w:rPr>
        <w:t>.</w:t>
      </w:r>
    </w:p>
    <w:p w14:paraId="3F287202" w14:textId="4D37EC6B" w:rsidR="005E5363" w:rsidRPr="007E0FB5" w:rsidRDefault="005E5363" w:rsidP="005E5363">
      <w:pPr>
        <w:pStyle w:val="SingleTxtG"/>
        <w:rPr>
          <w:rFonts w:asciiTheme="majorBidi" w:hAnsiTheme="majorBidi" w:cstheme="majorBidi"/>
        </w:rPr>
      </w:pPr>
      <w:r>
        <w:rPr>
          <w:lang w:val="fr-FR"/>
        </w:rPr>
        <w:t>71</w:t>
      </w:r>
      <w:r w:rsidR="007A599E" w:rsidRPr="007A599E">
        <w:rPr>
          <w:lang w:val="fr-FR"/>
        </w:rPr>
        <w:t>.</w:t>
      </w:r>
      <w:r>
        <w:rPr>
          <w:lang w:val="fr-FR"/>
        </w:rPr>
        <w:tab/>
        <w:t>Au cours de la période considérée, le Comité a examiné les rapports de suivi de l’Allemagne (</w:t>
      </w:r>
      <w:hyperlink r:id="rId80" w:history="1">
        <w:r w:rsidRPr="00803B71">
          <w:rPr>
            <w:rStyle w:val="Lienhypertexte"/>
            <w:lang w:val="fr-FR"/>
          </w:rPr>
          <w:t>CERD/C/DEU/FCO/23-26</w:t>
        </w:r>
      </w:hyperlink>
      <w:r>
        <w:rPr>
          <w:lang w:val="fr-FR"/>
        </w:rPr>
        <w:t>), de la Croatie (</w:t>
      </w:r>
      <w:hyperlink r:id="rId81" w:history="1">
        <w:r w:rsidRPr="00803B71">
          <w:rPr>
            <w:rStyle w:val="Lienhypertexte"/>
            <w:lang w:val="fr-FR"/>
          </w:rPr>
          <w:t>CERD/C/HRV/FCO/9-14</w:t>
        </w:r>
      </w:hyperlink>
      <w:r>
        <w:rPr>
          <w:lang w:val="fr-FR"/>
        </w:rPr>
        <w:t>), du Maroc (</w:t>
      </w:r>
      <w:hyperlink r:id="rId82" w:history="1">
        <w:r w:rsidRPr="00803B71">
          <w:rPr>
            <w:rStyle w:val="Lienhypertexte"/>
            <w:lang w:val="fr-FR"/>
          </w:rPr>
          <w:t>CERD/C/MAR/FCO/19-21</w:t>
        </w:r>
      </w:hyperlink>
      <w:r>
        <w:rPr>
          <w:lang w:val="fr-FR"/>
        </w:rPr>
        <w:t>), du Portugal (</w:t>
      </w:r>
      <w:hyperlink r:id="rId83" w:history="1">
        <w:r w:rsidRPr="00803B71">
          <w:rPr>
            <w:rStyle w:val="Lienhypertexte"/>
            <w:lang w:val="fr-FR"/>
          </w:rPr>
          <w:t>CERD/C/PRT/FCO/18-19</w:t>
        </w:r>
      </w:hyperlink>
      <w:r>
        <w:rPr>
          <w:lang w:val="fr-FR"/>
        </w:rPr>
        <w:t>), du Tadjikistan (</w:t>
      </w:r>
      <w:hyperlink r:id="rId84" w:history="1">
        <w:r w:rsidRPr="00803B71">
          <w:rPr>
            <w:rStyle w:val="Lienhypertexte"/>
            <w:lang w:val="fr-FR"/>
          </w:rPr>
          <w:t>CERD/C/TJK/FCO/12-13</w:t>
        </w:r>
      </w:hyperlink>
      <w:r>
        <w:rPr>
          <w:lang w:val="fr-FR"/>
        </w:rPr>
        <w:t>) et de l’Uruguay (</w:t>
      </w:r>
      <w:hyperlink r:id="rId85" w:history="1">
        <w:r w:rsidRPr="00803B71">
          <w:rPr>
            <w:rStyle w:val="Lienhypertexte"/>
            <w:lang w:val="fr-FR"/>
          </w:rPr>
          <w:t>CERD/C/URY/FCO/24-26</w:t>
        </w:r>
      </w:hyperlink>
      <w:r>
        <w:rPr>
          <w:lang w:val="fr-FR"/>
        </w:rPr>
        <w:t>)</w:t>
      </w:r>
      <w:r w:rsidR="007A599E" w:rsidRPr="007A599E">
        <w:rPr>
          <w:lang w:val="fr-FR"/>
        </w:rPr>
        <w:t>.</w:t>
      </w:r>
      <w:hyperlink r:id="rId86" w:history="1"/>
      <w:hyperlink r:id="rId87" w:history="1"/>
      <w:hyperlink r:id="rId88" w:history="1"/>
      <w:hyperlink r:id="rId89" w:history="1"/>
      <w:hyperlink r:id="rId90" w:history="1"/>
      <w:hyperlink r:id="rId91" w:history="1"/>
    </w:p>
    <w:p w14:paraId="0DAA887A" w14:textId="0B95873E" w:rsidR="005E5363" w:rsidRPr="007E0FB5" w:rsidRDefault="005E5363" w:rsidP="005E5363">
      <w:pPr>
        <w:pStyle w:val="SingleTxtG"/>
      </w:pPr>
      <w:r>
        <w:rPr>
          <w:lang w:val="fr-FR"/>
        </w:rPr>
        <w:t>72</w:t>
      </w:r>
      <w:r w:rsidR="007A599E" w:rsidRPr="007A599E">
        <w:rPr>
          <w:lang w:val="fr-FR"/>
        </w:rPr>
        <w:t>.</w:t>
      </w:r>
      <w:r>
        <w:rPr>
          <w:lang w:val="fr-FR"/>
        </w:rPr>
        <w:tab/>
        <w:t>Le Comité a poursuivi le dialogue constructif engagé avec ces États Parties en leur adressant des observations et des demandes de renseignements complémentaires</w:t>
      </w:r>
      <w:r w:rsidR="007A599E" w:rsidRPr="007A599E">
        <w:rPr>
          <w:lang w:val="fr-FR"/>
        </w:rPr>
        <w:t>.</w:t>
      </w:r>
      <w:r>
        <w:rPr>
          <w:lang w:val="fr-FR"/>
        </w:rPr>
        <w:t xml:space="preserve"> Il a aussi adressé des lettres de rappel aux États Parties dont les rapports de suivi étaient en retard</w:t>
      </w:r>
      <w:r w:rsidR="007A599E" w:rsidRPr="007A599E">
        <w:rPr>
          <w:lang w:val="fr-FR"/>
        </w:rPr>
        <w:t>.</w:t>
      </w:r>
    </w:p>
    <w:p w14:paraId="62426A50" w14:textId="77777777" w:rsidR="005E5363" w:rsidRPr="007E0FB5" w:rsidRDefault="005E5363" w:rsidP="005E5363">
      <w:pPr>
        <w:pStyle w:val="SingleTxtG"/>
      </w:pPr>
      <w:r w:rsidRPr="007E0FB5">
        <w:br w:type="page"/>
      </w:r>
    </w:p>
    <w:p w14:paraId="28F56F88" w14:textId="6B3A9D65" w:rsidR="005E5363" w:rsidRPr="007E0FB5" w:rsidRDefault="005E5363" w:rsidP="00393B58">
      <w:pPr>
        <w:pStyle w:val="HChG"/>
      </w:pPr>
      <w:bookmarkStart w:id="104" w:name="_Toc428794289"/>
      <w:r>
        <w:rPr>
          <w:lang w:val="fr-FR"/>
        </w:rPr>
        <w:lastRenderedPageBreak/>
        <w:tab/>
        <w:t>V</w:t>
      </w:r>
      <w:r w:rsidR="007A599E" w:rsidRPr="007A599E">
        <w:rPr>
          <w:lang w:val="fr-FR"/>
        </w:rPr>
        <w:t>.</w:t>
      </w:r>
      <w:r>
        <w:rPr>
          <w:lang w:val="fr-FR"/>
        </w:rPr>
        <w:tab/>
        <w:t>Examen des communications soumises au titre de l’article 11 de la Convention</w:t>
      </w:r>
      <w:bookmarkStart w:id="105" w:name="_Toc17361301"/>
      <w:bookmarkStart w:id="106" w:name="_Toc48752326"/>
      <w:bookmarkStart w:id="107" w:name="_Toc48816879"/>
      <w:bookmarkStart w:id="108" w:name="_Toc81563231"/>
      <w:bookmarkStart w:id="109" w:name="_Toc113263040"/>
      <w:bookmarkStart w:id="110" w:name="_Toc176248188"/>
      <w:bookmarkStart w:id="111" w:name="_Toc176248853"/>
      <w:bookmarkEnd w:id="105"/>
      <w:bookmarkEnd w:id="106"/>
      <w:bookmarkEnd w:id="107"/>
      <w:bookmarkEnd w:id="108"/>
      <w:bookmarkEnd w:id="109"/>
      <w:bookmarkEnd w:id="110"/>
      <w:bookmarkEnd w:id="111"/>
    </w:p>
    <w:p w14:paraId="6AC48088" w14:textId="71C510AF" w:rsidR="005E5363" w:rsidRPr="007E0FB5" w:rsidRDefault="005E5363" w:rsidP="005E5363">
      <w:pPr>
        <w:pStyle w:val="SingleTxtG"/>
      </w:pPr>
      <w:r>
        <w:rPr>
          <w:lang w:val="fr-FR"/>
        </w:rPr>
        <w:t>73</w:t>
      </w:r>
      <w:r w:rsidR="007A599E" w:rsidRPr="007A599E">
        <w:rPr>
          <w:lang w:val="fr-FR"/>
        </w:rPr>
        <w:t>.</w:t>
      </w:r>
      <w:r>
        <w:rPr>
          <w:lang w:val="fr-FR"/>
        </w:rPr>
        <w:tab/>
        <w:t>Selon l’article 11 de la Convention, si un État Partie estime qu’un autre État Partie n’applique pas les dispositions de la Convention, il peut appeler l’attention du Comité sur la question en lui soumettant une communication</w:t>
      </w:r>
      <w:r w:rsidR="007A599E" w:rsidRPr="007A599E">
        <w:rPr>
          <w:lang w:val="fr-FR"/>
        </w:rPr>
        <w:t>.</w:t>
      </w:r>
      <w:r>
        <w:rPr>
          <w:lang w:val="fr-FR"/>
        </w:rPr>
        <w:t xml:space="preserve"> En 2018, le Comité a reçu trois premières communications interétatiques</w:t>
      </w:r>
      <w:r w:rsidR="007A599E" w:rsidRPr="007A599E">
        <w:rPr>
          <w:lang w:val="fr-FR"/>
        </w:rPr>
        <w:t>.</w:t>
      </w:r>
    </w:p>
    <w:p w14:paraId="0F83D03A" w14:textId="29040392" w:rsidR="005E5363" w:rsidRPr="007E0FB5" w:rsidRDefault="005E5363" w:rsidP="005E5363">
      <w:pPr>
        <w:pStyle w:val="SingleTxtG"/>
      </w:pPr>
      <w:r>
        <w:rPr>
          <w:lang w:val="fr-FR"/>
        </w:rPr>
        <w:t>74</w:t>
      </w:r>
      <w:r w:rsidR="007A599E" w:rsidRPr="007A599E">
        <w:rPr>
          <w:lang w:val="fr-FR"/>
        </w:rPr>
        <w:t>.</w:t>
      </w:r>
      <w:r>
        <w:rPr>
          <w:lang w:val="fr-FR"/>
        </w:rPr>
        <w:tab/>
        <w:t>Au cours de la période considérée, les activités du Comité concernant les communications interétatiques soumises au titre de l’article 11 de la Convention ont consisté à assurer le suivi du rapport de la commission de conciliation ad hoc chargée d’examiner la communication interétatique soumise par l’État de Palestine contre Israël</w:t>
      </w:r>
      <w:r w:rsidRPr="00803B71">
        <w:rPr>
          <w:rStyle w:val="Appelnotedebasdep"/>
        </w:rPr>
        <w:footnoteReference w:id="39"/>
      </w:r>
      <w:r w:rsidR="007A599E" w:rsidRPr="007A599E">
        <w:rPr>
          <w:lang w:val="fr-FR"/>
        </w:rPr>
        <w:t>.</w:t>
      </w:r>
    </w:p>
    <w:p w14:paraId="4ED80D6C" w14:textId="3894ECBD" w:rsidR="005E5363" w:rsidRPr="007E0FB5" w:rsidRDefault="005E5363" w:rsidP="005E5363">
      <w:pPr>
        <w:pStyle w:val="H1G"/>
      </w:pPr>
      <w:r>
        <w:rPr>
          <w:lang w:val="fr-FR"/>
        </w:rPr>
        <w:tab/>
      </w:r>
      <w:r>
        <w:rPr>
          <w:lang w:val="fr-FR"/>
        </w:rPr>
        <w:tab/>
      </w:r>
      <w:r>
        <w:rPr>
          <w:bCs/>
          <w:lang w:val="fr-FR"/>
        </w:rPr>
        <w:t xml:space="preserve">Suivi des recommandations formulées par la commission ad hoc </w:t>
      </w:r>
      <w:r w:rsidR="00117B2A">
        <w:rPr>
          <w:bCs/>
          <w:lang w:val="fr-FR"/>
        </w:rPr>
        <w:br/>
      </w:r>
      <w:r>
        <w:rPr>
          <w:bCs/>
          <w:lang w:val="fr-FR"/>
        </w:rPr>
        <w:t xml:space="preserve">de conciliation chargée d’examiner la communication interétatique soumise par l’État de Palestine contre Israël au titre </w:t>
      </w:r>
      <w:r w:rsidR="00117B2A">
        <w:rPr>
          <w:bCs/>
          <w:lang w:val="fr-FR"/>
        </w:rPr>
        <w:br/>
      </w:r>
      <w:r>
        <w:rPr>
          <w:bCs/>
          <w:lang w:val="fr-FR"/>
        </w:rPr>
        <w:t>de l’article 11 de la Convention</w:t>
      </w:r>
    </w:p>
    <w:p w14:paraId="5187C598" w14:textId="6568B04A" w:rsidR="005E5363" w:rsidRPr="007E0FB5" w:rsidRDefault="005E5363" w:rsidP="005E5363">
      <w:pPr>
        <w:pStyle w:val="SingleTxtG"/>
      </w:pPr>
      <w:r>
        <w:rPr>
          <w:lang w:val="fr-FR"/>
        </w:rPr>
        <w:t>75</w:t>
      </w:r>
      <w:r w:rsidR="007A599E" w:rsidRPr="007A599E">
        <w:rPr>
          <w:lang w:val="fr-FR"/>
        </w:rPr>
        <w:t>.</w:t>
      </w:r>
      <w:r>
        <w:rPr>
          <w:lang w:val="fr-FR"/>
        </w:rPr>
        <w:tab/>
        <w:t xml:space="preserve">Le 19 février 2024, la commission de conciliation ad hoc chargée d’examiner la communication interétatique soumise par l’État de Palestine contre Israël a formellement adopté le rapport dans lequel figurait ses conclusions et ses recommandations en vue d’un règlement pacifique et fondé sur le respect de la Convention du différend entre l’État de Palestine et Israël portant sur plusieurs questions de discrimination raciale (voir </w:t>
      </w:r>
      <w:hyperlink r:id="rId92" w:history="1">
        <w:r w:rsidRPr="00803B71">
          <w:rPr>
            <w:rStyle w:val="Lienhypertexte"/>
            <w:lang w:val="fr-FR"/>
          </w:rPr>
          <w:t>CERD/C/113/3</w:t>
        </w:r>
      </w:hyperlink>
      <w:r>
        <w:rPr>
          <w:lang w:val="fr-FR"/>
        </w:rPr>
        <w:t xml:space="preserve">, </w:t>
      </w:r>
      <w:hyperlink r:id="rId93" w:history="1">
        <w:r w:rsidRPr="00803B71">
          <w:rPr>
            <w:rStyle w:val="Lienhypertexte"/>
            <w:lang w:val="fr-FR"/>
          </w:rPr>
          <w:t>CERD/C/113/3/Add</w:t>
        </w:r>
        <w:r w:rsidR="007A599E" w:rsidRPr="007A599E">
          <w:rPr>
            <w:rStyle w:val="Lienhypertexte"/>
            <w:lang w:val="fr-FR"/>
          </w:rPr>
          <w:t>.</w:t>
        </w:r>
        <w:r w:rsidRPr="00803B71">
          <w:rPr>
            <w:rStyle w:val="Lienhypertexte"/>
            <w:lang w:val="fr-FR"/>
          </w:rPr>
          <w:t>1</w:t>
        </w:r>
      </w:hyperlink>
      <w:r>
        <w:rPr>
          <w:lang w:val="fr-FR"/>
        </w:rPr>
        <w:t xml:space="preserve"> et </w:t>
      </w:r>
      <w:hyperlink r:id="rId94" w:history="1">
        <w:r w:rsidRPr="00803B71">
          <w:rPr>
            <w:rStyle w:val="Lienhypertexte"/>
            <w:lang w:val="fr-FR"/>
          </w:rPr>
          <w:t>CERD/C/113/3/Add</w:t>
        </w:r>
        <w:r w:rsidR="007A599E" w:rsidRPr="007A599E">
          <w:rPr>
            <w:rStyle w:val="Lienhypertexte"/>
            <w:lang w:val="fr-FR"/>
          </w:rPr>
          <w:t>.</w:t>
        </w:r>
        <w:r w:rsidRPr="00803B71">
          <w:rPr>
            <w:rStyle w:val="Lienhypertexte"/>
            <w:lang w:val="fr-FR"/>
          </w:rPr>
          <w:t>2</w:t>
        </w:r>
      </w:hyperlink>
      <w:r>
        <w:rPr>
          <w:lang w:val="fr-FR"/>
        </w:rPr>
        <w:t>)</w:t>
      </w:r>
      <w:r w:rsidR="007A599E" w:rsidRPr="007A599E">
        <w:rPr>
          <w:lang w:val="fr-FR"/>
        </w:rPr>
        <w:t>.</w:t>
      </w:r>
      <w:r>
        <w:rPr>
          <w:lang w:val="fr-FR"/>
        </w:rPr>
        <w:t xml:space="preserve"> Le 29 février 2024, conformément à l’article 13 (par</w:t>
      </w:r>
      <w:r w:rsidR="007A599E" w:rsidRPr="007A599E">
        <w:rPr>
          <w:lang w:val="fr-FR"/>
        </w:rPr>
        <w:t>.</w:t>
      </w:r>
      <w:r>
        <w:rPr>
          <w:lang w:val="fr-FR"/>
        </w:rPr>
        <w:t> 1) de la Convention, le Président de la commission de conciliation ad hoc, M</w:t>
      </w:r>
      <w:r w:rsidR="007A599E" w:rsidRPr="007A599E">
        <w:rPr>
          <w:lang w:val="fr-FR"/>
        </w:rPr>
        <w:t>.</w:t>
      </w:r>
      <w:r>
        <w:rPr>
          <w:lang w:val="fr-FR"/>
        </w:rPr>
        <w:t> </w:t>
      </w:r>
      <w:proofErr w:type="spellStart"/>
      <w:r>
        <w:rPr>
          <w:lang w:val="fr-FR"/>
        </w:rPr>
        <w:t>Kut</w:t>
      </w:r>
      <w:proofErr w:type="spellEnd"/>
      <w:r>
        <w:rPr>
          <w:lang w:val="fr-FR"/>
        </w:rPr>
        <w:t>, a soumis le rapport au Président du Comité</w:t>
      </w:r>
      <w:r w:rsidR="007A599E" w:rsidRPr="007A599E">
        <w:rPr>
          <w:lang w:val="fr-FR"/>
        </w:rPr>
        <w:t>.</w:t>
      </w:r>
      <w:r>
        <w:rPr>
          <w:lang w:val="fr-FR"/>
        </w:rPr>
        <w:t xml:space="preserve"> La commission de conciliation ad hoc ayant ainsi rempli son mandat, elle a cessé ses activités</w:t>
      </w:r>
      <w:r w:rsidR="007A599E" w:rsidRPr="007A599E">
        <w:rPr>
          <w:lang w:val="fr-FR"/>
        </w:rPr>
        <w:t>.</w:t>
      </w:r>
      <w:hyperlink r:id="rId95" w:history="1"/>
      <w:hyperlink r:id="rId96" w:history="1"/>
      <w:hyperlink r:id="rId97" w:history="1"/>
    </w:p>
    <w:p w14:paraId="60B43E7F" w14:textId="6E7A5C13" w:rsidR="005E5363" w:rsidRPr="007E0FB5" w:rsidRDefault="005E5363" w:rsidP="005E5363">
      <w:pPr>
        <w:pStyle w:val="SingleTxtG"/>
        <w:rPr>
          <w:vertAlign w:val="superscript"/>
        </w:rPr>
      </w:pPr>
      <w:r>
        <w:rPr>
          <w:lang w:val="fr-FR"/>
        </w:rPr>
        <w:t>76</w:t>
      </w:r>
      <w:r w:rsidR="007A599E" w:rsidRPr="007A599E">
        <w:rPr>
          <w:lang w:val="fr-FR"/>
        </w:rPr>
        <w:t>.</w:t>
      </w:r>
      <w:r>
        <w:rPr>
          <w:lang w:val="fr-FR"/>
        </w:rPr>
        <w:tab/>
        <w:t>La commission de conciliation ad hoc a conclu que les allégations de l’État de Palestine devaient être examinées de toute urgence et que l’application de ses recommandations supposait le soutien total de tous les États Parties et des organisations internationales</w:t>
      </w:r>
      <w:r w:rsidR="007A599E" w:rsidRPr="007A599E">
        <w:rPr>
          <w:lang w:val="fr-FR"/>
        </w:rPr>
        <w:t>.</w:t>
      </w:r>
      <w:r>
        <w:rPr>
          <w:lang w:val="fr-FR"/>
        </w:rPr>
        <w:t xml:space="preserve"> Elle a adressé des recommandations au Gouvernement israélien, à l’État de Palestine, aux États Parties à la Convention, au Conseil de sécurité, au Comité pour l’élimination de la discrimination raciale et aux organisations de la société civile des deux États Parties (</w:t>
      </w:r>
      <w:hyperlink r:id="rId98" w:history="1">
        <w:r w:rsidRPr="00803B71">
          <w:rPr>
            <w:rStyle w:val="Lienhypertexte"/>
            <w:lang w:val="fr-FR"/>
          </w:rPr>
          <w:t>CERD/C/113/3</w:t>
        </w:r>
      </w:hyperlink>
      <w:r>
        <w:rPr>
          <w:lang w:val="fr-FR"/>
        </w:rPr>
        <w:t>, par</w:t>
      </w:r>
      <w:r w:rsidR="007A599E" w:rsidRPr="007A599E">
        <w:rPr>
          <w:lang w:val="fr-FR"/>
        </w:rPr>
        <w:t>.</w:t>
      </w:r>
      <w:r>
        <w:rPr>
          <w:lang w:val="fr-FR"/>
        </w:rPr>
        <w:t> 38 et 51 à 56)</w:t>
      </w:r>
      <w:r w:rsidR="007A599E" w:rsidRPr="007A599E">
        <w:rPr>
          <w:lang w:val="fr-FR"/>
        </w:rPr>
        <w:t>.</w:t>
      </w:r>
      <w:hyperlink r:id="rId99" w:history="1"/>
    </w:p>
    <w:p w14:paraId="7DCE65A6" w14:textId="453491E3" w:rsidR="005E5363" w:rsidRPr="007E0FB5" w:rsidRDefault="005E5363" w:rsidP="005E5363">
      <w:pPr>
        <w:pStyle w:val="SingleTxtG"/>
        <w:rPr>
          <w:sz w:val="24"/>
          <w:szCs w:val="28"/>
        </w:rPr>
      </w:pPr>
      <w:r>
        <w:rPr>
          <w:lang w:val="fr-FR"/>
        </w:rPr>
        <w:t>77</w:t>
      </w:r>
      <w:r w:rsidR="007A599E" w:rsidRPr="007A599E">
        <w:rPr>
          <w:lang w:val="fr-FR"/>
        </w:rPr>
        <w:t>.</w:t>
      </w:r>
      <w:r>
        <w:rPr>
          <w:lang w:val="fr-FR"/>
        </w:rPr>
        <w:tab/>
        <w:t>À sa 114</w:t>
      </w:r>
      <w:r>
        <w:rPr>
          <w:vertAlign w:val="superscript"/>
          <w:lang w:val="fr-FR"/>
        </w:rPr>
        <w:t>e</w:t>
      </w:r>
      <w:r>
        <w:rPr>
          <w:lang w:val="fr-FR"/>
        </w:rPr>
        <w:t> session, sur recommandation de la commission de conciliation ad hoc, le Comité a nommé une rapporteuse, M</w:t>
      </w:r>
      <w:r w:rsidRPr="00F44A01">
        <w:rPr>
          <w:vertAlign w:val="superscript"/>
          <w:lang w:val="fr-FR"/>
        </w:rPr>
        <w:t>me</w:t>
      </w:r>
      <w:r>
        <w:rPr>
          <w:lang w:val="fr-FR"/>
        </w:rPr>
        <w:t> Chung, pour assurer le suivi de l’application des recommandations de la commission avec les deux États Parties et d’autres parties prenantes</w:t>
      </w:r>
      <w:r w:rsidR="007A599E" w:rsidRPr="007A599E">
        <w:rPr>
          <w:lang w:val="fr-FR"/>
        </w:rPr>
        <w:t>.</w:t>
      </w:r>
    </w:p>
    <w:p w14:paraId="721E9780" w14:textId="44D33C18" w:rsidR="005E5363" w:rsidRPr="007E0FB5" w:rsidRDefault="005E5363" w:rsidP="005E5363">
      <w:pPr>
        <w:pStyle w:val="H23G"/>
      </w:pPr>
      <w:r>
        <w:rPr>
          <w:bCs/>
          <w:lang w:val="fr-FR"/>
        </w:rPr>
        <w:tab/>
        <w:t>1</w:t>
      </w:r>
      <w:r w:rsidR="007A599E" w:rsidRPr="007A599E">
        <w:rPr>
          <w:bCs/>
          <w:lang w:val="fr-FR"/>
        </w:rPr>
        <w:t>.</w:t>
      </w:r>
      <w:r>
        <w:rPr>
          <w:lang w:val="fr-FR"/>
        </w:rPr>
        <w:tab/>
      </w:r>
      <w:r>
        <w:rPr>
          <w:bCs/>
          <w:lang w:val="fr-FR"/>
        </w:rPr>
        <w:t>Déclaration</w:t>
      </w:r>
    </w:p>
    <w:p w14:paraId="1AA6EFA1" w14:textId="662AE266" w:rsidR="005E5363" w:rsidRPr="007E0FB5" w:rsidRDefault="005E5363" w:rsidP="005E5363">
      <w:pPr>
        <w:pStyle w:val="SingleTxtG"/>
      </w:pPr>
      <w:r>
        <w:rPr>
          <w:lang w:val="fr-FR"/>
        </w:rPr>
        <w:t>78</w:t>
      </w:r>
      <w:r w:rsidR="007A599E" w:rsidRPr="007A599E">
        <w:rPr>
          <w:lang w:val="fr-FR"/>
        </w:rPr>
        <w:t>.</w:t>
      </w:r>
      <w:r>
        <w:rPr>
          <w:lang w:val="fr-FR"/>
        </w:rPr>
        <w:tab/>
        <w:t>À sa 115</w:t>
      </w:r>
      <w:r>
        <w:rPr>
          <w:vertAlign w:val="superscript"/>
          <w:lang w:val="fr-FR"/>
        </w:rPr>
        <w:t>e</w:t>
      </w:r>
      <w:r>
        <w:rPr>
          <w:lang w:val="fr-FR"/>
        </w:rPr>
        <w:t> session, le Comité a adopté la déclaration </w:t>
      </w:r>
      <w:r w:rsidRPr="00117B2A">
        <w:rPr>
          <w:lang w:val="fr-FR"/>
        </w:rPr>
        <w:t>1 (2025)</w:t>
      </w:r>
      <w:r>
        <w:rPr>
          <w:lang w:val="fr-FR"/>
        </w:rPr>
        <w:t xml:space="preserve"> sur la crise humanitaire catastrophique dans le Territoire palestinien occupé</w:t>
      </w:r>
      <w:r w:rsidRPr="00803B71">
        <w:rPr>
          <w:rStyle w:val="Appelnotedebasdep"/>
        </w:rPr>
        <w:footnoteReference w:id="40"/>
      </w:r>
      <w:r w:rsidR="007A599E" w:rsidRPr="007A599E">
        <w:rPr>
          <w:lang w:val="fr-FR"/>
        </w:rPr>
        <w:t>.</w:t>
      </w:r>
    </w:p>
    <w:p w14:paraId="1143BD25" w14:textId="25A144E4" w:rsidR="005E5363" w:rsidRPr="007E0FB5" w:rsidRDefault="005E5363" w:rsidP="005E5363">
      <w:pPr>
        <w:pStyle w:val="SingleTxtG"/>
      </w:pPr>
      <w:r>
        <w:rPr>
          <w:lang w:val="fr-FR"/>
        </w:rPr>
        <w:t>79</w:t>
      </w:r>
      <w:r w:rsidR="007A599E" w:rsidRPr="007A599E">
        <w:rPr>
          <w:lang w:val="fr-FR"/>
        </w:rPr>
        <w:t>.</w:t>
      </w:r>
      <w:r>
        <w:rPr>
          <w:lang w:val="fr-FR"/>
        </w:rPr>
        <w:tab/>
        <w:t>Dans sa déclaration, le Comité a exhorté Israël à lever tous les obstacles à l’accès humanitaire, à permettre l’acheminement immédiat et sans entrave de l’aide humanitaire et à cesser toute action de nature à entraver la fourniture de services essentiels à la population civile de la bande de Gaza</w:t>
      </w:r>
      <w:r w:rsidR="007A599E" w:rsidRPr="007A599E">
        <w:rPr>
          <w:lang w:val="fr-FR"/>
        </w:rPr>
        <w:t>.</w:t>
      </w:r>
      <w:r>
        <w:rPr>
          <w:lang w:val="fr-FR"/>
        </w:rPr>
        <w:t xml:space="preserve"> Il a exhorté tous les États Parties à prendre toutes les mesures voulues pour empêcher une nouvelle escalade des hostilités et assurer la protection des civils</w:t>
      </w:r>
      <w:r w:rsidR="007A599E" w:rsidRPr="007A599E">
        <w:rPr>
          <w:lang w:val="fr-FR"/>
        </w:rPr>
        <w:t>.</w:t>
      </w:r>
      <w:r>
        <w:rPr>
          <w:lang w:val="fr-FR"/>
        </w:rPr>
        <w:t xml:space="preserve"> Il a également exhorté tous les États Parties à respecter pleinement leurs obligations internationales, en particulier celles découlant de la Convention, de la Convention pour la prévention et la répression du crime de génocide et de l’article premier commun aux Conventions de Genève du 12 août 1949, et à coopérer pour faire cesser les violations du droit international qui étaient actuellement commises</w:t>
      </w:r>
      <w:r w:rsidR="007A599E" w:rsidRPr="007A599E">
        <w:rPr>
          <w:lang w:val="fr-FR"/>
        </w:rPr>
        <w:t>.</w:t>
      </w:r>
    </w:p>
    <w:p w14:paraId="6EBBFD1F" w14:textId="47FF3F55" w:rsidR="005E5363" w:rsidRPr="007E0FB5" w:rsidRDefault="005E5363" w:rsidP="005E5363">
      <w:pPr>
        <w:pStyle w:val="H23G"/>
        <w:rPr>
          <w:sz w:val="22"/>
          <w:szCs w:val="24"/>
        </w:rPr>
      </w:pPr>
      <w:r>
        <w:rPr>
          <w:bCs/>
          <w:lang w:val="fr-FR"/>
        </w:rPr>
        <w:lastRenderedPageBreak/>
        <w:tab/>
        <w:t>2</w:t>
      </w:r>
      <w:r w:rsidR="007A599E" w:rsidRPr="007A599E">
        <w:rPr>
          <w:bCs/>
          <w:lang w:val="fr-FR"/>
        </w:rPr>
        <w:t>.</w:t>
      </w:r>
      <w:r>
        <w:rPr>
          <w:lang w:val="fr-FR"/>
        </w:rPr>
        <w:tab/>
        <w:t>Lettres</w:t>
      </w:r>
    </w:p>
    <w:p w14:paraId="3CEA6F72" w14:textId="192A4C0D" w:rsidR="005E5363" w:rsidRPr="007E0FB5" w:rsidRDefault="005E5363" w:rsidP="005E5363">
      <w:pPr>
        <w:pStyle w:val="SingleTxtG"/>
      </w:pPr>
      <w:r>
        <w:rPr>
          <w:lang w:val="fr-FR"/>
        </w:rPr>
        <w:t>80</w:t>
      </w:r>
      <w:r w:rsidR="007A599E" w:rsidRPr="007A599E">
        <w:rPr>
          <w:lang w:val="fr-FR"/>
        </w:rPr>
        <w:t>.</w:t>
      </w:r>
      <w:r>
        <w:rPr>
          <w:lang w:val="fr-FR"/>
        </w:rPr>
        <w:tab/>
        <w:t>À sa 115</w:t>
      </w:r>
      <w:r>
        <w:rPr>
          <w:vertAlign w:val="superscript"/>
          <w:lang w:val="fr-FR"/>
        </w:rPr>
        <w:t>e</w:t>
      </w:r>
      <w:r>
        <w:rPr>
          <w:lang w:val="fr-FR"/>
        </w:rPr>
        <w:t> session, le Comité a approuvé un certain nombre d’activités de suivi proposées par la Rapporteuse, y compris l’envoi de lettres à Israël et à l’État de Palestine dans lesquelles il leur serait demandé de communiquer des informations sur les mesures concrètes prises pour appliquer les recommandations formulées aux paragraphes 51 et 52 du rapport de la commission de conciliation ad hoc</w:t>
      </w:r>
      <w:r w:rsidR="007A599E" w:rsidRPr="007A599E">
        <w:rPr>
          <w:lang w:val="fr-FR"/>
        </w:rPr>
        <w:t>.</w:t>
      </w:r>
    </w:p>
    <w:p w14:paraId="08C23286" w14:textId="5E2083B7" w:rsidR="005E5363" w:rsidRPr="007E0FB5" w:rsidRDefault="005E5363" w:rsidP="005E5363">
      <w:pPr>
        <w:pStyle w:val="SingleTxtG"/>
      </w:pPr>
      <w:r>
        <w:rPr>
          <w:lang w:val="fr-FR"/>
        </w:rPr>
        <w:t>81</w:t>
      </w:r>
      <w:r w:rsidR="007A599E" w:rsidRPr="007A599E">
        <w:rPr>
          <w:lang w:val="fr-FR"/>
        </w:rPr>
        <w:t>.</w:t>
      </w:r>
      <w:r>
        <w:rPr>
          <w:lang w:val="fr-FR"/>
        </w:rPr>
        <w:tab/>
        <w:t>Le 19 mai 2025, le Comité a envoyé les lettres à Israël et à l’État de Palestine en précisant que les réponses devaient lui être communiquées le 21 juillet 2025 au plus tard</w:t>
      </w:r>
      <w:r w:rsidR="007A599E" w:rsidRPr="007A599E">
        <w:rPr>
          <w:lang w:val="fr-FR"/>
        </w:rPr>
        <w:t>.</w:t>
      </w:r>
      <w:r>
        <w:rPr>
          <w:lang w:val="fr-FR"/>
        </w:rPr>
        <w:t xml:space="preserve"> Le 29 juillet 2025, il a envoyé des rappels et repoussé le délai de réponse au 29 septembre 2025</w:t>
      </w:r>
      <w:r w:rsidR="007A599E" w:rsidRPr="007A599E">
        <w:rPr>
          <w:lang w:val="fr-FR"/>
        </w:rPr>
        <w:t>.</w:t>
      </w:r>
    </w:p>
    <w:p w14:paraId="1D18E472" w14:textId="1FEBE8A6" w:rsidR="005E5363" w:rsidRPr="007E0FB5" w:rsidRDefault="005E5363" w:rsidP="005E5363">
      <w:pPr>
        <w:pStyle w:val="SingleTxtG"/>
        <w:rPr>
          <w:b/>
          <w:bCs/>
        </w:rPr>
      </w:pPr>
      <w:r>
        <w:rPr>
          <w:lang w:val="fr-FR"/>
        </w:rPr>
        <w:t>82</w:t>
      </w:r>
      <w:r w:rsidR="007A599E" w:rsidRPr="007A599E">
        <w:rPr>
          <w:lang w:val="fr-FR"/>
        </w:rPr>
        <w:t>.</w:t>
      </w:r>
      <w:r>
        <w:rPr>
          <w:lang w:val="fr-FR"/>
        </w:rPr>
        <w:tab/>
        <w:t>Le 18 juin 2025, le Comité a envoyé une lettre à tous les États Parties à la Convention pour leur demander des informations sur les mesures qu’ils avaient prises pour donner suite aux recommandations formulées au paragraphe 53 du rapport de la commission de conciliation ad hoc et a précisé que les réponses devaient lui parvenir le 18 août 2025 au plus tard</w:t>
      </w:r>
      <w:r w:rsidR="007A599E" w:rsidRPr="007A599E">
        <w:rPr>
          <w:lang w:val="fr-FR"/>
        </w:rPr>
        <w:t>.</w:t>
      </w:r>
      <w:r>
        <w:rPr>
          <w:lang w:val="fr-FR"/>
        </w:rPr>
        <w:t xml:space="preserve"> Au 29 août 2025, la Colombie, l’Espagne, le Mexique et le Panama avaient fourni des réponses dans lesquelles ils affirmaient souscrire aux recommandations formulées au paragraphe 53</w:t>
      </w:r>
      <w:r w:rsidR="007A599E" w:rsidRPr="007A599E">
        <w:rPr>
          <w:lang w:val="fr-FR"/>
        </w:rPr>
        <w:t>.</w:t>
      </w:r>
    </w:p>
    <w:p w14:paraId="5F00B1DE" w14:textId="35AEB5A3" w:rsidR="005E5363" w:rsidRPr="007E0FB5" w:rsidRDefault="005E5363" w:rsidP="005E5363">
      <w:pPr>
        <w:pStyle w:val="SingleTxtG"/>
        <w:rPr>
          <w:b/>
          <w:bCs/>
        </w:rPr>
      </w:pPr>
      <w:r>
        <w:rPr>
          <w:lang w:val="fr-FR"/>
        </w:rPr>
        <w:t>83</w:t>
      </w:r>
      <w:r w:rsidR="007A599E" w:rsidRPr="007A599E">
        <w:rPr>
          <w:lang w:val="fr-FR"/>
        </w:rPr>
        <w:t>.</w:t>
      </w:r>
      <w:r>
        <w:rPr>
          <w:lang w:val="fr-FR"/>
        </w:rPr>
        <w:tab/>
        <w:t>Le 25 juillet 2025, le Comité a envoyé une lettre aux organisations de la société civile en Israël et dans l’État de Palestine pour leur demander des informations sur les mesures qu’elles avaient prises pour donner suite aux recommandations formulées au paragraphe 56 du rapport de la commission de conciliation ad hoc et a précisé que les réponses devaient lui parvenir le 25 septembre 2025 au plus tard</w:t>
      </w:r>
      <w:r w:rsidR="007A599E" w:rsidRPr="007A599E">
        <w:rPr>
          <w:lang w:val="fr-FR"/>
        </w:rPr>
        <w:t>.</w:t>
      </w:r>
      <w:r>
        <w:rPr>
          <w:lang w:val="fr-FR"/>
        </w:rPr>
        <w:t xml:space="preserve"> Il a publié la lettre sur son site Web, dans la section consacrée aux communications interétatiques, afin de permettre à d’autres organisations non gouvernementales d’apporter leur contribution</w:t>
      </w:r>
      <w:r w:rsidRPr="00803B71">
        <w:rPr>
          <w:rStyle w:val="Appelnotedebasdep"/>
        </w:rPr>
        <w:footnoteReference w:id="41"/>
      </w:r>
      <w:r w:rsidR="007A599E" w:rsidRPr="007A599E">
        <w:rPr>
          <w:lang w:val="fr-FR"/>
        </w:rPr>
        <w:t>.</w:t>
      </w:r>
    </w:p>
    <w:p w14:paraId="38B4844A" w14:textId="20E047A7" w:rsidR="005E5363" w:rsidRPr="007E0FB5" w:rsidRDefault="005E5363" w:rsidP="005E5363">
      <w:pPr>
        <w:pStyle w:val="SingleTxtG"/>
        <w:rPr>
          <w:b/>
          <w:bCs/>
        </w:rPr>
      </w:pPr>
      <w:r>
        <w:rPr>
          <w:lang w:val="fr-FR"/>
        </w:rPr>
        <w:t>84</w:t>
      </w:r>
      <w:r w:rsidR="007A599E" w:rsidRPr="007A599E">
        <w:rPr>
          <w:lang w:val="fr-FR"/>
        </w:rPr>
        <w:t>.</w:t>
      </w:r>
      <w:r>
        <w:rPr>
          <w:lang w:val="fr-FR"/>
        </w:rPr>
        <w:tab/>
        <w:t>Le 25 août 2025, le Comité a envoyé au Conseil de sécurité une lettre similaire portant sur les recommandations formulées au paragraphe 54 du rapport de la commission de conciliation ad hoc et a précisé qu’il attendait une réponse pour le 25 septembre 2025</w:t>
      </w:r>
      <w:r w:rsidR="007A599E" w:rsidRPr="007A599E">
        <w:rPr>
          <w:lang w:val="fr-FR"/>
        </w:rPr>
        <w:t>.</w:t>
      </w:r>
    </w:p>
    <w:p w14:paraId="0043E148" w14:textId="77777777" w:rsidR="005E5363" w:rsidRPr="007E0FB5" w:rsidRDefault="005E5363" w:rsidP="005E5363">
      <w:pPr>
        <w:pStyle w:val="SingleTxtG"/>
      </w:pPr>
      <w:r w:rsidRPr="007E0FB5">
        <w:br w:type="page"/>
      </w:r>
    </w:p>
    <w:p w14:paraId="472624D4" w14:textId="740D12C0" w:rsidR="005E5363" w:rsidRPr="007E0FB5" w:rsidRDefault="005E5363" w:rsidP="005E5363">
      <w:pPr>
        <w:pStyle w:val="HChG"/>
      </w:pPr>
      <w:bookmarkStart w:id="112" w:name="_Toc17361302"/>
      <w:bookmarkStart w:id="113" w:name="_Toc48752327"/>
      <w:bookmarkStart w:id="114" w:name="_Toc48816880"/>
      <w:r>
        <w:rPr>
          <w:bCs/>
          <w:lang w:val="fr-FR"/>
        </w:rPr>
        <w:lastRenderedPageBreak/>
        <w:tab/>
        <w:t>VI</w:t>
      </w:r>
      <w:r w:rsidR="007A599E" w:rsidRPr="007A599E">
        <w:rPr>
          <w:bCs/>
          <w:lang w:val="fr-FR"/>
        </w:rPr>
        <w:t>.</w:t>
      </w:r>
      <w:r>
        <w:rPr>
          <w:lang w:val="fr-FR"/>
        </w:rPr>
        <w:tab/>
      </w:r>
      <w:r>
        <w:rPr>
          <w:bCs/>
          <w:lang w:val="fr-FR"/>
        </w:rPr>
        <w:t>Méthodes de travail et Règlement intérieur</w:t>
      </w:r>
      <w:bookmarkStart w:id="115" w:name="_Toc81563232"/>
      <w:bookmarkStart w:id="116" w:name="_Toc113263041"/>
      <w:bookmarkStart w:id="117" w:name="_Toc176248189"/>
      <w:bookmarkStart w:id="118" w:name="_Toc176248854"/>
      <w:bookmarkEnd w:id="112"/>
      <w:bookmarkEnd w:id="113"/>
      <w:bookmarkEnd w:id="114"/>
      <w:bookmarkEnd w:id="115"/>
      <w:bookmarkEnd w:id="116"/>
      <w:bookmarkEnd w:id="117"/>
      <w:bookmarkEnd w:id="118"/>
    </w:p>
    <w:p w14:paraId="1D5FB029" w14:textId="48DDE17E" w:rsidR="005E5363" w:rsidRPr="007E0FB5" w:rsidRDefault="005E5363" w:rsidP="005E5363">
      <w:pPr>
        <w:pStyle w:val="SingleTxtG"/>
      </w:pPr>
      <w:r>
        <w:rPr>
          <w:lang w:val="fr-FR"/>
        </w:rPr>
        <w:t>85</w:t>
      </w:r>
      <w:r w:rsidR="007A599E" w:rsidRPr="007A599E">
        <w:rPr>
          <w:lang w:val="fr-FR"/>
        </w:rPr>
        <w:t>.</w:t>
      </w:r>
      <w:r>
        <w:rPr>
          <w:lang w:val="fr-FR"/>
        </w:rPr>
        <w:tab/>
        <w:t>À sa 106</w:t>
      </w:r>
      <w:r>
        <w:rPr>
          <w:vertAlign w:val="superscript"/>
          <w:lang w:val="fr-FR"/>
        </w:rPr>
        <w:t>e</w:t>
      </w:r>
      <w:r>
        <w:rPr>
          <w:lang w:val="fr-FR"/>
        </w:rPr>
        <w:t> session, en avril 2022, le Comité a créé un groupe de travail composé de trois membres et l’a chargé de revoir son Règlement intérieur et d’améliorer ses méthodes de travail</w:t>
      </w:r>
      <w:r w:rsidR="007A599E" w:rsidRPr="007A599E">
        <w:rPr>
          <w:lang w:val="fr-FR"/>
        </w:rPr>
        <w:t>.</w:t>
      </w:r>
      <w:r>
        <w:rPr>
          <w:lang w:val="fr-FR"/>
        </w:rPr>
        <w:t xml:space="preserve"> À sa 114</w:t>
      </w:r>
      <w:r>
        <w:rPr>
          <w:vertAlign w:val="superscript"/>
          <w:lang w:val="fr-FR"/>
        </w:rPr>
        <w:t>e</w:t>
      </w:r>
      <w:r>
        <w:rPr>
          <w:lang w:val="fr-FR"/>
        </w:rPr>
        <w:t> session, le Comité a poursuivi la seconde lecture du projet de règlement intérieur révisé en examinant les articles 68 à 107</w:t>
      </w:r>
      <w:r w:rsidR="007A599E" w:rsidRPr="007A599E">
        <w:rPr>
          <w:lang w:val="fr-FR"/>
        </w:rPr>
        <w:t>.</w:t>
      </w:r>
      <w:r>
        <w:rPr>
          <w:lang w:val="fr-FR"/>
        </w:rPr>
        <w:t xml:space="preserve"> Il a harmonisé les dispositions relatives aux communications émanant de particuliers avec celles des règlements intérieurs d’autres organes conventionnels, notamment en ce qui concerne des questions telles que le règlement amiable, les interventions de tiers et les auditions</w:t>
      </w:r>
      <w:r w:rsidR="007A599E" w:rsidRPr="007A599E">
        <w:rPr>
          <w:lang w:val="fr-FR"/>
        </w:rPr>
        <w:t>.</w:t>
      </w:r>
      <w:r>
        <w:rPr>
          <w:lang w:val="fr-FR"/>
        </w:rPr>
        <w:t xml:space="preserve"> Il a ajouté de nouvelles dispositions sur diverses questions, notamment la procédure simplifiée d’établissement des rapports, les procédures de suivi, les procédures d’alerte rapide et d’intervention d’urgence et les recommandations générales</w:t>
      </w:r>
      <w:r w:rsidR="007A599E" w:rsidRPr="007A599E">
        <w:rPr>
          <w:lang w:val="fr-FR"/>
        </w:rPr>
        <w:t>.</w:t>
      </w:r>
      <w:r>
        <w:rPr>
          <w:lang w:val="fr-FR"/>
        </w:rPr>
        <w:t xml:space="preserve"> À sa 115</w:t>
      </w:r>
      <w:r>
        <w:rPr>
          <w:vertAlign w:val="superscript"/>
          <w:lang w:val="fr-FR"/>
        </w:rPr>
        <w:t>e</w:t>
      </w:r>
      <w:r>
        <w:rPr>
          <w:lang w:val="fr-FR"/>
        </w:rPr>
        <w:t> session, il a conclu l’examen de son Règlement intérieur révisé, qu’il a adopté à sa 3165</w:t>
      </w:r>
      <w:r>
        <w:rPr>
          <w:vertAlign w:val="superscript"/>
          <w:lang w:val="fr-FR"/>
        </w:rPr>
        <w:t>e</w:t>
      </w:r>
      <w:r>
        <w:rPr>
          <w:lang w:val="fr-FR"/>
        </w:rPr>
        <w:t> séance, le 9 mai 2025 (</w:t>
      </w:r>
      <w:hyperlink r:id="rId100" w:history="1">
        <w:r w:rsidRPr="00803B71">
          <w:rPr>
            <w:rStyle w:val="Lienhypertexte"/>
            <w:lang w:val="fr-FR"/>
          </w:rPr>
          <w:t>CERD/C/35/Rev</w:t>
        </w:r>
        <w:r w:rsidR="007A599E" w:rsidRPr="007A599E">
          <w:rPr>
            <w:rStyle w:val="Lienhypertexte"/>
            <w:lang w:val="fr-FR"/>
          </w:rPr>
          <w:t>.</w:t>
        </w:r>
        <w:r w:rsidRPr="00803B71">
          <w:rPr>
            <w:rStyle w:val="Lienhypertexte"/>
            <w:lang w:val="fr-FR"/>
          </w:rPr>
          <w:t>4</w:t>
        </w:r>
      </w:hyperlink>
      <w:r>
        <w:rPr>
          <w:lang w:val="fr-FR"/>
        </w:rPr>
        <w:t>)</w:t>
      </w:r>
      <w:r w:rsidR="007A599E" w:rsidRPr="007A599E">
        <w:rPr>
          <w:lang w:val="fr-FR"/>
        </w:rPr>
        <w:t>.</w:t>
      </w:r>
      <w:hyperlink r:id="rId101" w:history="1"/>
    </w:p>
    <w:p w14:paraId="7AF5E045" w14:textId="77777777" w:rsidR="005E5363" w:rsidRPr="007E0FB5" w:rsidRDefault="005E5363" w:rsidP="005E5363">
      <w:pPr>
        <w:pStyle w:val="SingleTxtG"/>
      </w:pPr>
      <w:r w:rsidRPr="007E0FB5">
        <w:br w:type="page"/>
      </w:r>
    </w:p>
    <w:p w14:paraId="45A9ACEE" w14:textId="0FCB7031" w:rsidR="005E5363" w:rsidRPr="007E0FB5" w:rsidRDefault="005E5363" w:rsidP="005E5363">
      <w:pPr>
        <w:pStyle w:val="HChG"/>
      </w:pPr>
      <w:bookmarkStart w:id="119" w:name="_Toc17361303"/>
      <w:r>
        <w:rPr>
          <w:bCs/>
          <w:lang w:val="fr-FR"/>
        </w:rPr>
        <w:lastRenderedPageBreak/>
        <w:tab/>
        <w:t>VII</w:t>
      </w:r>
      <w:r w:rsidR="007A599E" w:rsidRPr="007A599E">
        <w:rPr>
          <w:bCs/>
          <w:lang w:val="fr-FR"/>
        </w:rPr>
        <w:t>.</w:t>
      </w:r>
      <w:r>
        <w:rPr>
          <w:lang w:val="fr-FR"/>
        </w:rPr>
        <w:tab/>
      </w:r>
      <w:r>
        <w:rPr>
          <w:bCs/>
          <w:lang w:val="fr-FR"/>
        </w:rPr>
        <w:t>États Parties dont les rapports sont très en retard</w:t>
      </w:r>
      <w:bookmarkStart w:id="120" w:name="_Toc48752328"/>
      <w:bookmarkStart w:id="121" w:name="_Toc48816881"/>
      <w:bookmarkStart w:id="122" w:name="_Toc81563233"/>
      <w:bookmarkStart w:id="123" w:name="_Toc113263042"/>
      <w:bookmarkStart w:id="124" w:name="_Toc176248190"/>
      <w:bookmarkStart w:id="125" w:name="_Toc176248855"/>
      <w:bookmarkEnd w:id="119"/>
      <w:bookmarkEnd w:id="120"/>
      <w:bookmarkEnd w:id="121"/>
      <w:bookmarkEnd w:id="122"/>
      <w:bookmarkEnd w:id="123"/>
      <w:bookmarkEnd w:id="124"/>
      <w:bookmarkEnd w:id="125"/>
    </w:p>
    <w:p w14:paraId="195BF5AA" w14:textId="16A2967C" w:rsidR="005E5363" w:rsidRPr="007E0FB5" w:rsidRDefault="005E5363" w:rsidP="005E5363">
      <w:pPr>
        <w:pStyle w:val="H1G"/>
      </w:pPr>
      <w:r>
        <w:rPr>
          <w:bCs/>
          <w:lang w:val="fr-FR"/>
        </w:rPr>
        <w:tab/>
        <w:t>A</w:t>
      </w:r>
      <w:r w:rsidR="007A599E" w:rsidRPr="007A599E">
        <w:rPr>
          <w:bCs/>
          <w:lang w:val="fr-FR"/>
        </w:rPr>
        <w:t>.</w:t>
      </w:r>
      <w:r>
        <w:rPr>
          <w:lang w:val="fr-FR"/>
        </w:rPr>
        <w:tab/>
      </w:r>
      <w:r>
        <w:rPr>
          <w:bCs/>
          <w:lang w:val="fr-FR"/>
        </w:rPr>
        <w:t>Rapports en retard d’au moins dix ans</w:t>
      </w:r>
      <w:bookmarkStart w:id="126" w:name="_Toc17361304"/>
      <w:bookmarkStart w:id="127" w:name="_Toc48752329"/>
      <w:bookmarkStart w:id="128" w:name="_Toc48816882"/>
      <w:bookmarkStart w:id="129" w:name="_Toc81563234"/>
      <w:bookmarkStart w:id="130" w:name="_Toc113263043"/>
      <w:bookmarkStart w:id="131" w:name="_Toc176248191"/>
      <w:bookmarkStart w:id="132" w:name="_Toc176248856"/>
      <w:bookmarkEnd w:id="126"/>
      <w:bookmarkEnd w:id="127"/>
      <w:bookmarkEnd w:id="128"/>
      <w:bookmarkEnd w:id="129"/>
      <w:bookmarkEnd w:id="130"/>
      <w:bookmarkEnd w:id="131"/>
      <w:bookmarkEnd w:id="132"/>
    </w:p>
    <w:p w14:paraId="77EC2E01" w14:textId="52BEF269" w:rsidR="005E5363" w:rsidRPr="007E0FB5" w:rsidRDefault="005E5363" w:rsidP="005E5363">
      <w:pPr>
        <w:pStyle w:val="SingleTxtG"/>
      </w:pPr>
      <w:r>
        <w:rPr>
          <w:lang w:val="fr-FR"/>
        </w:rPr>
        <w:t>86</w:t>
      </w:r>
      <w:r w:rsidR="007A599E" w:rsidRPr="007A599E">
        <w:rPr>
          <w:lang w:val="fr-FR"/>
        </w:rPr>
        <w:t>.</w:t>
      </w:r>
      <w:r>
        <w:rPr>
          <w:lang w:val="fr-FR"/>
        </w:rPr>
        <w:tab/>
        <w:t>Au 14 août 2025, les rapports des États Parties suivants étaient en retard d’au moins dix ans :</w:t>
      </w:r>
    </w:p>
    <w:p w14:paraId="3AADE5DB" w14:textId="77777777" w:rsidR="005E5363" w:rsidRPr="007E0FB5" w:rsidRDefault="005E5363" w:rsidP="005E5363">
      <w:pPr>
        <w:pStyle w:val="SingleTxtG"/>
        <w:tabs>
          <w:tab w:val="clear" w:pos="2268"/>
        </w:tabs>
        <w:ind w:left="5097" w:hanging="3396"/>
      </w:pPr>
      <w:r>
        <w:rPr>
          <w:lang w:val="fr-FR"/>
        </w:rPr>
        <w:t>Sierra Leone</w:t>
      </w:r>
      <w:r>
        <w:rPr>
          <w:lang w:val="fr-FR"/>
        </w:rPr>
        <w:tab/>
      </w:r>
      <w:r>
        <w:rPr>
          <w:lang w:val="fr-FR"/>
        </w:rPr>
        <w:tab/>
        <w:t>Quatrième rapport périodique, attendu depuis 1976</w:t>
      </w:r>
    </w:p>
    <w:p w14:paraId="3C57E863" w14:textId="77777777" w:rsidR="005E5363" w:rsidRPr="007E0FB5" w:rsidRDefault="005E5363" w:rsidP="00117B2A">
      <w:pPr>
        <w:pStyle w:val="SingleTxtG"/>
        <w:tabs>
          <w:tab w:val="clear" w:pos="2268"/>
        </w:tabs>
        <w:ind w:left="5097" w:hanging="3396"/>
      </w:pPr>
      <w:r>
        <w:rPr>
          <w:lang w:val="fr-FR"/>
        </w:rPr>
        <w:t>Libéria</w:t>
      </w:r>
      <w:r>
        <w:rPr>
          <w:lang w:val="fr-FR"/>
        </w:rPr>
        <w:tab/>
      </w:r>
      <w:r>
        <w:rPr>
          <w:lang w:val="fr-FR"/>
        </w:rPr>
        <w:tab/>
        <w:t>Rapport initial, attendu depuis 1977</w:t>
      </w:r>
    </w:p>
    <w:p w14:paraId="137AF20A" w14:textId="77777777" w:rsidR="005E5363" w:rsidRPr="007E0FB5" w:rsidRDefault="005E5363" w:rsidP="005E5363">
      <w:pPr>
        <w:pStyle w:val="SingleTxtG"/>
        <w:tabs>
          <w:tab w:val="clear" w:pos="2268"/>
        </w:tabs>
        <w:ind w:left="5097" w:hanging="3396"/>
      </w:pPr>
      <w:r>
        <w:rPr>
          <w:lang w:val="fr-FR"/>
        </w:rPr>
        <w:t>Gambie</w:t>
      </w:r>
      <w:r>
        <w:rPr>
          <w:lang w:val="fr-FR"/>
        </w:rPr>
        <w:tab/>
      </w:r>
      <w:r>
        <w:rPr>
          <w:lang w:val="fr-FR"/>
        </w:rPr>
        <w:tab/>
        <w:t>Deuxième rapport périodique, attendu depuis 1982</w:t>
      </w:r>
    </w:p>
    <w:p w14:paraId="6EA41577" w14:textId="77777777" w:rsidR="005E5363" w:rsidRPr="007E0FB5" w:rsidRDefault="005E5363" w:rsidP="005E5363">
      <w:pPr>
        <w:pStyle w:val="SingleTxtG"/>
        <w:tabs>
          <w:tab w:val="clear" w:pos="2268"/>
        </w:tabs>
        <w:ind w:left="5097" w:hanging="3396"/>
      </w:pPr>
      <w:r>
        <w:rPr>
          <w:lang w:val="fr-FR"/>
        </w:rPr>
        <w:t>Somalie</w:t>
      </w:r>
      <w:r>
        <w:rPr>
          <w:lang w:val="fr-FR"/>
        </w:rPr>
        <w:tab/>
      </w:r>
      <w:r>
        <w:rPr>
          <w:lang w:val="fr-FR"/>
        </w:rPr>
        <w:tab/>
        <w:t>Cinquième rapport périodique, attendu depuis 1984</w:t>
      </w:r>
    </w:p>
    <w:p w14:paraId="27D85A09" w14:textId="77777777" w:rsidR="005E5363" w:rsidRPr="007E0FB5" w:rsidRDefault="005E5363" w:rsidP="005E5363">
      <w:pPr>
        <w:pStyle w:val="SingleTxtG"/>
        <w:tabs>
          <w:tab w:val="clear" w:pos="2268"/>
        </w:tabs>
        <w:ind w:left="5097" w:hanging="3396"/>
      </w:pPr>
      <w:r>
        <w:rPr>
          <w:lang w:val="fr-FR"/>
        </w:rPr>
        <w:t>Papouasie-Nouvelle-Guinée</w:t>
      </w:r>
      <w:r>
        <w:rPr>
          <w:lang w:val="fr-FR"/>
        </w:rPr>
        <w:tab/>
      </w:r>
      <w:r>
        <w:rPr>
          <w:lang w:val="fr-FR"/>
        </w:rPr>
        <w:tab/>
        <w:t>Deuxième rapport périodique, attendu depuis 1985</w:t>
      </w:r>
    </w:p>
    <w:p w14:paraId="3202E303" w14:textId="77777777" w:rsidR="005E5363" w:rsidRPr="007E0FB5" w:rsidRDefault="005E5363" w:rsidP="005E5363">
      <w:pPr>
        <w:pStyle w:val="SingleTxtG"/>
        <w:tabs>
          <w:tab w:val="clear" w:pos="2268"/>
        </w:tabs>
        <w:ind w:left="5097" w:hanging="3396"/>
      </w:pPr>
      <w:r>
        <w:rPr>
          <w:lang w:val="fr-FR"/>
        </w:rPr>
        <w:t>Îles Salomon</w:t>
      </w:r>
      <w:r>
        <w:rPr>
          <w:lang w:val="fr-FR"/>
        </w:rPr>
        <w:tab/>
      </w:r>
      <w:r>
        <w:rPr>
          <w:lang w:val="fr-FR"/>
        </w:rPr>
        <w:tab/>
        <w:t>Deuxième rapport périodique, attendu depuis 1985</w:t>
      </w:r>
    </w:p>
    <w:p w14:paraId="33CBB877" w14:textId="77777777" w:rsidR="005E5363" w:rsidRPr="007E0FB5" w:rsidRDefault="005E5363" w:rsidP="005E5363">
      <w:pPr>
        <w:pStyle w:val="SingleTxtG"/>
        <w:tabs>
          <w:tab w:val="clear" w:pos="2268"/>
        </w:tabs>
        <w:ind w:left="5097" w:hanging="3396"/>
      </w:pPr>
      <w:r>
        <w:rPr>
          <w:lang w:val="fr-FR"/>
        </w:rPr>
        <w:t>République centrafricaine</w:t>
      </w:r>
      <w:r>
        <w:rPr>
          <w:lang w:val="fr-FR"/>
        </w:rPr>
        <w:tab/>
      </w:r>
      <w:r>
        <w:rPr>
          <w:lang w:val="fr-FR"/>
        </w:rPr>
        <w:tab/>
        <w:t>Huitième rapport périodique, attendu depuis 1986</w:t>
      </w:r>
    </w:p>
    <w:p w14:paraId="297086EC" w14:textId="77777777" w:rsidR="005E5363" w:rsidRPr="007E0FB5" w:rsidRDefault="005E5363" w:rsidP="005E5363">
      <w:pPr>
        <w:pStyle w:val="SingleTxtG"/>
        <w:tabs>
          <w:tab w:val="clear" w:pos="2268"/>
        </w:tabs>
        <w:ind w:left="5097" w:hanging="3396"/>
      </w:pPr>
      <w:r>
        <w:rPr>
          <w:lang w:val="fr-FR"/>
        </w:rPr>
        <w:t>Seychelles</w:t>
      </w:r>
      <w:r>
        <w:rPr>
          <w:lang w:val="fr-FR"/>
        </w:rPr>
        <w:tab/>
      </w:r>
      <w:r>
        <w:rPr>
          <w:lang w:val="fr-FR"/>
        </w:rPr>
        <w:tab/>
        <w:t>Sixième rapport périodique, attendu depuis 1989</w:t>
      </w:r>
    </w:p>
    <w:p w14:paraId="5CF4CF78" w14:textId="77777777" w:rsidR="005E5363" w:rsidRPr="007E0FB5" w:rsidRDefault="005E5363" w:rsidP="00117B2A">
      <w:pPr>
        <w:pStyle w:val="SingleTxtG"/>
        <w:tabs>
          <w:tab w:val="clear" w:pos="2268"/>
        </w:tabs>
        <w:ind w:left="5097" w:hanging="3396"/>
      </w:pPr>
      <w:r>
        <w:rPr>
          <w:lang w:val="fr-FR"/>
        </w:rPr>
        <w:t>Sainte-Lucie</w:t>
      </w:r>
      <w:r>
        <w:rPr>
          <w:lang w:val="fr-FR"/>
        </w:rPr>
        <w:tab/>
      </w:r>
      <w:r>
        <w:rPr>
          <w:lang w:val="fr-FR"/>
        </w:rPr>
        <w:tab/>
        <w:t>Rapport initial, attendu depuis 1991</w:t>
      </w:r>
    </w:p>
    <w:p w14:paraId="36C8103A" w14:textId="77777777" w:rsidR="005E5363" w:rsidRPr="007E0FB5" w:rsidRDefault="005E5363" w:rsidP="00117B2A">
      <w:pPr>
        <w:pStyle w:val="SingleTxtG"/>
        <w:tabs>
          <w:tab w:val="clear" w:pos="2268"/>
        </w:tabs>
        <w:ind w:left="5097" w:hanging="3396"/>
      </w:pPr>
      <w:r>
        <w:rPr>
          <w:lang w:val="fr-FR"/>
        </w:rPr>
        <w:t>Malawi</w:t>
      </w:r>
      <w:r>
        <w:rPr>
          <w:lang w:val="fr-FR"/>
        </w:rPr>
        <w:tab/>
      </w:r>
      <w:r>
        <w:rPr>
          <w:lang w:val="fr-FR"/>
        </w:rPr>
        <w:tab/>
        <w:t>Rapport initial, attendu depuis 1997</w:t>
      </w:r>
    </w:p>
    <w:p w14:paraId="34234E8C" w14:textId="77777777" w:rsidR="005E5363" w:rsidRPr="007E0FB5" w:rsidRDefault="005E5363" w:rsidP="005E5363">
      <w:pPr>
        <w:pStyle w:val="SingleTxtG"/>
        <w:tabs>
          <w:tab w:val="clear" w:pos="2268"/>
        </w:tabs>
        <w:ind w:left="5097" w:hanging="3396"/>
      </w:pPr>
      <w:r>
        <w:rPr>
          <w:lang w:val="fr-FR"/>
        </w:rPr>
        <w:t>Eswatini</w:t>
      </w:r>
      <w:r>
        <w:rPr>
          <w:lang w:val="fr-FR"/>
        </w:rPr>
        <w:tab/>
      </w:r>
      <w:r>
        <w:rPr>
          <w:lang w:val="fr-FR"/>
        </w:rPr>
        <w:tab/>
        <w:t>Quinzième rapport périodique, attendu depuis 1998</w:t>
      </w:r>
    </w:p>
    <w:p w14:paraId="498923A8" w14:textId="77777777" w:rsidR="005E5363" w:rsidRPr="007E0FB5" w:rsidRDefault="005E5363" w:rsidP="005E5363">
      <w:pPr>
        <w:pStyle w:val="SingleTxtG"/>
        <w:tabs>
          <w:tab w:val="clear" w:pos="2268"/>
        </w:tabs>
        <w:ind w:left="5097" w:hanging="3396"/>
      </w:pPr>
      <w:r>
        <w:rPr>
          <w:lang w:val="fr-FR"/>
        </w:rPr>
        <w:t>Guinée</w:t>
      </w:r>
      <w:r>
        <w:rPr>
          <w:lang w:val="fr-FR"/>
        </w:rPr>
        <w:tab/>
      </w:r>
      <w:r>
        <w:rPr>
          <w:lang w:val="fr-FR"/>
        </w:rPr>
        <w:tab/>
        <w:t>Douzième rapport périodique, attendu depuis 2000</w:t>
      </w:r>
    </w:p>
    <w:p w14:paraId="2D29B2DB" w14:textId="77777777" w:rsidR="005E5363" w:rsidRPr="007E0FB5" w:rsidRDefault="005E5363" w:rsidP="005E5363">
      <w:pPr>
        <w:pStyle w:val="SingleTxtG"/>
        <w:tabs>
          <w:tab w:val="clear" w:pos="2268"/>
        </w:tabs>
        <w:ind w:left="5097" w:hanging="3396"/>
      </w:pPr>
      <w:r>
        <w:rPr>
          <w:lang w:val="fr-FR"/>
        </w:rPr>
        <w:t>Haïti</w:t>
      </w:r>
      <w:r>
        <w:rPr>
          <w:lang w:val="fr-FR"/>
        </w:rPr>
        <w:tab/>
      </w:r>
      <w:r>
        <w:rPr>
          <w:lang w:val="fr-FR"/>
        </w:rPr>
        <w:tab/>
        <w:t>Quatorzième rapport périodique, attendu depuis 2000</w:t>
      </w:r>
    </w:p>
    <w:p w14:paraId="33BF58B2" w14:textId="77777777" w:rsidR="005E5363" w:rsidRPr="007E0FB5" w:rsidRDefault="005E5363" w:rsidP="005E5363">
      <w:pPr>
        <w:pStyle w:val="SingleTxtG"/>
        <w:tabs>
          <w:tab w:val="clear" w:pos="2268"/>
        </w:tabs>
        <w:ind w:left="5097" w:hanging="3396"/>
      </w:pPr>
      <w:r>
        <w:rPr>
          <w:lang w:val="fr-FR"/>
        </w:rPr>
        <w:t>Lesotho</w:t>
      </w:r>
      <w:r>
        <w:rPr>
          <w:lang w:val="fr-FR"/>
        </w:rPr>
        <w:tab/>
      </w:r>
      <w:r>
        <w:rPr>
          <w:lang w:val="fr-FR"/>
        </w:rPr>
        <w:tab/>
        <w:t>Quinzième rapport périodique, attendu depuis 2000</w:t>
      </w:r>
    </w:p>
    <w:p w14:paraId="4EBA7609" w14:textId="77777777" w:rsidR="005E5363" w:rsidRPr="007E0FB5" w:rsidRDefault="005E5363" w:rsidP="005E5363">
      <w:pPr>
        <w:pStyle w:val="SingleTxtG"/>
        <w:tabs>
          <w:tab w:val="clear" w:pos="2268"/>
        </w:tabs>
        <w:ind w:left="5097" w:hanging="3396"/>
      </w:pPr>
      <w:r>
        <w:rPr>
          <w:lang w:val="fr-FR"/>
        </w:rPr>
        <w:t>République arabe syrienne</w:t>
      </w:r>
      <w:r>
        <w:rPr>
          <w:lang w:val="fr-FR"/>
        </w:rPr>
        <w:tab/>
      </w:r>
      <w:r>
        <w:rPr>
          <w:lang w:val="fr-FR"/>
        </w:rPr>
        <w:tab/>
        <w:t>Seizième rapport périodique, attendu depuis 2000</w:t>
      </w:r>
    </w:p>
    <w:p w14:paraId="624F1B26" w14:textId="77777777" w:rsidR="005E5363" w:rsidRPr="007E0FB5" w:rsidRDefault="005E5363" w:rsidP="005E5363">
      <w:pPr>
        <w:pStyle w:val="SingleTxtG"/>
        <w:tabs>
          <w:tab w:val="clear" w:pos="2268"/>
        </w:tabs>
        <w:ind w:left="5097" w:hanging="3396"/>
      </w:pPr>
      <w:r>
        <w:rPr>
          <w:lang w:val="fr-FR"/>
        </w:rPr>
        <w:t>Tonga</w:t>
      </w:r>
      <w:r>
        <w:rPr>
          <w:lang w:val="fr-FR"/>
        </w:rPr>
        <w:tab/>
      </w:r>
      <w:r>
        <w:rPr>
          <w:lang w:val="fr-FR"/>
        </w:rPr>
        <w:tab/>
        <w:t>Quinzième rapport périodique, attendu depuis 2001</w:t>
      </w:r>
    </w:p>
    <w:p w14:paraId="0FD15F84" w14:textId="77777777" w:rsidR="005E5363" w:rsidRPr="007E0FB5" w:rsidRDefault="005E5363" w:rsidP="005E5363">
      <w:pPr>
        <w:pStyle w:val="SingleTxtG"/>
        <w:tabs>
          <w:tab w:val="clear" w:pos="2268"/>
        </w:tabs>
        <w:ind w:left="5097" w:hanging="3396"/>
      </w:pPr>
      <w:r>
        <w:rPr>
          <w:lang w:val="fr-FR"/>
        </w:rPr>
        <w:t>Bangladesh</w:t>
      </w:r>
      <w:r>
        <w:rPr>
          <w:lang w:val="fr-FR"/>
        </w:rPr>
        <w:tab/>
      </w:r>
      <w:r>
        <w:rPr>
          <w:lang w:val="fr-FR"/>
        </w:rPr>
        <w:tab/>
        <w:t>Douzième rapport périodique, attendu depuis 2002</w:t>
      </w:r>
    </w:p>
    <w:p w14:paraId="6E4A1534" w14:textId="77777777" w:rsidR="005E5363" w:rsidRPr="007E0FB5" w:rsidRDefault="005E5363" w:rsidP="00117B2A">
      <w:pPr>
        <w:pStyle w:val="SingleTxtG"/>
        <w:tabs>
          <w:tab w:val="clear" w:pos="2268"/>
        </w:tabs>
        <w:ind w:left="5097" w:hanging="3396"/>
      </w:pPr>
      <w:r>
        <w:rPr>
          <w:lang w:val="fr-FR"/>
        </w:rPr>
        <w:t>Belize</w:t>
      </w:r>
      <w:r>
        <w:rPr>
          <w:lang w:val="fr-FR"/>
        </w:rPr>
        <w:tab/>
      </w:r>
      <w:r>
        <w:rPr>
          <w:lang w:val="fr-FR"/>
        </w:rPr>
        <w:tab/>
        <w:t>Rapport initial, attendu depuis 2002</w:t>
      </w:r>
    </w:p>
    <w:p w14:paraId="2B1C6C52" w14:textId="77777777" w:rsidR="005E5363" w:rsidRPr="007E0FB5" w:rsidRDefault="005E5363" w:rsidP="00117B2A">
      <w:pPr>
        <w:pStyle w:val="SingleTxtG"/>
        <w:tabs>
          <w:tab w:val="clear" w:pos="2268"/>
        </w:tabs>
        <w:ind w:left="5097" w:hanging="3396"/>
      </w:pPr>
      <w:r>
        <w:rPr>
          <w:lang w:val="fr-FR"/>
        </w:rPr>
        <w:t>Érythrée</w:t>
      </w:r>
      <w:r>
        <w:rPr>
          <w:lang w:val="fr-FR"/>
        </w:rPr>
        <w:tab/>
      </w:r>
      <w:r>
        <w:rPr>
          <w:lang w:val="fr-FR"/>
        </w:rPr>
        <w:tab/>
        <w:t>Rapport initial, attendu depuis 2002</w:t>
      </w:r>
    </w:p>
    <w:p w14:paraId="7C744626" w14:textId="77777777" w:rsidR="005E5363" w:rsidRPr="007E0FB5" w:rsidRDefault="005E5363" w:rsidP="005E5363">
      <w:pPr>
        <w:pStyle w:val="SingleTxtG"/>
        <w:tabs>
          <w:tab w:val="clear" w:pos="2268"/>
        </w:tabs>
        <w:ind w:left="4820" w:hanging="3119"/>
      </w:pPr>
      <w:r>
        <w:rPr>
          <w:lang w:val="fr-FR"/>
        </w:rPr>
        <w:t>Guinée équatoriale</w:t>
      </w:r>
      <w:r>
        <w:rPr>
          <w:lang w:val="fr-FR"/>
        </w:rPr>
        <w:tab/>
      </w:r>
      <w:r>
        <w:rPr>
          <w:lang w:val="fr-FR"/>
        </w:rPr>
        <w:tab/>
        <w:t>Rapport initial, attendu depuis 2003</w:t>
      </w:r>
    </w:p>
    <w:p w14:paraId="13B42122" w14:textId="77777777" w:rsidR="005E5363" w:rsidRPr="007E0FB5" w:rsidRDefault="005E5363" w:rsidP="00117B2A">
      <w:pPr>
        <w:pStyle w:val="SingleTxtG"/>
        <w:tabs>
          <w:tab w:val="clear" w:pos="2268"/>
        </w:tabs>
        <w:ind w:left="5097" w:hanging="3396"/>
      </w:pPr>
      <w:r>
        <w:rPr>
          <w:lang w:val="fr-FR"/>
        </w:rPr>
        <w:t>Timor-Leste</w:t>
      </w:r>
      <w:r>
        <w:rPr>
          <w:lang w:val="fr-FR"/>
        </w:rPr>
        <w:tab/>
      </w:r>
      <w:r>
        <w:rPr>
          <w:lang w:val="fr-FR"/>
        </w:rPr>
        <w:tab/>
        <w:t>Rapport initial, attendu depuis 2004</w:t>
      </w:r>
    </w:p>
    <w:p w14:paraId="0067DC9D" w14:textId="77777777" w:rsidR="005E5363" w:rsidRPr="007E0FB5" w:rsidRDefault="005E5363" w:rsidP="00117B2A">
      <w:pPr>
        <w:pStyle w:val="SingleTxtG"/>
        <w:tabs>
          <w:tab w:val="clear" w:pos="2268"/>
        </w:tabs>
        <w:ind w:left="5097" w:hanging="3396"/>
      </w:pPr>
      <w:r>
        <w:rPr>
          <w:lang w:val="fr-FR"/>
        </w:rPr>
        <w:t>Comores</w:t>
      </w:r>
      <w:r>
        <w:rPr>
          <w:lang w:val="fr-FR"/>
        </w:rPr>
        <w:tab/>
      </w:r>
      <w:r>
        <w:rPr>
          <w:lang w:val="fr-FR"/>
        </w:rPr>
        <w:tab/>
        <w:t>Rapport initial, attendu depuis 2005</w:t>
      </w:r>
    </w:p>
    <w:p w14:paraId="2B871C8C" w14:textId="77777777" w:rsidR="005E5363" w:rsidRPr="007E0FB5" w:rsidRDefault="005E5363" w:rsidP="005E5363">
      <w:pPr>
        <w:pStyle w:val="SingleTxtG"/>
        <w:tabs>
          <w:tab w:val="clear" w:pos="2268"/>
        </w:tabs>
        <w:ind w:left="5097" w:hanging="3396"/>
      </w:pPr>
      <w:r>
        <w:rPr>
          <w:lang w:val="fr-FR"/>
        </w:rPr>
        <w:t>Mali</w:t>
      </w:r>
      <w:r>
        <w:rPr>
          <w:lang w:val="fr-FR"/>
        </w:rPr>
        <w:tab/>
      </w:r>
      <w:r>
        <w:rPr>
          <w:lang w:val="fr-FR"/>
        </w:rPr>
        <w:tab/>
        <w:t>Rapport valant quinzième et seizième rapports périodiques, attendu depuis 2005</w:t>
      </w:r>
    </w:p>
    <w:p w14:paraId="795EF276" w14:textId="77777777" w:rsidR="005E5363" w:rsidRPr="007E0FB5" w:rsidRDefault="005E5363" w:rsidP="005E5363">
      <w:pPr>
        <w:pStyle w:val="SingleTxtG"/>
        <w:tabs>
          <w:tab w:val="clear" w:pos="2268"/>
        </w:tabs>
        <w:ind w:left="5097" w:hanging="3396"/>
      </w:pPr>
      <w:r>
        <w:rPr>
          <w:lang w:val="fr-FR"/>
        </w:rPr>
        <w:t>Bahamas (Les)</w:t>
      </w:r>
      <w:r>
        <w:rPr>
          <w:lang w:val="fr-FR"/>
        </w:rPr>
        <w:tab/>
      </w:r>
      <w:r>
        <w:rPr>
          <w:lang w:val="fr-FR"/>
        </w:rPr>
        <w:tab/>
        <w:t>Rapport valant quinzième et seizième rapports périodiques, attendu depuis 2006</w:t>
      </w:r>
    </w:p>
    <w:p w14:paraId="4A888BA8" w14:textId="77777777" w:rsidR="005E5363" w:rsidRPr="007E0FB5" w:rsidRDefault="005E5363" w:rsidP="005E5363">
      <w:pPr>
        <w:pStyle w:val="SingleTxtG"/>
        <w:tabs>
          <w:tab w:val="clear" w:pos="2268"/>
        </w:tabs>
        <w:ind w:left="5097" w:hanging="3396"/>
      </w:pPr>
      <w:r>
        <w:rPr>
          <w:lang w:val="fr-FR"/>
        </w:rPr>
        <w:lastRenderedPageBreak/>
        <w:t>Cabo Verde</w:t>
      </w:r>
      <w:r>
        <w:rPr>
          <w:lang w:val="fr-FR"/>
        </w:rPr>
        <w:tab/>
      </w:r>
      <w:r>
        <w:rPr>
          <w:lang w:val="fr-FR"/>
        </w:rPr>
        <w:tab/>
        <w:t>Rapport valant treizième et quatorzième rapports périodiques, attendu depuis 2006</w:t>
      </w:r>
    </w:p>
    <w:p w14:paraId="7362905B" w14:textId="77777777" w:rsidR="005E5363" w:rsidRPr="007E0FB5" w:rsidRDefault="005E5363" w:rsidP="005E5363">
      <w:pPr>
        <w:pStyle w:val="SingleTxtG"/>
        <w:tabs>
          <w:tab w:val="clear" w:pos="2268"/>
        </w:tabs>
        <w:ind w:left="5097" w:hanging="3396"/>
      </w:pPr>
      <w:r>
        <w:rPr>
          <w:lang w:val="fr-FR"/>
        </w:rPr>
        <w:t>Côte d’Ivoire</w:t>
      </w:r>
      <w:r>
        <w:rPr>
          <w:lang w:val="fr-FR"/>
        </w:rPr>
        <w:tab/>
      </w:r>
      <w:r>
        <w:rPr>
          <w:lang w:val="fr-FR"/>
        </w:rPr>
        <w:tab/>
        <w:t>Rapport valant quinzième à dix-septième rapports périodiques, attendu depuis 2006</w:t>
      </w:r>
    </w:p>
    <w:p w14:paraId="2748FB94" w14:textId="77777777" w:rsidR="005E5363" w:rsidRPr="007E0FB5" w:rsidRDefault="005E5363" w:rsidP="005E5363">
      <w:pPr>
        <w:pStyle w:val="SingleTxtG"/>
        <w:tabs>
          <w:tab w:val="clear" w:pos="2268"/>
        </w:tabs>
        <w:ind w:left="5097" w:hanging="3396"/>
      </w:pPr>
      <w:r>
        <w:rPr>
          <w:lang w:val="fr-FR"/>
        </w:rPr>
        <w:t>Ghana</w:t>
      </w:r>
      <w:r>
        <w:rPr>
          <w:lang w:val="fr-FR"/>
        </w:rPr>
        <w:tab/>
      </w:r>
      <w:r>
        <w:rPr>
          <w:lang w:val="fr-FR"/>
        </w:rPr>
        <w:tab/>
        <w:t>Rapport valant dix-huitième et dix-neuvième rapports périodiques, attendu depuis 2006</w:t>
      </w:r>
    </w:p>
    <w:p w14:paraId="35E834CF" w14:textId="77777777" w:rsidR="005E5363" w:rsidRPr="007E0FB5" w:rsidRDefault="005E5363" w:rsidP="005E5363">
      <w:pPr>
        <w:pStyle w:val="SingleTxtG"/>
        <w:tabs>
          <w:tab w:val="clear" w:pos="2268"/>
        </w:tabs>
        <w:ind w:left="5097" w:hanging="3396"/>
      </w:pPr>
      <w:r>
        <w:rPr>
          <w:lang w:val="fr-FR"/>
        </w:rPr>
        <w:t>Libye</w:t>
      </w:r>
      <w:r>
        <w:rPr>
          <w:lang w:val="fr-FR"/>
        </w:rPr>
        <w:tab/>
      </w:r>
      <w:r>
        <w:rPr>
          <w:lang w:val="fr-FR"/>
        </w:rPr>
        <w:tab/>
        <w:t>Rapport valant dix-huitième et dix-neuvième rapports périodiques, attendu depuis 2006</w:t>
      </w:r>
    </w:p>
    <w:p w14:paraId="283EAD16" w14:textId="77777777" w:rsidR="005E5363" w:rsidRPr="007E0FB5" w:rsidRDefault="005E5363" w:rsidP="005E5363">
      <w:pPr>
        <w:pStyle w:val="SingleTxtG"/>
        <w:tabs>
          <w:tab w:val="clear" w:pos="2268"/>
        </w:tabs>
        <w:ind w:left="5097" w:hanging="3396"/>
      </w:pPr>
      <w:r>
        <w:rPr>
          <w:lang w:val="fr-FR"/>
        </w:rPr>
        <w:t>Saint-Vincent-et-les Grenadines</w:t>
      </w:r>
      <w:r>
        <w:rPr>
          <w:lang w:val="fr-FR"/>
        </w:rPr>
        <w:tab/>
      </w:r>
      <w:r>
        <w:rPr>
          <w:lang w:val="fr-FR"/>
        </w:rPr>
        <w:tab/>
        <w:t>Rapport valant onzième à treizième rapports périodiques, attendu depuis 2006</w:t>
      </w:r>
    </w:p>
    <w:p w14:paraId="0782EE33" w14:textId="77777777" w:rsidR="005E5363" w:rsidRPr="007E0FB5" w:rsidRDefault="005E5363" w:rsidP="005E5363">
      <w:pPr>
        <w:pStyle w:val="SingleTxtG"/>
        <w:tabs>
          <w:tab w:val="clear" w:pos="2268"/>
        </w:tabs>
        <w:ind w:left="5097" w:hanging="3396"/>
      </w:pPr>
      <w:r>
        <w:rPr>
          <w:lang w:val="fr-FR"/>
        </w:rPr>
        <w:t>Barbade</w:t>
      </w:r>
      <w:r>
        <w:rPr>
          <w:lang w:val="fr-FR"/>
        </w:rPr>
        <w:tab/>
      </w:r>
      <w:r>
        <w:rPr>
          <w:lang w:val="fr-FR"/>
        </w:rPr>
        <w:tab/>
        <w:t>Rapport valant dix-septième et dix-huitième rapports périodiques, attendu depuis 2007</w:t>
      </w:r>
    </w:p>
    <w:p w14:paraId="44F8DFC3" w14:textId="77777777" w:rsidR="005E5363" w:rsidRPr="007E0FB5" w:rsidRDefault="005E5363" w:rsidP="005E5363">
      <w:pPr>
        <w:pStyle w:val="SingleTxtG"/>
        <w:tabs>
          <w:tab w:val="clear" w:pos="2268"/>
        </w:tabs>
        <w:ind w:left="4820" w:hanging="3119"/>
      </w:pPr>
      <w:r>
        <w:rPr>
          <w:lang w:val="fr-FR"/>
        </w:rPr>
        <w:t>Saint-Kitts-et-Nevis</w:t>
      </w:r>
      <w:r>
        <w:rPr>
          <w:lang w:val="fr-FR"/>
        </w:rPr>
        <w:tab/>
      </w:r>
      <w:r>
        <w:rPr>
          <w:lang w:val="fr-FR"/>
        </w:rPr>
        <w:tab/>
        <w:t>Rapport initial, attendu depuis 2007</w:t>
      </w:r>
    </w:p>
    <w:p w14:paraId="1AAD0F63" w14:textId="77777777" w:rsidR="005E5363" w:rsidRPr="007E0FB5" w:rsidRDefault="005E5363" w:rsidP="005E5363">
      <w:pPr>
        <w:pStyle w:val="SingleTxtG"/>
        <w:tabs>
          <w:tab w:val="clear" w:pos="2268"/>
        </w:tabs>
        <w:ind w:left="5097" w:hanging="3396"/>
      </w:pPr>
      <w:r>
        <w:rPr>
          <w:lang w:val="fr-FR"/>
        </w:rPr>
        <w:t>République-Unie de Tanzanie</w:t>
      </w:r>
      <w:r>
        <w:rPr>
          <w:lang w:val="fr-FR"/>
        </w:rPr>
        <w:tab/>
      </w:r>
      <w:r>
        <w:rPr>
          <w:lang w:val="fr-FR"/>
        </w:rPr>
        <w:tab/>
        <w:t>Rapport valant dix-septième et dix-huitième rapports périodiques, attendu depuis 2007</w:t>
      </w:r>
    </w:p>
    <w:p w14:paraId="7C3410BE" w14:textId="77777777" w:rsidR="005E5363" w:rsidRPr="007E0FB5" w:rsidRDefault="005E5363" w:rsidP="005E5363">
      <w:pPr>
        <w:pStyle w:val="SingleTxtG"/>
        <w:tabs>
          <w:tab w:val="clear" w:pos="2268"/>
        </w:tabs>
        <w:ind w:left="5097" w:hanging="3396"/>
      </w:pPr>
      <w:r>
        <w:rPr>
          <w:lang w:val="fr-FR"/>
        </w:rPr>
        <w:t>Guyana</w:t>
      </w:r>
      <w:r>
        <w:rPr>
          <w:lang w:val="fr-FR"/>
        </w:rPr>
        <w:tab/>
      </w:r>
      <w:r>
        <w:rPr>
          <w:lang w:val="fr-FR"/>
        </w:rPr>
        <w:tab/>
        <w:t>Rapport valant quinzième et seizième rapports périodiques, attendu depuis 2008</w:t>
      </w:r>
    </w:p>
    <w:p w14:paraId="747349AC" w14:textId="77777777" w:rsidR="005E5363" w:rsidRPr="007E0FB5" w:rsidRDefault="005E5363" w:rsidP="005E5363">
      <w:pPr>
        <w:pStyle w:val="SingleTxtG"/>
        <w:tabs>
          <w:tab w:val="clear" w:pos="2268"/>
        </w:tabs>
        <w:ind w:left="5097" w:hanging="3396"/>
      </w:pPr>
      <w:r>
        <w:rPr>
          <w:lang w:val="fr-FR"/>
        </w:rPr>
        <w:t>Madagascar</w:t>
      </w:r>
      <w:r>
        <w:rPr>
          <w:lang w:val="fr-FR"/>
        </w:rPr>
        <w:tab/>
      </w:r>
      <w:r>
        <w:rPr>
          <w:lang w:val="fr-FR"/>
        </w:rPr>
        <w:tab/>
        <w:t>Rapport valant dix-neuvième et vingtième rapports périodiques, attendu depuis 2008</w:t>
      </w:r>
    </w:p>
    <w:p w14:paraId="05DE470C" w14:textId="77777777" w:rsidR="005E5363" w:rsidRPr="007E0FB5" w:rsidRDefault="005E5363" w:rsidP="005E5363">
      <w:pPr>
        <w:pStyle w:val="SingleTxtG"/>
        <w:tabs>
          <w:tab w:val="clear" w:pos="2268"/>
        </w:tabs>
        <w:ind w:left="5097" w:hanging="3396"/>
      </w:pPr>
      <w:r>
        <w:rPr>
          <w:lang w:val="fr-FR"/>
        </w:rPr>
        <w:t>Nigéria</w:t>
      </w:r>
      <w:r>
        <w:rPr>
          <w:lang w:val="fr-FR"/>
        </w:rPr>
        <w:tab/>
      </w:r>
      <w:r>
        <w:rPr>
          <w:lang w:val="fr-FR"/>
        </w:rPr>
        <w:tab/>
        <w:t>Rapport valant dix-neuvième et vingtième rapports périodiques, attendu depuis 2008</w:t>
      </w:r>
    </w:p>
    <w:p w14:paraId="3B5838B4" w14:textId="77777777" w:rsidR="005E5363" w:rsidRPr="007E0FB5" w:rsidRDefault="005E5363" w:rsidP="005E5363">
      <w:pPr>
        <w:pStyle w:val="SingleTxtG"/>
        <w:tabs>
          <w:tab w:val="clear" w:pos="2268"/>
        </w:tabs>
        <w:ind w:left="5097" w:hanging="3396"/>
      </w:pPr>
      <w:r>
        <w:rPr>
          <w:lang w:val="fr-FR"/>
        </w:rPr>
        <w:t>Antigua-et-Barbuda</w:t>
      </w:r>
      <w:r>
        <w:rPr>
          <w:lang w:val="fr-FR"/>
        </w:rPr>
        <w:tab/>
      </w:r>
      <w:r>
        <w:rPr>
          <w:lang w:val="fr-FR"/>
        </w:rPr>
        <w:tab/>
        <w:t>Rapport valant dixième et onzième rapports périodiques, attendu depuis 2009</w:t>
      </w:r>
    </w:p>
    <w:p w14:paraId="428424B6" w14:textId="77777777" w:rsidR="005E5363" w:rsidRPr="007E0FB5" w:rsidRDefault="005E5363" w:rsidP="005E5363">
      <w:pPr>
        <w:pStyle w:val="SingleTxtG"/>
        <w:tabs>
          <w:tab w:val="clear" w:pos="2268"/>
        </w:tabs>
        <w:ind w:left="5097" w:hanging="3396"/>
      </w:pPr>
      <w:r>
        <w:rPr>
          <w:lang w:val="fr-FR"/>
        </w:rPr>
        <w:t>Indonésie</w:t>
      </w:r>
      <w:r>
        <w:rPr>
          <w:lang w:val="fr-FR"/>
        </w:rPr>
        <w:tab/>
      </w:r>
      <w:r>
        <w:rPr>
          <w:lang w:val="fr-FR"/>
        </w:rPr>
        <w:tab/>
        <w:t>Rapport valant quatrième à sixième rapports périodiques, attendu depuis 2010</w:t>
      </w:r>
    </w:p>
    <w:p w14:paraId="6281335B" w14:textId="77777777" w:rsidR="005E5363" w:rsidRPr="007E0FB5" w:rsidRDefault="005E5363" w:rsidP="005E5363">
      <w:pPr>
        <w:pStyle w:val="SingleTxtG"/>
        <w:tabs>
          <w:tab w:val="clear" w:pos="2268"/>
        </w:tabs>
        <w:ind w:left="5097" w:hanging="3396"/>
      </w:pPr>
      <w:r>
        <w:rPr>
          <w:lang w:val="fr-FR"/>
        </w:rPr>
        <w:t>Mozambique</w:t>
      </w:r>
      <w:r>
        <w:rPr>
          <w:lang w:val="fr-FR"/>
        </w:rPr>
        <w:tab/>
      </w:r>
      <w:r>
        <w:rPr>
          <w:lang w:val="fr-FR"/>
        </w:rPr>
        <w:tab/>
        <w:t>Rapport valant treizième à dix-septième rapports périodiques, attendu depuis 2010</w:t>
      </w:r>
    </w:p>
    <w:p w14:paraId="119C10B7" w14:textId="77777777" w:rsidR="005E5363" w:rsidRPr="007E0FB5" w:rsidRDefault="005E5363" w:rsidP="005E5363">
      <w:pPr>
        <w:pStyle w:val="SingleTxtG"/>
        <w:tabs>
          <w:tab w:val="clear" w:pos="2268"/>
        </w:tabs>
        <w:ind w:left="5097" w:hanging="3396"/>
      </w:pPr>
      <w:r>
        <w:rPr>
          <w:lang w:val="fr-FR"/>
        </w:rPr>
        <w:t>République démocratique du Congo</w:t>
      </w:r>
      <w:r>
        <w:rPr>
          <w:lang w:val="fr-FR"/>
        </w:rPr>
        <w:tab/>
      </w:r>
      <w:r>
        <w:rPr>
          <w:lang w:val="fr-FR"/>
        </w:rPr>
        <w:tab/>
        <w:t>Rapport valant seizième à dix-huitième rapports périodiques, attendu depuis 2011</w:t>
      </w:r>
    </w:p>
    <w:p w14:paraId="2B39EA1D" w14:textId="77777777" w:rsidR="005E5363" w:rsidRPr="007E0FB5" w:rsidRDefault="005E5363" w:rsidP="005E5363">
      <w:pPr>
        <w:pStyle w:val="SingleTxtG"/>
        <w:tabs>
          <w:tab w:val="clear" w:pos="2268"/>
        </w:tabs>
        <w:ind w:left="4820" w:hanging="3119"/>
      </w:pPr>
      <w:r>
        <w:rPr>
          <w:lang w:val="fr-FR"/>
        </w:rPr>
        <w:t>Guinée-Bissau</w:t>
      </w:r>
      <w:r>
        <w:rPr>
          <w:lang w:val="fr-FR"/>
        </w:rPr>
        <w:tab/>
      </w:r>
      <w:r>
        <w:rPr>
          <w:lang w:val="fr-FR"/>
        </w:rPr>
        <w:tab/>
        <w:t>Rapport initial, attendu depuis 2011</w:t>
      </w:r>
    </w:p>
    <w:p w14:paraId="67D725C3" w14:textId="77777777" w:rsidR="005E5363" w:rsidRPr="007E0FB5" w:rsidRDefault="005E5363" w:rsidP="005E5363">
      <w:pPr>
        <w:pStyle w:val="SingleTxtG"/>
        <w:tabs>
          <w:tab w:val="clear" w:pos="2268"/>
        </w:tabs>
        <w:ind w:left="5097" w:hanging="3396"/>
      </w:pPr>
      <w:r>
        <w:rPr>
          <w:lang w:val="fr-FR"/>
        </w:rPr>
        <w:t>Congo</w:t>
      </w:r>
      <w:r>
        <w:rPr>
          <w:lang w:val="fr-FR"/>
        </w:rPr>
        <w:tab/>
      </w:r>
      <w:r>
        <w:rPr>
          <w:lang w:val="fr-FR"/>
        </w:rPr>
        <w:tab/>
        <w:t>Rapport valant dixième et onzième rapports périodiques, attendu depuis 2012</w:t>
      </w:r>
    </w:p>
    <w:p w14:paraId="43D091C4" w14:textId="77777777" w:rsidR="005E5363" w:rsidRPr="007E0FB5" w:rsidRDefault="005E5363" w:rsidP="005E5363">
      <w:pPr>
        <w:pStyle w:val="SingleTxtG"/>
        <w:tabs>
          <w:tab w:val="clear" w:pos="2268"/>
        </w:tabs>
        <w:ind w:left="5097" w:hanging="3396"/>
      </w:pPr>
      <w:r>
        <w:rPr>
          <w:lang w:val="fr-FR"/>
        </w:rPr>
        <w:t>Panama</w:t>
      </w:r>
      <w:r>
        <w:rPr>
          <w:lang w:val="fr-FR"/>
        </w:rPr>
        <w:tab/>
      </w:r>
      <w:r>
        <w:rPr>
          <w:lang w:val="fr-FR"/>
        </w:rPr>
        <w:tab/>
        <w:t>Rapport valant vingt et unième à vingt-troisième rapports périodiques, attendu depuis 2013</w:t>
      </w:r>
    </w:p>
    <w:p w14:paraId="3374E392" w14:textId="77777777" w:rsidR="005E5363" w:rsidRPr="007E0FB5" w:rsidRDefault="005E5363" w:rsidP="005E5363">
      <w:pPr>
        <w:pStyle w:val="SingleTxtG"/>
        <w:tabs>
          <w:tab w:val="clear" w:pos="2268"/>
        </w:tabs>
        <w:ind w:left="5097" w:hanging="3396"/>
      </w:pPr>
      <w:r>
        <w:rPr>
          <w:lang w:val="fr-FR"/>
        </w:rPr>
        <w:t>Éthiopie</w:t>
      </w:r>
      <w:r>
        <w:rPr>
          <w:lang w:val="fr-FR"/>
        </w:rPr>
        <w:tab/>
      </w:r>
      <w:r>
        <w:rPr>
          <w:lang w:val="fr-FR"/>
        </w:rPr>
        <w:tab/>
        <w:t>Rapport valant dix-septième à dix-neuvième rapports périodiques, attendu depuis 2013</w:t>
      </w:r>
    </w:p>
    <w:p w14:paraId="264B29F0" w14:textId="77777777" w:rsidR="005E5363" w:rsidRPr="007E0FB5" w:rsidRDefault="005E5363" w:rsidP="005E5363">
      <w:pPr>
        <w:pStyle w:val="SingleTxtG"/>
        <w:tabs>
          <w:tab w:val="clear" w:pos="2268"/>
        </w:tabs>
        <w:ind w:left="5097" w:hanging="3396"/>
      </w:pPr>
      <w:r>
        <w:rPr>
          <w:lang w:val="fr-FR"/>
        </w:rPr>
        <w:t>Yémen</w:t>
      </w:r>
      <w:r>
        <w:rPr>
          <w:lang w:val="fr-FR"/>
        </w:rPr>
        <w:tab/>
      </w:r>
      <w:r>
        <w:rPr>
          <w:lang w:val="fr-FR"/>
        </w:rPr>
        <w:tab/>
        <w:t>Rapport valant dix-neuvième et vingtième rapports périodiques, attendu depuis 2013</w:t>
      </w:r>
    </w:p>
    <w:p w14:paraId="2C94A41F" w14:textId="77777777" w:rsidR="005E5363" w:rsidRPr="007E0FB5" w:rsidRDefault="005E5363" w:rsidP="005E5363">
      <w:pPr>
        <w:pStyle w:val="SingleTxtG"/>
        <w:tabs>
          <w:tab w:val="clear" w:pos="2268"/>
        </w:tabs>
        <w:ind w:left="5097" w:hanging="3396"/>
      </w:pPr>
      <w:r>
        <w:rPr>
          <w:lang w:val="fr-FR"/>
        </w:rPr>
        <w:t>Malte</w:t>
      </w:r>
      <w:r>
        <w:rPr>
          <w:lang w:val="fr-FR"/>
        </w:rPr>
        <w:tab/>
      </w:r>
      <w:r>
        <w:rPr>
          <w:lang w:val="fr-FR"/>
        </w:rPr>
        <w:tab/>
        <w:t>Rapport valant vingt et unième et vingt-deuxième rapports périodiques, attendu depuis 2014</w:t>
      </w:r>
    </w:p>
    <w:p w14:paraId="5D68FB1F" w14:textId="77777777" w:rsidR="005E5363" w:rsidRPr="007E0FB5" w:rsidRDefault="005E5363" w:rsidP="00120C09">
      <w:pPr>
        <w:pStyle w:val="SingleTxtG"/>
        <w:tabs>
          <w:tab w:val="clear" w:pos="2268"/>
        </w:tabs>
        <w:ind w:left="5097" w:hanging="3396"/>
      </w:pPr>
      <w:r>
        <w:rPr>
          <w:lang w:val="fr-FR"/>
        </w:rPr>
        <w:t>Grenade</w:t>
      </w:r>
      <w:r>
        <w:rPr>
          <w:lang w:val="fr-FR"/>
        </w:rPr>
        <w:tab/>
      </w:r>
      <w:r>
        <w:rPr>
          <w:lang w:val="fr-FR"/>
        </w:rPr>
        <w:tab/>
        <w:t>Rapport initial, attendu depuis 2014</w:t>
      </w:r>
    </w:p>
    <w:p w14:paraId="1F76C781" w14:textId="77777777" w:rsidR="005E5363" w:rsidRPr="00577049" w:rsidRDefault="005E5363" w:rsidP="005E5363">
      <w:pPr>
        <w:pStyle w:val="SingleTxtG"/>
        <w:tabs>
          <w:tab w:val="clear" w:pos="2268"/>
          <w:tab w:val="left" w:pos="4111"/>
        </w:tabs>
        <w:ind w:left="5097" w:hanging="3396"/>
        <w:rPr>
          <w:lang w:val="fr-FR"/>
        </w:rPr>
      </w:pPr>
      <w:r>
        <w:rPr>
          <w:lang w:val="fr-FR"/>
        </w:rPr>
        <w:lastRenderedPageBreak/>
        <w:t>République démocratique populaire lao</w:t>
      </w:r>
      <w:r>
        <w:rPr>
          <w:lang w:val="fr-FR"/>
        </w:rPr>
        <w:tab/>
        <w:t>Rapport valant dix-neuvième à vingt et unième rapports périodiques, attendu depuis 2015</w:t>
      </w:r>
    </w:p>
    <w:p w14:paraId="2AD06147" w14:textId="33765F21" w:rsidR="005E5363" w:rsidRPr="007E0FB5" w:rsidRDefault="005E5363" w:rsidP="005E5363">
      <w:pPr>
        <w:pStyle w:val="H1G"/>
      </w:pPr>
      <w:r>
        <w:rPr>
          <w:bCs/>
          <w:lang w:val="fr-FR"/>
        </w:rPr>
        <w:tab/>
        <w:t>B</w:t>
      </w:r>
      <w:r w:rsidR="007A599E" w:rsidRPr="007A599E">
        <w:rPr>
          <w:bCs/>
          <w:lang w:val="fr-FR"/>
        </w:rPr>
        <w:t>.</w:t>
      </w:r>
      <w:r>
        <w:rPr>
          <w:lang w:val="fr-FR"/>
        </w:rPr>
        <w:tab/>
      </w:r>
      <w:r>
        <w:rPr>
          <w:bCs/>
          <w:lang w:val="fr-FR"/>
        </w:rPr>
        <w:t>Rapports en retard d’au moins cinq ans</w:t>
      </w:r>
      <w:bookmarkStart w:id="133" w:name="_Toc17361305"/>
      <w:bookmarkStart w:id="134" w:name="_Toc48752330"/>
      <w:bookmarkStart w:id="135" w:name="_Toc48816883"/>
      <w:bookmarkStart w:id="136" w:name="_Toc81563235"/>
      <w:bookmarkStart w:id="137" w:name="_Toc113263044"/>
      <w:bookmarkStart w:id="138" w:name="_Toc176248192"/>
      <w:bookmarkStart w:id="139" w:name="_Toc176248857"/>
      <w:bookmarkEnd w:id="133"/>
      <w:bookmarkEnd w:id="134"/>
      <w:bookmarkEnd w:id="135"/>
      <w:bookmarkEnd w:id="136"/>
      <w:bookmarkEnd w:id="137"/>
      <w:bookmarkEnd w:id="138"/>
      <w:bookmarkEnd w:id="139"/>
    </w:p>
    <w:p w14:paraId="1730AA3A" w14:textId="42B379DD" w:rsidR="005E5363" w:rsidRPr="007E0FB5" w:rsidRDefault="005E5363" w:rsidP="005E5363">
      <w:pPr>
        <w:pStyle w:val="SingleTxtG"/>
      </w:pPr>
      <w:r>
        <w:rPr>
          <w:lang w:val="fr-FR"/>
        </w:rPr>
        <w:t>87</w:t>
      </w:r>
      <w:r w:rsidR="007A599E" w:rsidRPr="007A599E">
        <w:rPr>
          <w:lang w:val="fr-FR"/>
        </w:rPr>
        <w:t>.</w:t>
      </w:r>
      <w:r>
        <w:rPr>
          <w:lang w:val="fr-FR"/>
        </w:rPr>
        <w:tab/>
        <w:t>Au 14 août 2025, les rapports des États Parties suivants étaient en retard d’au moins cinq ans :</w:t>
      </w:r>
    </w:p>
    <w:p w14:paraId="40FF26D9" w14:textId="77777777" w:rsidR="005E5363" w:rsidRPr="007E0FB5" w:rsidRDefault="005E5363" w:rsidP="005E5363">
      <w:pPr>
        <w:pStyle w:val="SingleTxtG"/>
        <w:tabs>
          <w:tab w:val="clear" w:pos="2268"/>
        </w:tabs>
        <w:ind w:left="5097" w:hanging="3396"/>
      </w:pPr>
      <w:r>
        <w:rPr>
          <w:lang w:val="fr-FR"/>
        </w:rPr>
        <w:t>République dominicaine</w:t>
      </w:r>
      <w:r>
        <w:rPr>
          <w:lang w:val="fr-FR"/>
        </w:rPr>
        <w:tab/>
      </w:r>
      <w:r>
        <w:rPr>
          <w:lang w:val="fr-FR"/>
        </w:rPr>
        <w:tab/>
        <w:t>Rapport valant quinzième à dix-septième rapports périodiques, attendu depuis 2016</w:t>
      </w:r>
    </w:p>
    <w:p w14:paraId="17821A04" w14:textId="77777777" w:rsidR="005E5363" w:rsidRPr="007E0FB5" w:rsidRDefault="005E5363" w:rsidP="005E5363">
      <w:pPr>
        <w:pStyle w:val="SingleTxtG"/>
        <w:tabs>
          <w:tab w:val="clear" w:pos="2268"/>
        </w:tabs>
        <w:ind w:left="5097" w:hanging="3396"/>
      </w:pPr>
      <w:r>
        <w:rPr>
          <w:lang w:val="fr-FR"/>
        </w:rPr>
        <w:t>Fidji</w:t>
      </w:r>
      <w:r>
        <w:rPr>
          <w:lang w:val="fr-FR"/>
        </w:rPr>
        <w:tab/>
      </w:r>
      <w:r>
        <w:rPr>
          <w:lang w:val="fr-FR"/>
        </w:rPr>
        <w:tab/>
        <w:t>Rapport valant vingt et unième et vingt-deuxième rapports périodiques, attendu depuis 2016</w:t>
      </w:r>
    </w:p>
    <w:p w14:paraId="752CD45B" w14:textId="77777777" w:rsidR="005E5363" w:rsidRPr="007E0FB5" w:rsidRDefault="005E5363" w:rsidP="005E5363">
      <w:pPr>
        <w:pStyle w:val="SingleTxtG"/>
        <w:tabs>
          <w:tab w:val="clear" w:pos="2268"/>
        </w:tabs>
        <w:ind w:left="5097" w:hanging="3396"/>
      </w:pPr>
      <w:r>
        <w:rPr>
          <w:lang w:val="fr-FR"/>
        </w:rPr>
        <w:t>Liechtenstein</w:t>
      </w:r>
      <w:r>
        <w:rPr>
          <w:lang w:val="fr-FR"/>
        </w:rPr>
        <w:tab/>
      </w:r>
      <w:r>
        <w:rPr>
          <w:lang w:val="fr-FR"/>
        </w:rPr>
        <w:tab/>
        <w:t>Rapport valant septième et huitième rapports périodiques, attendu depuis 2016</w:t>
      </w:r>
    </w:p>
    <w:p w14:paraId="53DB9D25" w14:textId="77777777" w:rsidR="005E5363" w:rsidRPr="007E0FB5" w:rsidRDefault="005E5363" w:rsidP="005E5363">
      <w:pPr>
        <w:pStyle w:val="SingleTxtG"/>
        <w:tabs>
          <w:tab w:val="clear" w:pos="2268"/>
        </w:tabs>
        <w:ind w:left="5097" w:hanging="3396"/>
      </w:pPr>
      <w:r>
        <w:rPr>
          <w:lang w:val="fr-FR"/>
        </w:rPr>
        <w:t>Costa Rica</w:t>
      </w:r>
      <w:r>
        <w:rPr>
          <w:lang w:val="fr-FR"/>
        </w:rPr>
        <w:tab/>
      </w:r>
      <w:r>
        <w:rPr>
          <w:lang w:val="fr-FR"/>
        </w:rPr>
        <w:tab/>
        <w:t>Rapport valant vingt-troisième et vingt-quatrième rapports périodiques, attendu depuis 2018</w:t>
      </w:r>
    </w:p>
    <w:p w14:paraId="2B287879" w14:textId="77777777" w:rsidR="005E5363" w:rsidRPr="007E0FB5" w:rsidRDefault="005E5363" w:rsidP="005E5363">
      <w:pPr>
        <w:pStyle w:val="SingleTxtG"/>
        <w:tabs>
          <w:tab w:val="clear" w:pos="2268"/>
        </w:tabs>
        <w:ind w:left="5097" w:hanging="3396"/>
      </w:pPr>
      <w:r>
        <w:rPr>
          <w:lang w:val="fr-FR"/>
        </w:rPr>
        <w:t>Saint-Siège</w:t>
      </w:r>
      <w:r>
        <w:rPr>
          <w:lang w:val="fr-FR"/>
        </w:rPr>
        <w:tab/>
      </w:r>
      <w:r>
        <w:rPr>
          <w:lang w:val="fr-FR"/>
        </w:rPr>
        <w:tab/>
        <w:t>Rapport valant vingt-quatrième et vingt-cinquième rapports périodiques, attendu depuis 2018</w:t>
      </w:r>
    </w:p>
    <w:p w14:paraId="4AA2803D" w14:textId="77777777" w:rsidR="005E5363" w:rsidRPr="007E0FB5" w:rsidRDefault="005E5363" w:rsidP="005E5363">
      <w:pPr>
        <w:pStyle w:val="SingleTxtG"/>
        <w:tabs>
          <w:tab w:val="clear" w:pos="2268"/>
        </w:tabs>
        <w:ind w:left="5097" w:hanging="3396"/>
      </w:pPr>
      <w:r>
        <w:rPr>
          <w:lang w:val="fr-FR"/>
        </w:rPr>
        <w:t>Macédoine du Nord</w:t>
      </w:r>
      <w:r>
        <w:rPr>
          <w:lang w:val="fr-FR"/>
        </w:rPr>
        <w:tab/>
      </w:r>
      <w:r>
        <w:rPr>
          <w:lang w:val="fr-FR"/>
        </w:rPr>
        <w:tab/>
        <w:t>Rapport valant onzième à quatorzième rapports périodiques, attendu depuis 2018</w:t>
      </w:r>
    </w:p>
    <w:p w14:paraId="571E8C89" w14:textId="77777777" w:rsidR="005E5363" w:rsidRPr="007E0FB5" w:rsidRDefault="005E5363" w:rsidP="005E5363">
      <w:pPr>
        <w:pStyle w:val="SingleTxtG"/>
        <w:tabs>
          <w:tab w:val="clear" w:pos="2268"/>
        </w:tabs>
        <w:ind w:left="4820" w:hanging="3119"/>
      </w:pPr>
      <w:r>
        <w:rPr>
          <w:lang w:val="fr-FR"/>
        </w:rPr>
        <w:t>Sao Tomé-et-Principe</w:t>
      </w:r>
      <w:r>
        <w:rPr>
          <w:lang w:val="fr-FR"/>
        </w:rPr>
        <w:tab/>
      </w:r>
      <w:r>
        <w:rPr>
          <w:lang w:val="fr-FR"/>
        </w:rPr>
        <w:tab/>
        <w:t>Rapport initial, attendu depuis 2018</w:t>
      </w:r>
    </w:p>
    <w:p w14:paraId="4A023E95" w14:textId="77777777" w:rsidR="005E5363" w:rsidRPr="007E0FB5" w:rsidRDefault="005E5363" w:rsidP="005E5363">
      <w:pPr>
        <w:pStyle w:val="SingleTxtG"/>
        <w:tabs>
          <w:tab w:val="clear" w:pos="2268"/>
        </w:tabs>
        <w:ind w:left="5097" w:hanging="3396"/>
      </w:pPr>
      <w:r>
        <w:rPr>
          <w:lang w:val="fr-FR"/>
        </w:rPr>
        <w:t>Paraguay</w:t>
      </w:r>
      <w:r>
        <w:rPr>
          <w:lang w:val="fr-FR"/>
        </w:rPr>
        <w:tab/>
      </w:r>
      <w:r>
        <w:rPr>
          <w:lang w:val="fr-FR"/>
        </w:rPr>
        <w:tab/>
        <w:t>Rapport valant septième et huitième rapports périodiques, attendu depuis 2018</w:t>
      </w:r>
    </w:p>
    <w:p w14:paraId="5327B9A9" w14:textId="77777777" w:rsidR="005E5363" w:rsidRPr="007E0FB5" w:rsidRDefault="005E5363" w:rsidP="005E5363">
      <w:pPr>
        <w:pStyle w:val="SingleTxtG"/>
        <w:tabs>
          <w:tab w:val="clear" w:pos="2268"/>
        </w:tabs>
        <w:ind w:left="5097" w:hanging="3396"/>
      </w:pPr>
      <w:r>
        <w:rPr>
          <w:lang w:val="fr-FR"/>
        </w:rPr>
        <w:t>Sri Lanka</w:t>
      </w:r>
      <w:r>
        <w:rPr>
          <w:lang w:val="fr-FR"/>
        </w:rPr>
        <w:tab/>
      </w:r>
      <w:r>
        <w:rPr>
          <w:lang w:val="fr-FR"/>
        </w:rPr>
        <w:tab/>
        <w:t>Rapport valant dix-huitième et dix-neuvième rapports périodiques, attendu depuis 2019</w:t>
      </w:r>
    </w:p>
    <w:p w14:paraId="360A78F0" w14:textId="77777777" w:rsidR="005E5363" w:rsidRPr="007E0FB5" w:rsidRDefault="005E5363" w:rsidP="005E5363">
      <w:pPr>
        <w:pStyle w:val="SingleTxtG"/>
        <w:tabs>
          <w:tab w:val="clear" w:pos="2268"/>
        </w:tabs>
        <w:ind w:left="5097" w:hanging="3396"/>
      </w:pPr>
      <w:r>
        <w:rPr>
          <w:lang w:val="fr-FR"/>
        </w:rPr>
        <w:t>Soudan</w:t>
      </w:r>
      <w:r>
        <w:rPr>
          <w:lang w:val="fr-FR"/>
        </w:rPr>
        <w:tab/>
      </w:r>
      <w:r>
        <w:rPr>
          <w:lang w:val="fr-FR"/>
        </w:rPr>
        <w:tab/>
        <w:t>Rapport valant dix-septième à dix-neuvième rapports périodiques, attendu depuis 2019</w:t>
      </w:r>
    </w:p>
    <w:p w14:paraId="4ACE6248" w14:textId="77777777" w:rsidR="005E5363" w:rsidRPr="007E0FB5" w:rsidRDefault="005E5363" w:rsidP="005E5363">
      <w:pPr>
        <w:pStyle w:val="SingleTxtG"/>
        <w:tabs>
          <w:tab w:val="clear" w:pos="2268"/>
        </w:tabs>
        <w:ind w:left="5097" w:hanging="3396"/>
      </w:pPr>
      <w:r>
        <w:rPr>
          <w:lang w:val="fr-FR"/>
        </w:rPr>
        <w:t>Türkiye</w:t>
      </w:r>
      <w:r>
        <w:rPr>
          <w:lang w:val="fr-FR"/>
        </w:rPr>
        <w:tab/>
      </w:r>
      <w:r>
        <w:rPr>
          <w:lang w:val="fr-FR"/>
        </w:rPr>
        <w:tab/>
        <w:t>Rapport valant septième et neuvième rapports périodiques, attendu depuis 2019</w:t>
      </w:r>
    </w:p>
    <w:p w14:paraId="6A9D4EDA" w14:textId="71753195" w:rsidR="005E5363" w:rsidRPr="007E0FB5" w:rsidRDefault="005E5363" w:rsidP="005E5363">
      <w:pPr>
        <w:pStyle w:val="H1G"/>
      </w:pPr>
      <w:bookmarkStart w:id="140" w:name="_Toc17361306"/>
      <w:bookmarkStart w:id="141" w:name="_Toc48752331"/>
      <w:bookmarkStart w:id="142" w:name="_Toc48816884"/>
      <w:r>
        <w:rPr>
          <w:bCs/>
          <w:lang w:val="fr-FR"/>
        </w:rPr>
        <w:tab/>
        <w:t>C</w:t>
      </w:r>
      <w:r w:rsidR="007A599E" w:rsidRPr="007A599E">
        <w:rPr>
          <w:bCs/>
          <w:lang w:val="fr-FR"/>
        </w:rPr>
        <w:t>.</w:t>
      </w:r>
      <w:r>
        <w:rPr>
          <w:lang w:val="fr-FR"/>
        </w:rPr>
        <w:tab/>
      </w:r>
      <w:r>
        <w:rPr>
          <w:bCs/>
          <w:lang w:val="fr-FR"/>
        </w:rPr>
        <w:t xml:space="preserve">Mesures que le Comité a prises pour amener les États Parties </w:t>
      </w:r>
      <w:r w:rsidR="00117B2A">
        <w:rPr>
          <w:bCs/>
          <w:lang w:val="fr-FR"/>
        </w:rPr>
        <w:br/>
      </w:r>
      <w:r>
        <w:rPr>
          <w:bCs/>
          <w:lang w:val="fr-FR"/>
        </w:rPr>
        <w:t>à soumettre leurs rapports</w:t>
      </w:r>
      <w:bookmarkStart w:id="143" w:name="_Toc81563236"/>
      <w:bookmarkStart w:id="144" w:name="_Toc113263045"/>
      <w:bookmarkStart w:id="145" w:name="_Toc176248193"/>
      <w:bookmarkStart w:id="146" w:name="_Toc176248858"/>
      <w:bookmarkEnd w:id="140"/>
      <w:bookmarkEnd w:id="141"/>
      <w:bookmarkEnd w:id="142"/>
      <w:bookmarkEnd w:id="143"/>
      <w:bookmarkEnd w:id="144"/>
      <w:bookmarkEnd w:id="145"/>
      <w:bookmarkEnd w:id="146"/>
    </w:p>
    <w:p w14:paraId="2FE6F436" w14:textId="575A1488" w:rsidR="005E5363" w:rsidRPr="007E0FB5" w:rsidRDefault="005E5363" w:rsidP="005E5363">
      <w:pPr>
        <w:pStyle w:val="SingleTxtG"/>
      </w:pPr>
      <w:r>
        <w:rPr>
          <w:lang w:val="fr-FR"/>
        </w:rPr>
        <w:t>88</w:t>
      </w:r>
      <w:r w:rsidR="007A599E" w:rsidRPr="007A599E">
        <w:rPr>
          <w:lang w:val="fr-FR"/>
        </w:rPr>
        <w:t>.</w:t>
      </w:r>
      <w:r>
        <w:rPr>
          <w:lang w:val="fr-FR"/>
        </w:rPr>
        <w:tab/>
        <w:t>À sa 111</w:t>
      </w:r>
      <w:r>
        <w:rPr>
          <w:vertAlign w:val="superscript"/>
          <w:lang w:val="fr-FR"/>
        </w:rPr>
        <w:t>e</w:t>
      </w:r>
      <w:r>
        <w:rPr>
          <w:lang w:val="fr-FR"/>
        </w:rPr>
        <w:t xml:space="preserve"> session, en novembre et décembre 2023, le Comité a décidé d’inviter tous les États Parties à appliquer la procédure simplifiée d’établissement des rapports, conformément à la résolution </w:t>
      </w:r>
      <w:hyperlink r:id="rId102" w:history="1">
        <w:r w:rsidRPr="00803B71">
          <w:rPr>
            <w:rStyle w:val="Lienhypertexte"/>
            <w:lang w:val="fr-FR"/>
          </w:rPr>
          <w:t>68/268</w:t>
        </w:r>
      </w:hyperlink>
      <w:r>
        <w:rPr>
          <w:lang w:val="fr-FR"/>
        </w:rPr>
        <w:t xml:space="preserve"> de l’Assemblée générale sur le renforcement et l’amélioration du fonctionnement de l’ensemble des organes conventionnels des droits de l’homme, en particulier ses paragraphes 1 et 2, sur la procédure simplifiée, et son paragraphe 9, sur l’harmonisation des méthodes de travail des organes conventionnels</w:t>
      </w:r>
      <w:r w:rsidR="007A599E" w:rsidRPr="007A599E">
        <w:rPr>
          <w:lang w:val="fr-FR"/>
        </w:rPr>
        <w:t>.</w:t>
      </w:r>
      <w:r>
        <w:rPr>
          <w:lang w:val="fr-FR"/>
        </w:rPr>
        <w:t xml:space="preserve"> Il leur a adressé une note verbale à cet effet, le 6 novembre 2023</w:t>
      </w:r>
      <w:r w:rsidR="007A599E" w:rsidRPr="007A599E">
        <w:rPr>
          <w:lang w:val="fr-FR"/>
        </w:rPr>
        <w:t>.</w:t>
      </w:r>
    </w:p>
    <w:p w14:paraId="4A338E7D" w14:textId="5AA04B7F" w:rsidR="005E5363" w:rsidRPr="007E0FB5" w:rsidRDefault="005E5363" w:rsidP="005E5363">
      <w:pPr>
        <w:pStyle w:val="SingleTxtG"/>
      </w:pPr>
      <w:r>
        <w:rPr>
          <w:lang w:val="fr-FR"/>
        </w:rPr>
        <w:t>89</w:t>
      </w:r>
      <w:r w:rsidR="007A599E" w:rsidRPr="007A599E">
        <w:rPr>
          <w:lang w:val="fr-FR"/>
        </w:rPr>
        <w:t>.</w:t>
      </w:r>
      <w:r>
        <w:rPr>
          <w:lang w:val="fr-FR"/>
        </w:rPr>
        <w:tab/>
        <w:t>À sa 113</w:t>
      </w:r>
      <w:r>
        <w:rPr>
          <w:vertAlign w:val="superscript"/>
          <w:lang w:val="fr-FR"/>
        </w:rPr>
        <w:t>e</w:t>
      </w:r>
      <w:r>
        <w:rPr>
          <w:lang w:val="fr-FR"/>
        </w:rPr>
        <w:t> session, le Comité a fait le point sur le nombre d’États Parties ayant opté pour la procédure simplifiée d’établissement des rapports et s’est penché sur la planification des sessions suivantes</w:t>
      </w:r>
      <w:r w:rsidR="007A599E" w:rsidRPr="007A599E">
        <w:rPr>
          <w:lang w:val="fr-FR"/>
        </w:rPr>
        <w:t>.</w:t>
      </w:r>
      <w:r>
        <w:rPr>
          <w:lang w:val="fr-FR"/>
        </w:rPr>
        <w:t xml:space="preserve"> Étant donné qu’il n’avait pas les capacités nécessaires pour établir dans un délai raisonnable une liste de points à traiter avant la soumission du rapport pour tous les États Parties ayant accepté la procédure simplifiée, il a décidé qu’il établirait en priorité des listes pour les États Parties dont les rapports étaient en retard d’au moins dix ans et que les autres États Parties devraient continuer de soumettre leurs rapports selon la procédure </w:t>
      </w:r>
      <w:r>
        <w:rPr>
          <w:lang w:val="fr-FR"/>
        </w:rPr>
        <w:lastRenderedPageBreak/>
        <w:t>traditionnelle, jusqu’à ce qu’il ait la capacité d’appliquer la procédure simplifiée à tous les États Parties</w:t>
      </w:r>
      <w:r w:rsidR="007A599E" w:rsidRPr="007A599E">
        <w:rPr>
          <w:lang w:val="fr-FR"/>
        </w:rPr>
        <w:t>.</w:t>
      </w:r>
      <w:r>
        <w:rPr>
          <w:lang w:val="fr-FR"/>
        </w:rPr>
        <w:t xml:space="preserve"> En 2024, tous les États Parties ont été dûment informés de la procédure qu’ils devaient suivre pour présenter leurs rapports et des délais correspondants</w:t>
      </w:r>
      <w:r w:rsidR="007A599E" w:rsidRPr="007A599E">
        <w:rPr>
          <w:lang w:val="fr-FR"/>
        </w:rPr>
        <w:t>.</w:t>
      </w:r>
    </w:p>
    <w:p w14:paraId="353CA245" w14:textId="1D914806" w:rsidR="00120C09" w:rsidRDefault="005E5363" w:rsidP="005E5363">
      <w:pPr>
        <w:pStyle w:val="SingleTxtG"/>
        <w:rPr>
          <w:lang w:val="fr-FR"/>
        </w:rPr>
      </w:pPr>
      <w:r>
        <w:rPr>
          <w:lang w:val="fr-FR"/>
        </w:rPr>
        <w:t>90</w:t>
      </w:r>
      <w:r w:rsidR="007A599E" w:rsidRPr="007A599E">
        <w:rPr>
          <w:lang w:val="fr-FR"/>
        </w:rPr>
        <w:t>.</w:t>
      </w:r>
      <w:r>
        <w:rPr>
          <w:lang w:val="fr-FR"/>
        </w:rPr>
        <w:tab/>
        <w:t>À sa 114</w:t>
      </w:r>
      <w:r>
        <w:rPr>
          <w:vertAlign w:val="superscript"/>
          <w:lang w:val="fr-FR"/>
        </w:rPr>
        <w:t>e</w:t>
      </w:r>
      <w:r>
        <w:rPr>
          <w:lang w:val="fr-FR"/>
        </w:rPr>
        <w:t> session, le Comité a adopté les listes préalables de points à traiter pour la Côte d’Ivoire (</w:t>
      </w:r>
      <w:hyperlink r:id="rId103" w:history="1">
        <w:r w:rsidRPr="00803B71">
          <w:rPr>
            <w:rStyle w:val="Lienhypertexte"/>
            <w:lang w:val="fr-FR"/>
          </w:rPr>
          <w:t>CERD/C/CIV/QPR/15-17</w:t>
        </w:r>
      </w:hyperlink>
      <w:r>
        <w:rPr>
          <w:lang w:val="fr-FR"/>
        </w:rPr>
        <w:t>), le Malawi (</w:t>
      </w:r>
      <w:hyperlink r:id="rId104" w:history="1">
        <w:r w:rsidRPr="00803B71">
          <w:rPr>
            <w:rStyle w:val="Lienhypertexte"/>
            <w:lang w:val="fr-FR"/>
          </w:rPr>
          <w:t>CERD/C/MWI/QPR/1</w:t>
        </w:r>
      </w:hyperlink>
      <w:r>
        <w:rPr>
          <w:lang w:val="fr-FR"/>
        </w:rPr>
        <w:t>) et les Seychelles (</w:t>
      </w:r>
      <w:hyperlink r:id="rId105" w:history="1">
        <w:r w:rsidRPr="00803B71">
          <w:rPr>
            <w:rStyle w:val="Lienhypertexte"/>
            <w:lang w:val="fr-FR"/>
          </w:rPr>
          <w:t>CERD/C/SYC/QPR/6</w:t>
        </w:r>
      </w:hyperlink>
      <w:r>
        <w:rPr>
          <w:lang w:val="fr-FR"/>
        </w:rPr>
        <w:t>)</w:t>
      </w:r>
      <w:r w:rsidR="007A599E" w:rsidRPr="007A599E">
        <w:rPr>
          <w:lang w:val="fr-FR"/>
        </w:rPr>
        <w:t>.</w:t>
      </w:r>
    </w:p>
    <w:p w14:paraId="36EE2734" w14:textId="00E6E71B" w:rsidR="005E5363" w:rsidRPr="007E0FB5" w:rsidRDefault="005E5363" w:rsidP="005E5363">
      <w:pPr>
        <w:pStyle w:val="SingleTxtG"/>
      </w:pPr>
      <w:hyperlink r:id="rId106" w:history="1"/>
      <w:hyperlink r:id="rId107" w:history="1"/>
      <w:hyperlink r:id="rId108" w:history="1"/>
      <w:r w:rsidRPr="007E0FB5">
        <w:br w:type="page"/>
      </w:r>
    </w:p>
    <w:p w14:paraId="6962CEE7" w14:textId="293EEB14" w:rsidR="005E5363" w:rsidRPr="007E0FB5" w:rsidRDefault="005E5363" w:rsidP="005E5363">
      <w:pPr>
        <w:pStyle w:val="HChG"/>
      </w:pPr>
      <w:r>
        <w:rPr>
          <w:bCs/>
          <w:lang w:val="fr-FR"/>
        </w:rPr>
        <w:lastRenderedPageBreak/>
        <w:tab/>
        <w:t>VIII</w:t>
      </w:r>
      <w:r w:rsidR="007A599E" w:rsidRPr="007A599E">
        <w:rPr>
          <w:bCs/>
          <w:lang w:val="fr-FR"/>
        </w:rPr>
        <w:t>.</w:t>
      </w:r>
      <w:r>
        <w:rPr>
          <w:lang w:val="fr-FR"/>
        </w:rPr>
        <w:tab/>
      </w:r>
      <w:r>
        <w:rPr>
          <w:bCs/>
          <w:lang w:val="fr-FR"/>
        </w:rPr>
        <w:t>Examen des communications soumises au titre de l’article 14 de la Convention</w:t>
      </w:r>
      <w:bookmarkStart w:id="147" w:name="_Toc17361307"/>
      <w:bookmarkStart w:id="148" w:name="_Toc48752332"/>
      <w:bookmarkStart w:id="149" w:name="_Toc48816885"/>
      <w:bookmarkStart w:id="150" w:name="_Toc81563237"/>
      <w:bookmarkStart w:id="151" w:name="_Toc113263046"/>
      <w:bookmarkStart w:id="152" w:name="_Toc176248194"/>
      <w:bookmarkStart w:id="153" w:name="_Toc176248859"/>
      <w:bookmarkEnd w:id="147"/>
      <w:bookmarkEnd w:id="148"/>
      <w:bookmarkEnd w:id="149"/>
      <w:bookmarkEnd w:id="150"/>
      <w:bookmarkEnd w:id="151"/>
      <w:bookmarkEnd w:id="152"/>
      <w:bookmarkEnd w:id="153"/>
    </w:p>
    <w:p w14:paraId="0EA86C08" w14:textId="62E34D2A" w:rsidR="005E5363" w:rsidRPr="007E0FB5" w:rsidRDefault="005E5363" w:rsidP="005E5363">
      <w:pPr>
        <w:pStyle w:val="SingleTxtG"/>
      </w:pPr>
      <w:r>
        <w:rPr>
          <w:lang w:val="fr-FR"/>
        </w:rPr>
        <w:t>91</w:t>
      </w:r>
      <w:r w:rsidR="007A599E" w:rsidRPr="007A599E">
        <w:rPr>
          <w:lang w:val="fr-FR"/>
        </w:rPr>
        <w:t>.</w:t>
      </w:r>
      <w:r>
        <w:rPr>
          <w:lang w:val="fr-FR"/>
        </w:rPr>
        <w:tab/>
        <w:t>En vertu de l’article 14 de la Convention, les personnes ou groupes de personnes qui prétendent que l’un quelconque de leurs droits énoncés dans la Convention a été violé par un État Partie et qui ont épuisé tous les recours internes disponibles peuvent adresser des communications écrites au Comité pour examen</w:t>
      </w:r>
      <w:r w:rsidR="007A599E" w:rsidRPr="007A599E">
        <w:rPr>
          <w:lang w:val="fr-FR"/>
        </w:rPr>
        <w:t>.</w:t>
      </w:r>
      <w:r>
        <w:rPr>
          <w:lang w:val="fr-FR"/>
        </w:rPr>
        <w:t xml:space="preserve"> Au 29 août 2025, 59 États Parties avaient reconnu la compétence du Comité pour examiner ces communications</w:t>
      </w:r>
      <w:r w:rsidRPr="00803B71">
        <w:rPr>
          <w:rStyle w:val="Appelnotedebasdep"/>
        </w:rPr>
        <w:footnoteReference w:id="42"/>
      </w:r>
      <w:r w:rsidR="007A599E" w:rsidRPr="007A599E">
        <w:rPr>
          <w:lang w:val="fr-FR"/>
        </w:rPr>
        <w:t>.</w:t>
      </w:r>
    </w:p>
    <w:p w14:paraId="6E4528E6" w14:textId="68A436B1" w:rsidR="005E5363" w:rsidRPr="007E0FB5" w:rsidRDefault="005E5363" w:rsidP="005E5363">
      <w:pPr>
        <w:pStyle w:val="SingleTxtG"/>
      </w:pPr>
      <w:r>
        <w:rPr>
          <w:lang w:val="fr-FR"/>
        </w:rPr>
        <w:t>92</w:t>
      </w:r>
      <w:r w:rsidR="007A599E" w:rsidRPr="007A599E">
        <w:rPr>
          <w:lang w:val="fr-FR"/>
        </w:rPr>
        <w:t>.</w:t>
      </w:r>
      <w:r>
        <w:rPr>
          <w:lang w:val="fr-FR"/>
        </w:rPr>
        <w:tab/>
        <w:t>Les séances du Comité au cours desquelles sont examinées les communications soumises au titre de l’article 14 de la Convention se tiennent à huis clos, conformément à l’article 98 du Règlement intérieur du Comité</w:t>
      </w:r>
      <w:r w:rsidR="007A599E" w:rsidRPr="007A599E">
        <w:rPr>
          <w:lang w:val="fr-FR"/>
        </w:rPr>
        <w:t>.</w:t>
      </w:r>
      <w:r>
        <w:rPr>
          <w:lang w:val="fr-FR"/>
        </w:rPr>
        <w:t xml:space="preserve"> Tous les documents relatifs aux travaux menés par le Comité au titre de l’article 14 sont confidentiels</w:t>
      </w:r>
      <w:r w:rsidR="007A599E" w:rsidRPr="007A599E">
        <w:rPr>
          <w:lang w:val="fr-FR"/>
        </w:rPr>
        <w:t>.</w:t>
      </w:r>
    </w:p>
    <w:p w14:paraId="6E3EF005" w14:textId="3B846EBC" w:rsidR="005E5363" w:rsidRPr="007E0FB5" w:rsidRDefault="005E5363" w:rsidP="005E5363">
      <w:pPr>
        <w:pStyle w:val="SingleTxtG"/>
      </w:pPr>
      <w:r>
        <w:rPr>
          <w:lang w:val="fr-FR"/>
        </w:rPr>
        <w:t>93</w:t>
      </w:r>
      <w:r w:rsidR="007A599E" w:rsidRPr="007A599E">
        <w:rPr>
          <w:lang w:val="fr-FR"/>
        </w:rPr>
        <w:t>.</w:t>
      </w:r>
      <w:r>
        <w:rPr>
          <w:lang w:val="fr-FR"/>
        </w:rPr>
        <w:tab/>
        <w:t>Au 29 août 2025, le Comité avait enregistré, depuis 1984</w:t>
      </w:r>
      <w:r w:rsidRPr="00803B71">
        <w:rPr>
          <w:rStyle w:val="Appelnotedebasdep"/>
        </w:rPr>
        <w:footnoteReference w:id="43"/>
      </w:r>
      <w:r>
        <w:rPr>
          <w:lang w:val="fr-FR"/>
        </w:rPr>
        <w:t>, 92 communications concernant 23 États Parties</w:t>
      </w:r>
      <w:r w:rsidR="007A599E" w:rsidRPr="007A599E">
        <w:rPr>
          <w:lang w:val="fr-FR"/>
        </w:rPr>
        <w:t>.</w:t>
      </w:r>
      <w:r>
        <w:rPr>
          <w:lang w:val="fr-FR"/>
        </w:rPr>
        <w:t xml:space="preserve"> Parmi celles-ci, il en avait déclaré 22 irrecevables et en avait classé 4</w:t>
      </w:r>
      <w:r w:rsidR="007A599E" w:rsidRPr="007A599E">
        <w:rPr>
          <w:lang w:val="fr-FR"/>
        </w:rPr>
        <w:t>.</w:t>
      </w:r>
      <w:r>
        <w:rPr>
          <w:lang w:val="fr-FR"/>
        </w:rPr>
        <w:t xml:space="preserve"> Il avait adopté des décisions finales sur le fond concernant 46 communications, dont 25 faisaient selon lui apparaître des violations de la Convention</w:t>
      </w:r>
      <w:r w:rsidR="007A599E" w:rsidRPr="007A599E">
        <w:rPr>
          <w:lang w:val="fr-FR"/>
        </w:rPr>
        <w:t>.</w:t>
      </w:r>
      <w:r>
        <w:rPr>
          <w:lang w:val="fr-FR"/>
        </w:rPr>
        <w:t xml:space="preserve"> Vingt communications n’avaient pas encore été examinées</w:t>
      </w:r>
      <w:r w:rsidR="007A599E" w:rsidRPr="007A599E">
        <w:rPr>
          <w:lang w:val="fr-FR"/>
        </w:rPr>
        <w:t>.</w:t>
      </w:r>
    </w:p>
    <w:p w14:paraId="7F8AE261" w14:textId="20BD4B85" w:rsidR="005E5363" w:rsidRPr="007E0FB5" w:rsidRDefault="005E5363" w:rsidP="005E5363">
      <w:pPr>
        <w:pStyle w:val="SingleTxtG"/>
      </w:pPr>
      <w:r>
        <w:rPr>
          <w:lang w:val="fr-FR"/>
        </w:rPr>
        <w:t>94</w:t>
      </w:r>
      <w:r w:rsidR="007A599E" w:rsidRPr="007A599E">
        <w:rPr>
          <w:lang w:val="fr-FR"/>
        </w:rPr>
        <w:t>.</w:t>
      </w:r>
      <w:r>
        <w:rPr>
          <w:lang w:val="fr-FR"/>
        </w:rPr>
        <w:tab/>
        <w:t>Aux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du Comité, le Groupe de travail des communications était composé comme suit :</w:t>
      </w:r>
    </w:p>
    <w:p w14:paraId="0E1B991B" w14:textId="77777777" w:rsidR="005E5363" w:rsidRPr="007E0FB5" w:rsidRDefault="005E5363" w:rsidP="005E5363">
      <w:pPr>
        <w:pStyle w:val="SingleTxtG"/>
        <w:ind w:left="3969" w:hanging="2268"/>
      </w:pPr>
      <w:r>
        <w:rPr>
          <w:i/>
          <w:iCs/>
          <w:lang w:val="fr-FR"/>
        </w:rPr>
        <w:t>Coordonnatrice </w:t>
      </w:r>
      <w:r w:rsidRPr="00120C09">
        <w:rPr>
          <w:lang w:val="fr-FR"/>
        </w:rPr>
        <w:t>:</w:t>
      </w:r>
      <w:r>
        <w:rPr>
          <w:lang w:val="fr-FR"/>
        </w:rPr>
        <w:tab/>
      </w:r>
      <w:proofErr w:type="spellStart"/>
      <w:r>
        <w:rPr>
          <w:lang w:val="fr-FR"/>
        </w:rPr>
        <w:t>Stamatia</w:t>
      </w:r>
      <w:proofErr w:type="spellEnd"/>
      <w:r>
        <w:rPr>
          <w:lang w:val="fr-FR"/>
        </w:rPr>
        <w:t xml:space="preserve"> </w:t>
      </w:r>
      <w:proofErr w:type="spellStart"/>
      <w:r>
        <w:rPr>
          <w:lang w:val="fr-FR"/>
        </w:rPr>
        <w:t>Stavrinaki</w:t>
      </w:r>
      <w:proofErr w:type="spellEnd"/>
    </w:p>
    <w:p w14:paraId="53CD49A5" w14:textId="77777777" w:rsidR="005E5363" w:rsidRPr="007E0FB5" w:rsidRDefault="005E5363" w:rsidP="00117B2A">
      <w:pPr>
        <w:pStyle w:val="SingleTxtG"/>
        <w:tabs>
          <w:tab w:val="clear" w:pos="2835"/>
          <w:tab w:val="left" w:pos="6009"/>
        </w:tabs>
        <w:ind w:left="3969" w:hanging="2268"/>
      </w:pPr>
      <w:r>
        <w:rPr>
          <w:i/>
          <w:iCs/>
          <w:lang w:val="fr-FR"/>
        </w:rPr>
        <w:t>Membres </w:t>
      </w:r>
      <w:r w:rsidRPr="00120C09">
        <w:rPr>
          <w:lang w:val="fr-FR"/>
        </w:rPr>
        <w:t>:</w:t>
      </w:r>
      <w:r>
        <w:rPr>
          <w:lang w:val="fr-FR"/>
        </w:rPr>
        <w:tab/>
        <w:t xml:space="preserve">Régine </w:t>
      </w:r>
      <w:proofErr w:type="spellStart"/>
      <w:r>
        <w:rPr>
          <w:lang w:val="fr-FR"/>
        </w:rPr>
        <w:t>Esseneme</w:t>
      </w:r>
      <w:proofErr w:type="spellEnd"/>
    </w:p>
    <w:p w14:paraId="058F188F" w14:textId="77777777" w:rsidR="005E5363" w:rsidRPr="005E5363" w:rsidRDefault="005E5363" w:rsidP="005E5363">
      <w:pPr>
        <w:pStyle w:val="SingleTxtG"/>
        <w:ind w:left="3969" w:hanging="2268"/>
        <w:rPr>
          <w:lang w:val="en-US"/>
        </w:rPr>
      </w:pPr>
      <w:r>
        <w:rPr>
          <w:lang w:val="fr-FR"/>
        </w:rPr>
        <w:tab/>
      </w:r>
      <w:r>
        <w:rPr>
          <w:lang w:val="fr-FR"/>
        </w:rPr>
        <w:tab/>
      </w:r>
      <w:r>
        <w:rPr>
          <w:lang w:val="fr-FR"/>
        </w:rPr>
        <w:tab/>
      </w:r>
      <w:r w:rsidRPr="007E0FB5">
        <w:rPr>
          <w:lang w:val="en-US"/>
        </w:rPr>
        <w:t>Jian Guan</w:t>
      </w:r>
    </w:p>
    <w:p w14:paraId="5DADE2B7" w14:textId="77777777" w:rsidR="005E5363" w:rsidRPr="005E5363" w:rsidRDefault="005E5363" w:rsidP="005E5363">
      <w:pPr>
        <w:pStyle w:val="SingleTxtG"/>
        <w:ind w:left="3969" w:hanging="2268"/>
        <w:rPr>
          <w:lang w:val="en-US"/>
        </w:rPr>
      </w:pPr>
      <w:r w:rsidRPr="007E0FB5">
        <w:rPr>
          <w:lang w:val="en-US"/>
        </w:rPr>
        <w:tab/>
      </w:r>
      <w:r w:rsidRPr="007E0FB5">
        <w:rPr>
          <w:lang w:val="en-US"/>
        </w:rPr>
        <w:tab/>
      </w:r>
      <w:r w:rsidRPr="007E0FB5">
        <w:rPr>
          <w:lang w:val="en-US"/>
        </w:rPr>
        <w:tab/>
        <w:t>Yeung Kam John Yeung Sik Yuen</w:t>
      </w:r>
    </w:p>
    <w:p w14:paraId="72DF6C3B" w14:textId="77777777" w:rsidR="005E5363" w:rsidRPr="007E0FB5" w:rsidRDefault="005E5363" w:rsidP="005E5363">
      <w:pPr>
        <w:pStyle w:val="SingleTxtG"/>
        <w:ind w:left="3969" w:hanging="2268"/>
        <w:rPr>
          <w:rFonts w:eastAsia="Calibri" w:cs="Arial"/>
        </w:rPr>
      </w:pPr>
      <w:r w:rsidRPr="007E0FB5">
        <w:rPr>
          <w:lang w:val="en-US"/>
        </w:rPr>
        <w:tab/>
      </w:r>
      <w:r w:rsidRPr="007E0FB5">
        <w:rPr>
          <w:lang w:val="en-US"/>
        </w:rPr>
        <w:tab/>
      </w:r>
      <w:r w:rsidRPr="007E0FB5">
        <w:rPr>
          <w:lang w:val="en-US"/>
        </w:rPr>
        <w:tab/>
      </w:r>
      <w:r>
        <w:rPr>
          <w:lang w:val="fr-FR"/>
        </w:rPr>
        <w:t xml:space="preserve">Pela </w:t>
      </w:r>
      <w:proofErr w:type="spellStart"/>
      <w:r>
        <w:rPr>
          <w:lang w:val="fr-FR"/>
        </w:rPr>
        <w:t>Boker</w:t>
      </w:r>
      <w:proofErr w:type="spellEnd"/>
      <w:r>
        <w:rPr>
          <w:lang w:val="fr-FR"/>
        </w:rPr>
        <w:t>-Wilson</w:t>
      </w:r>
    </w:p>
    <w:p w14:paraId="004806E7" w14:textId="5DCEE887" w:rsidR="005E5363" w:rsidRPr="007E0FB5" w:rsidRDefault="005E5363" w:rsidP="005E5363">
      <w:pPr>
        <w:pStyle w:val="SingleTxtG"/>
      </w:pPr>
      <w:r>
        <w:rPr>
          <w:lang w:val="fr-FR"/>
        </w:rPr>
        <w:t>95</w:t>
      </w:r>
      <w:r w:rsidR="007A599E" w:rsidRPr="007A599E">
        <w:rPr>
          <w:lang w:val="fr-FR"/>
        </w:rPr>
        <w:t>.</w:t>
      </w:r>
      <w:r>
        <w:rPr>
          <w:lang w:val="fr-FR"/>
        </w:rPr>
        <w:tab/>
        <w:t>À sa 115</w:t>
      </w:r>
      <w:r>
        <w:rPr>
          <w:vertAlign w:val="superscript"/>
          <w:lang w:val="fr-FR"/>
        </w:rPr>
        <w:t>e</w:t>
      </w:r>
      <w:r>
        <w:rPr>
          <w:lang w:val="fr-FR"/>
        </w:rPr>
        <w:t> session, le Comité a examiné une communication dont la recevabilité avait été contestée par l’État Partie concerné</w:t>
      </w:r>
      <w:r w:rsidR="007A599E" w:rsidRPr="007A599E">
        <w:rPr>
          <w:lang w:val="fr-FR"/>
        </w:rPr>
        <w:t>.</w:t>
      </w:r>
      <w:r>
        <w:rPr>
          <w:lang w:val="fr-FR"/>
        </w:rPr>
        <w:t xml:space="preserve"> À l’issue de ses délibérations, le Comité a conclu que la communication soulevait des questions de fond au regard de l’article 5 (al</w:t>
      </w:r>
      <w:r w:rsidR="007A599E" w:rsidRPr="007A599E">
        <w:rPr>
          <w:lang w:val="fr-FR"/>
        </w:rPr>
        <w:t>.</w:t>
      </w:r>
      <w:r>
        <w:rPr>
          <w:lang w:val="fr-FR"/>
        </w:rPr>
        <w:t xml:space="preserve"> a), b), d) i) et d) vii)) de la Convention</w:t>
      </w:r>
      <w:r w:rsidR="007A599E" w:rsidRPr="007A599E">
        <w:rPr>
          <w:lang w:val="fr-FR"/>
        </w:rPr>
        <w:t>.</w:t>
      </w:r>
      <w:r>
        <w:rPr>
          <w:lang w:val="fr-FR"/>
        </w:rPr>
        <w:t xml:space="preserve"> Il a par conséquent considéré qu’elle était recevable</w:t>
      </w:r>
      <w:r w:rsidR="007A599E" w:rsidRPr="007A599E">
        <w:rPr>
          <w:lang w:val="fr-FR"/>
        </w:rPr>
        <w:t>.</w:t>
      </w:r>
      <w:r>
        <w:rPr>
          <w:lang w:val="fr-FR"/>
        </w:rPr>
        <w:t xml:space="preserve"> Il en poursuivra l’examen à une prochaine session</w:t>
      </w:r>
      <w:r w:rsidR="007A599E" w:rsidRPr="007A599E">
        <w:rPr>
          <w:lang w:val="fr-FR"/>
        </w:rPr>
        <w:t>.</w:t>
      </w:r>
    </w:p>
    <w:p w14:paraId="5FC8DD50" w14:textId="030B9E5E" w:rsidR="005E5363" w:rsidRPr="001A2FE8" w:rsidRDefault="005E5363" w:rsidP="001A2FE8">
      <w:pPr>
        <w:pStyle w:val="SingleTxtG"/>
      </w:pPr>
      <w:r>
        <w:rPr>
          <w:lang w:val="fr-FR"/>
        </w:rPr>
        <w:t>96</w:t>
      </w:r>
      <w:r w:rsidR="007A599E" w:rsidRPr="007A599E">
        <w:rPr>
          <w:lang w:val="fr-FR"/>
        </w:rPr>
        <w:t>.</w:t>
      </w:r>
      <w:r>
        <w:rPr>
          <w:lang w:val="fr-FR"/>
        </w:rPr>
        <w:tab/>
        <w:t xml:space="preserve">Le Comité a cessé l’examen de trois communications : la communication </w:t>
      </w:r>
      <w:r>
        <w:rPr>
          <w:i/>
          <w:iCs/>
          <w:lang w:val="fr-FR"/>
        </w:rPr>
        <w:t>L</w:t>
      </w:r>
      <w:r w:rsidR="007A599E" w:rsidRPr="007A599E">
        <w:rPr>
          <w:i/>
          <w:iCs/>
          <w:lang w:val="fr-FR"/>
        </w:rPr>
        <w:t>.</w:t>
      </w:r>
      <w:r>
        <w:rPr>
          <w:i/>
          <w:iCs/>
          <w:lang w:val="fr-FR"/>
        </w:rPr>
        <w:t> J</w:t>
      </w:r>
      <w:r w:rsidR="007A599E" w:rsidRPr="007A599E">
        <w:rPr>
          <w:i/>
          <w:iCs/>
          <w:lang w:val="fr-FR"/>
        </w:rPr>
        <w:t>.</w:t>
      </w:r>
      <w:r>
        <w:rPr>
          <w:i/>
          <w:iCs/>
          <w:lang w:val="fr-FR"/>
        </w:rPr>
        <w:t xml:space="preserve"> et consorts c</w:t>
      </w:r>
      <w:r w:rsidR="007A599E" w:rsidRPr="007A599E">
        <w:rPr>
          <w:i/>
          <w:iCs/>
          <w:lang w:val="fr-FR"/>
        </w:rPr>
        <w:t>.</w:t>
      </w:r>
      <w:r>
        <w:rPr>
          <w:i/>
          <w:iCs/>
          <w:lang w:val="fr-FR"/>
        </w:rPr>
        <w:t xml:space="preserve"> Norvège </w:t>
      </w:r>
      <w:r>
        <w:rPr>
          <w:lang w:val="fr-FR"/>
        </w:rPr>
        <w:t>(</w:t>
      </w:r>
      <w:hyperlink r:id="rId109" w:history="1">
        <w:r w:rsidRPr="00803B71">
          <w:rPr>
            <w:rStyle w:val="Lienhypertexte"/>
            <w:lang w:val="fr-FR"/>
          </w:rPr>
          <w:t>CERD/C/115/D/67/2018</w:t>
        </w:r>
      </w:hyperlink>
      <w:r>
        <w:rPr>
          <w:lang w:val="fr-FR"/>
        </w:rPr>
        <w:t xml:space="preserve">), qui portait sur la construction d’une centrale électrique sur les terres des auteurs, parce que la question soulevée dans la communication était devenue sans objet à la suite de la conclusion d’un accord de règlement entre les parties ; la communication </w:t>
      </w:r>
      <w:r>
        <w:rPr>
          <w:i/>
          <w:iCs/>
          <w:lang w:val="fr-FR"/>
        </w:rPr>
        <w:t>I</w:t>
      </w:r>
      <w:r w:rsidR="007A599E" w:rsidRPr="007A599E">
        <w:rPr>
          <w:i/>
          <w:iCs/>
          <w:lang w:val="fr-FR"/>
        </w:rPr>
        <w:t>.</w:t>
      </w:r>
      <w:r>
        <w:rPr>
          <w:i/>
          <w:iCs/>
          <w:lang w:val="fr-FR"/>
        </w:rPr>
        <w:t> R</w:t>
      </w:r>
      <w:r w:rsidR="007A599E" w:rsidRPr="007A599E">
        <w:rPr>
          <w:i/>
          <w:iCs/>
          <w:lang w:val="fr-FR"/>
        </w:rPr>
        <w:t>.</w:t>
      </w:r>
      <w:r>
        <w:rPr>
          <w:i/>
          <w:iCs/>
          <w:lang w:val="fr-FR"/>
        </w:rPr>
        <w:t xml:space="preserve"> c</w:t>
      </w:r>
      <w:r w:rsidR="007A599E" w:rsidRPr="007A599E">
        <w:rPr>
          <w:i/>
          <w:iCs/>
          <w:lang w:val="fr-FR"/>
        </w:rPr>
        <w:t>.</w:t>
      </w:r>
      <w:r>
        <w:rPr>
          <w:i/>
          <w:iCs/>
          <w:lang w:val="fr-FR"/>
        </w:rPr>
        <w:t xml:space="preserve"> Suisse</w:t>
      </w:r>
      <w:r>
        <w:rPr>
          <w:lang w:val="fr-FR"/>
        </w:rPr>
        <w:t xml:space="preserve"> (</w:t>
      </w:r>
      <w:hyperlink r:id="rId110" w:history="1">
        <w:r w:rsidRPr="00803B71">
          <w:rPr>
            <w:rStyle w:val="Lienhypertexte"/>
            <w:lang w:val="fr-FR"/>
          </w:rPr>
          <w:t>CERD/C/115/D/76/2021</w:t>
        </w:r>
      </w:hyperlink>
      <w:r>
        <w:rPr>
          <w:lang w:val="fr-FR"/>
        </w:rPr>
        <w:t xml:space="preserve">), qui concernait l’expulsion de l’auteur, parce que, comme l’auteur s’était rendu dans un autre pays où il avait demandé l’asile, les deux parties étaient convenues de mettre un terme à la procédure ; la communication </w:t>
      </w:r>
      <w:r>
        <w:rPr>
          <w:i/>
          <w:iCs/>
          <w:lang w:val="fr-FR"/>
        </w:rPr>
        <w:t>J</w:t>
      </w:r>
      <w:r w:rsidR="007A599E" w:rsidRPr="007A599E">
        <w:rPr>
          <w:i/>
          <w:iCs/>
          <w:lang w:val="fr-FR"/>
        </w:rPr>
        <w:t>.</w:t>
      </w:r>
      <w:r>
        <w:rPr>
          <w:i/>
          <w:iCs/>
          <w:lang w:val="fr-FR"/>
        </w:rPr>
        <w:t> N</w:t>
      </w:r>
      <w:r w:rsidR="007A599E" w:rsidRPr="007A599E">
        <w:rPr>
          <w:i/>
          <w:iCs/>
          <w:lang w:val="fr-FR"/>
        </w:rPr>
        <w:t>.</w:t>
      </w:r>
      <w:r>
        <w:rPr>
          <w:i/>
          <w:iCs/>
          <w:lang w:val="fr-FR"/>
        </w:rPr>
        <w:t xml:space="preserve"> et E</w:t>
      </w:r>
      <w:r w:rsidR="007A599E" w:rsidRPr="007A599E">
        <w:rPr>
          <w:i/>
          <w:iCs/>
          <w:lang w:val="fr-FR"/>
        </w:rPr>
        <w:t>.</w:t>
      </w:r>
      <w:r>
        <w:rPr>
          <w:i/>
          <w:iCs/>
          <w:lang w:val="fr-FR"/>
        </w:rPr>
        <w:t> R</w:t>
      </w:r>
      <w:r w:rsidR="007A599E" w:rsidRPr="007A599E">
        <w:rPr>
          <w:i/>
          <w:iCs/>
          <w:lang w:val="fr-FR"/>
        </w:rPr>
        <w:t>.</w:t>
      </w:r>
      <w:r>
        <w:rPr>
          <w:i/>
          <w:iCs/>
          <w:lang w:val="fr-FR"/>
        </w:rPr>
        <w:t xml:space="preserve"> c</w:t>
      </w:r>
      <w:r w:rsidR="007A599E" w:rsidRPr="007A599E">
        <w:rPr>
          <w:i/>
          <w:iCs/>
          <w:lang w:val="fr-FR"/>
        </w:rPr>
        <w:t>.</w:t>
      </w:r>
      <w:r>
        <w:rPr>
          <w:i/>
          <w:iCs/>
          <w:lang w:val="fr-FR"/>
        </w:rPr>
        <w:t xml:space="preserve"> Norvège</w:t>
      </w:r>
      <w:r>
        <w:rPr>
          <w:lang w:val="fr-FR"/>
        </w:rPr>
        <w:t xml:space="preserve"> (</w:t>
      </w:r>
      <w:hyperlink r:id="rId111" w:history="1">
        <w:r w:rsidRPr="00803B71">
          <w:rPr>
            <w:rStyle w:val="Lienhypertexte"/>
            <w:lang w:val="fr-FR"/>
          </w:rPr>
          <w:t>CERD/C/115/D/77/2021</w:t>
        </w:r>
      </w:hyperlink>
      <w:r>
        <w:rPr>
          <w:lang w:val="fr-FR"/>
        </w:rPr>
        <w:t>), dans laquelle les auteurs alléguaient que l’État Partie ne les avait pas protégés contre la propagande prônant la haine et la violence raciales et incitant à de tels actes, parce que les auteurs avaient demandé qu’il soit mis fin à l’examen de la communication, sans donner de raison</w:t>
      </w:r>
      <w:r w:rsidR="007A599E" w:rsidRPr="007A599E">
        <w:rPr>
          <w:lang w:val="fr-FR"/>
        </w:rPr>
        <w:t>.</w:t>
      </w:r>
      <w:hyperlink r:id="rId112" w:history="1"/>
      <w:hyperlink r:id="rId113" w:history="1"/>
      <w:hyperlink r:id="rId114" w:history="1"/>
    </w:p>
    <w:p w14:paraId="37DF2B97" w14:textId="77777777" w:rsidR="005E5363" w:rsidRDefault="005E5363" w:rsidP="005E5363">
      <w:pPr>
        <w:suppressAutoHyphens w:val="0"/>
        <w:kinsoku/>
        <w:overflowPunct/>
        <w:autoSpaceDE/>
        <w:autoSpaceDN/>
        <w:adjustRightInd/>
        <w:snapToGrid/>
        <w:spacing w:line="240" w:lineRule="auto"/>
        <w:rPr>
          <w:rFonts w:eastAsia="Times New Roman"/>
          <w:b/>
          <w:bCs/>
          <w:sz w:val="28"/>
        </w:rPr>
      </w:pPr>
      <w:r>
        <w:rPr>
          <w:bCs/>
        </w:rPr>
        <w:br w:type="page"/>
      </w:r>
    </w:p>
    <w:p w14:paraId="07981E6B" w14:textId="4846F59E" w:rsidR="005E5363" w:rsidRPr="001A2FE8" w:rsidRDefault="005E5363" w:rsidP="001A2FE8">
      <w:pPr>
        <w:pStyle w:val="HChG"/>
        <w:rPr>
          <w:bCs/>
          <w:lang w:val="fr-FR"/>
        </w:rPr>
      </w:pPr>
      <w:r>
        <w:rPr>
          <w:bCs/>
        </w:rPr>
        <w:lastRenderedPageBreak/>
        <w:tab/>
      </w:r>
      <w:r>
        <w:rPr>
          <w:bCs/>
          <w:lang w:val="fr-FR"/>
        </w:rPr>
        <w:t>IX</w:t>
      </w:r>
      <w:r w:rsidR="007A599E" w:rsidRPr="007A599E">
        <w:rPr>
          <w:bCs/>
          <w:lang w:val="fr-FR"/>
        </w:rPr>
        <w:t>.</w:t>
      </w:r>
      <w:r>
        <w:rPr>
          <w:lang w:val="fr-FR"/>
        </w:rPr>
        <w:tab/>
      </w:r>
      <w:r>
        <w:rPr>
          <w:bCs/>
          <w:lang w:val="fr-FR"/>
        </w:rPr>
        <w:t xml:space="preserve">Suite donnée à la Conférence mondiale contre le racisme, </w:t>
      </w:r>
      <w:r w:rsidR="001A2FE8">
        <w:rPr>
          <w:bCs/>
          <w:lang w:val="fr-FR"/>
        </w:rPr>
        <w:br/>
      </w:r>
      <w:r>
        <w:rPr>
          <w:bCs/>
          <w:lang w:val="fr-FR"/>
        </w:rPr>
        <w:t xml:space="preserve">la discrimination raciale, la xénophobie et l’intolérance </w:t>
      </w:r>
      <w:r w:rsidR="001A2FE8">
        <w:rPr>
          <w:bCs/>
          <w:lang w:val="fr-FR"/>
        </w:rPr>
        <w:br/>
      </w:r>
      <w:r>
        <w:rPr>
          <w:bCs/>
          <w:lang w:val="fr-FR"/>
        </w:rPr>
        <w:t xml:space="preserve">qui y est associée et à la Conférence d’examen de Durban </w:t>
      </w:r>
      <w:r w:rsidR="001A2FE8">
        <w:rPr>
          <w:bCs/>
          <w:lang w:val="fr-FR"/>
        </w:rPr>
        <w:br/>
      </w:r>
      <w:r>
        <w:rPr>
          <w:bCs/>
          <w:lang w:val="fr-FR"/>
        </w:rPr>
        <w:t>et activités de promotion liées à la Convention</w:t>
      </w:r>
      <w:bookmarkStart w:id="154" w:name="_Toc428794297"/>
      <w:bookmarkStart w:id="155" w:name="_Toc17361309"/>
      <w:bookmarkStart w:id="156" w:name="_Toc48752335"/>
      <w:bookmarkStart w:id="157" w:name="_Toc48816887"/>
      <w:bookmarkStart w:id="158" w:name="_Toc81563239"/>
      <w:bookmarkStart w:id="159" w:name="_Toc113263048"/>
      <w:bookmarkStart w:id="160" w:name="_Toc176248196"/>
      <w:bookmarkStart w:id="161" w:name="_Toc176248861"/>
      <w:bookmarkEnd w:id="104"/>
      <w:bookmarkEnd w:id="154"/>
      <w:bookmarkEnd w:id="155"/>
      <w:bookmarkEnd w:id="156"/>
      <w:bookmarkEnd w:id="157"/>
      <w:bookmarkEnd w:id="158"/>
      <w:bookmarkEnd w:id="159"/>
      <w:bookmarkEnd w:id="160"/>
      <w:bookmarkEnd w:id="161"/>
    </w:p>
    <w:p w14:paraId="71D3AB30" w14:textId="10F4A75A" w:rsidR="005E5363" w:rsidRPr="007E0FB5" w:rsidRDefault="005E5363" w:rsidP="005E5363">
      <w:pPr>
        <w:pStyle w:val="SingleTxtG"/>
      </w:pPr>
      <w:r>
        <w:rPr>
          <w:lang w:val="fr-FR"/>
        </w:rPr>
        <w:t>97</w:t>
      </w:r>
      <w:r w:rsidR="007A599E" w:rsidRPr="007A599E">
        <w:rPr>
          <w:lang w:val="fr-FR"/>
        </w:rPr>
        <w:t>.</w:t>
      </w:r>
      <w:r>
        <w:rPr>
          <w:lang w:val="fr-FR"/>
        </w:rPr>
        <w:tab/>
        <w:t>À ses 113</w:t>
      </w:r>
      <w:r>
        <w:rPr>
          <w:vertAlign w:val="superscript"/>
          <w:lang w:val="fr-FR"/>
        </w:rPr>
        <w:t>e</w:t>
      </w:r>
      <w:r>
        <w:rPr>
          <w:lang w:val="fr-FR"/>
        </w:rPr>
        <w:t>, 114</w:t>
      </w:r>
      <w:r>
        <w:rPr>
          <w:vertAlign w:val="superscript"/>
          <w:lang w:val="fr-FR"/>
        </w:rPr>
        <w:t>e</w:t>
      </w:r>
      <w:r>
        <w:rPr>
          <w:lang w:val="fr-FR"/>
        </w:rPr>
        <w:t xml:space="preserve"> et 115</w:t>
      </w:r>
      <w:r>
        <w:rPr>
          <w:vertAlign w:val="superscript"/>
          <w:lang w:val="fr-FR"/>
        </w:rPr>
        <w:t>e</w:t>
      </w:r>
      <w:r>
        <w:rPr>
          <w:lang w:val="fr-FR"/>
        </w:rPr>
        <w:t> sessions, le Comité a examiné la question de la suite donnée à la Conférence mondiale contre le racisme, la discrimination raciale, la xénophobie et l’intolérance qui y est associée et à la Conférence d’examen de Durban</w:t>
      </w:r>
      <w:r w:rsidR="007A599E" w:rsidRPr="007A599E">
        <w:rPr>
          <w:lang w:val="fr-FR"/>
        </w:rPr>
        <w:t>.</w:t>
      </w:r>
      <w:r>
        <w:rPr>
          <w:lang w:val="fr-FR"/>
        </w:rPr>
        <w:t xml:space="preserve"> En outre, ses membres ont assuré activement la promotion de la Convention</w:t>
      </w:r>
      <w:r w:rsidR="007A599E" w:rsidRPr="007A599E">
        <w:rPr>
          <w:lang w:val="fr-FR"/>
        </w:rPr>
        <w:t>.</w:t>
      </w:r>
    </w:p>
    <w:p w14:paraId="605B32BE" w14:textId="043655DE" w:rsidR="005E5363" w:rsidRPr="007E0FB5" w:rsidRDefault="005E5363" w:rsidP="005E5363">
      <w:pPr>
        <w:pStyle w:val="SingleTxtG"/>
      </w:pPr>
      <w:r>
        <w:rPr>
          <w:lang w:val="fr-FR"/>
        </w:rPr>
        <w:t>98</w:t>
      </w:r>
      <w:r w:rsidR="007A599E" w:rsidRPr="007A599E">
        <w:rPr>
          <w:lang w:val="fr-FR"/>
        </w:rPr>
        <w:t>.</w:t>
      </w:r>
      <w:r>
        <w:rPr>
          <w:lang w:val="fr-FR"/>
        </w:rPr>
        <w:tab/>
        <w:t>À sa 114</w:t>
      </w:r>
      <w:r>
        <w:rPr>
          <w:vertAlign w:val="superscript"/>
          <w:lang w:val="fr-FR"/>
        </w:rPr>
        <w:t>e</w:t>
      </w:r>
      <w:r>
        <w:rPr>
          <w:lang w:val="fr-FR"/>
        </w:rPr>
        <w:t> session, le Comité a décidé de mener, en 2025, une campagne pour célébrer le soixantième anniversaire de l’adoption de la Convention</w:t>
      </w:r>
      <w:r w:rsidR="007A599E" w:rsidRPr="007A599E">
        <w:rPr>
          <w:lang w:val="fr-FR"/>
        </w:rPr>
        <w:t>.</w:t>
      </w:r>
      <w:r>
        <w:rPr>
          <w:lang w:val="fr-FR"/>
        </w:rPr>
        <w:t xml:space="preserve"> Lancée le 21 mars 2025 à l’occasion de la Journée internationale pour l’élimination de la discrimination raciale, celle-ci visait à mettre en lumière les avancées obtenues en </w:t>
      </w:r>
      <w:r w:rsidR="00CA5952">
        <w:rPr>
          <w:lang w:val="fr-FR"/>
        </w:rPr>
        <w:t>soixante</w:t>
      </w:r>
      <w:r>
        <w:rPr>
          <w:lang w:val="fr-FR"/>
        </w:rPr>
        <w:t> ans et à trouver des moyens efficaces et concrets de surmonter les obstacles structurels et naissants qui entravaient la réalisation de l’objectif de la Convention, qui était de libérer le monde de la discrimination raciale</w:t>
      </w:r>
      <w:r w:rsidR="007A599E" w:rsidRPr="007A599E">
        <w:rPr>
          <w:lang w:val="fr-FR"/>
        </w:rPr>
        <w:t>.</w:t>
      </w:r>
      <w:r>
        <w:rPr>
          <w:lang w:val="fr-FR"/>
        </w:rPr>
        <w:t xml:space="preserve"> Il a été décidé qu’un événement de haut niveau serait organisé à Genève le 4 décembre 2025, dans le cadre de la 116</w:t>
      </w:r>
      <w:r>
        <w:rPr>
          <w:vertAlign w:val="superscript"/>
          <w:lang w:val="fr-FR"/>
        </w:rPr>
        <w:t>e</w:t>
      </w:r>
      <w:r>
        <w:rPr>
          <w:lang w:val="fr-FR"/>
        </w:rPr>
        <w:t> session du Comité, pour célébrer cet anniversaire</w:t>
      </w:r>
      <w:r w:rsidR="007A599E" w:rsidRPr="007A599E">
        <w:rPr>
          <w:lang w:val="fr-FR"/>
        </w:rPr>
        <w:t>.</w:t>
      </w:r>
    </w:p>
    <w:p w14:paraId="25B688DA" w14:textId="645A6832" w:rsidR="005E5363" w:rsidRPr="007E0FB5" w:rsidRDefault="005E5363" w:rsidP="005E5363">
      <w:pPr>
        <w:pStyle w:val="SingleTxtG"/>
      </w:pPr>
      <w:r>
        <w:rPr>
          <w:lang w:val="fr-FR"/>
        </w:rPr>
        <w:t>99</w:t>
      </w:r>
      <w:r w:rsidR="007A599E" w:rsidRPr="007A599E">
        <w:rPr>
          <w:lang w:val="fr-FR"/>
        </w:rPr>
        <w:t>.</w:t>
      </w:r>
      <w:r>
        <w:rPr>
          <w:lang w:val="fr-FR"/>
        </w:rPr>
        <w:tab/>
        <w:t>M</w:t>
      </w:r>
      <w:r w:rsidR="007A599E" w:rsidRPr="007A599E">
        <w:rPr>
          <w:lang w:val="fr-FR"/>
        </w:rPr>
        <w:t>.</w:t>
      </w:r>
      <w:r>
        <w:rPr>
          <w:lang w:val="fr-FR"/>
        </w:rPr>
        <w:t> </w:t>
      </w:r>
      <w:proofErr w:type="spellStart"/>
      <w:r>
        <w:rPr>
          <w:lang w:val="fr-FR"/>
        </w:rPr>
        <w:t>Balcerzak</w:t>
      </w:r>
      <w:proofErr w:type="spellEnd"/>
      <w:r>
        <w:rPr>
          <w:lang w:val="fr-FR"/>
        </w:rPr>
        <w:t xml:space="preserve"> a participé à plusieurs manifestations en sa qualité de Président du Comité et a notamment présenté le rapport annuel du Comité à l’Assemblée générale à New</w:t>
      </w:r>
      <w:r w:rsidR="00CA5952">
        <w:rPr>
          <w:lang w:val="fr-FR"/>
        </w:rPr>
        <w:t> </w:t>
      </w:r>
      <w:r>
        <w:rPr>
          <w:lang w:val="fr-FR"/>
        </w:rPr>
        <w:t>York et assisté à la réunion des présidents et présidentes des organes conventionnels et aux réunions des présidents et présidentes des mécanismes de l’ONU chargés de la lutte contre le racisme</w:t>
      </w:r>
      <w:r w:rsidR="007A599E" w:rsidRPr="007A599E">
        <w:rPr>
          <w:lang w:val="fr-FR"/>
        </w:rPr>
        <w:t>.</w:t>
      </w:r>
      <w:r>
        <w:rPr>
          <w:lang w:val="fr-FR"/>
        </w:rPr>
        <w:t xml:space="preserve"> À l’occasion de la célébration de la Journée internationale pour l’élimination de la discrimination raciale, en mars 2025, il a prononcé une allocution devant l’Assemblée générale à New York et devant le Conseil des droits de l’homme à Genève</w:t>
      </w:r>
      <w:r w:rsidR="007A599E" w:rsidRPr="007A599E">
        <w:rPr>
          <w:lang w:val="fr-FR"/>
        </w:rPr>
        <w:t>.</w:t>
      </w:r>
      <w:r>
        <w:rPr>
          <w:lang w:val="fr-FR"/>
        </w:rPr>
        <w:t xml:space="preserve"> Il a participé à la quatorzième session du Comité spécial du Conseil des droits de l’homme chargé d’élaborer des normes complétant la Convention internationale sur l’élimination de toutes les formes de discrimination raciale</w:t>
      </w:r>
      <w:r w:rsidR="007A599E" w:rsidRPr="007A599E">
        <w:rPr>
          <w:lang w:val="fr-FR"/>
        </w:rPr>
        <w:t>.</w:t>
      </w:r>
      <w:r>
        <w:rPr>
          <w:lang w:val="fr-FR"/>
        </w:rPr>
        <w:t xml:space="preserve"> Il a également participé à une conférence organisée par le Centre norvégien pour les droits de l’homme, qui s’est tenue à Oslo en avril 2025 et traitait de l’influence </w:t>
      </w:r>
      <w:r w:rsidRPr="00CA0307">
        <w:rPr>
          <w:lang w:val="fr-FR"/>
        </w:rPr>
        <w:t xml:space="preserve">que les organes </w:t>
      </w:r>
      <w:r>
        <w:rPr>
          <w:lang w:val="fr-FR"/>
        </w:rPr>
        <w:t>conventionnels</w:t>
      </w:r>
      <w:r w:rsidRPr="00CA0307">
        <w:rPr>
          <w:lang w:val="fr-FR"/>
        </w:rPr>
        <w:t xml:space="preserve"> </w:t>
      </w:r>
      <w:r>
        <w:rPr>
          <w:lang w:val="fr-FR"/>
        </w:rPr>
        <w:t>des</w:t>
      </w:r>
      <w:r w:rsidRPr="00CA0307">
        <w:rPr>
          <w:lang w:val="fr-FR"/>
        </w:rPr>
        <w:t xml:space="preserve"> droits de l</w:t>
      </w:r>
      <w:r>
        <w:rPr>
          <w:lang w:val="fr-FR"/>
        </w:rPr>
        <w:t>’</w:t>
      </w:r>
      <w:r w:rsidRPr="00CA0307">
        <w:rPr>
          <w:lang w:val="fr-FR"/>
        </w:rPr>
        <w:t xml:space="preserve">homme </w:t>
      </w:r>
      <w:r>
        <w:rPr>
          <w:lang w:val="fr-FR"/>
        </w:rPr>
        <w:t>avaient</w:t>
      </w:r>
      <w:r w:rsidRPr="00CA0307">
        <w:rPr>
          <w:lang w:val="fr-FR"/>
        </w:rPr>
        <w:t xml:space="preserve"> au niveau national</w:t>
      </w:r>
      <w:r w:rsidR="007A599E" w:rsidRPr="007A599E">
        <w:rPr>
          <w:lang w:val="fr-FR"/>
        </w:rPr>
        <w:t>.</w:t>
      </w:r>
    </w:p>
    <w:p w14:paraId="66ACE743" w14:textId="019A7BB6" w:rsidR="005E5363" w:rsidRPr="007E0FB5" w:rsidRDefault="005E5363" w:rsidP="005E5363">
      <w:pPr>
        <w:pStyle w:val="SingleTxtG"/>
      </w:pPr>
      <w:r>
        <w:rPr>
          <w:lang w:val="fr-FR"/>
        </w:rPr>
        <w:t>100</w:t>
      </w:r>
      <w:r w:rsidR="007A599E" w:rsidRPr="007A599E">
        <w:rPr>
          <w:lang w:val="fr-FR"/>
        </w:rPr>
        <w:t>.</w:t>
      </w:r>
      <w:r>
        <w:rPr>
          <w:lang w:val="fr-FR"/>
        </w:rPr>
        <w:tab/>
        <w:t>M</w:t>
      </w:r>
      <w:r>
        <w:rPr>
          <w:vertAlign w:val="superscript"/>
          <w:lang w:val="fr-FR"/>
        </w:rPr>
        <w:t>me</w:t>
      </w:r>
      <w:r>
        <w:rPr>
          <w:lang w:val="fr-FR"/>
        </w:rPr>
        <w:t xml:space="preserve"> Shepherd a participé et pris la parole à plusieurs événements traitant de l’éducation, de la justice </w:t>
      </w:r>
      <w:proofErr w:type="spellStart"/>
      <w:r>
        <w:rPr>
          <w:lang w:val="fr-FR"/>
        </w:rPr>
        <w:t>décoloniale</w:t>
      </w:r>
      <w:proofErr w:type="spellEnd"/>
      <w:r>
        <w:rPr>
          <w:lang w:val="fr-FR"/>
        </w:rPr>
        <w:t>, des réparations et de la lutte contre la traite des personnes et de la discrimination raciale</w:t>
      </w:r>
      <w:r w:rsidR="007A599E" w:rsidRPr="007A599E">
        <w:rPr>
          <w:lang w:val="fr-FR"/>
        </w:rPr>
        <w:t>.</w:t>
      </w:r>
      <w:r>
        <w:rPr>
          <w:lang w:val="fr-FR"/>
        </w:rPr>
        <w:t xml:space="preserve"> Elle a représenté le Comité à la quatrième session de l’Instance permanente pour les personnes d’ascendance africaine, qui s’est tenue à New</w:t>
      </w:r>
      <w:r w:rsidR="00CA5952">
        <w:rPr>
          <w:lang w:val="fr-FR"/>
        </w:rPr>
        <w:t> </w:t>
      </w:r>
      <w:r>
        <w:rPr>
          <w:lang w:val="fr-FR"/>
        </w:rPr>
        <w:t>York en avril 2025, et est intervenue en sa qualité d’experte lors de plusieurs manifestations parallèles</w:t>
      </w:r>
      <w:r w:rsidR="007A599E" w:rsidRPr="007A599E">
        <w:rPr>
          <w:lang w:val="fr-FR"/>
        </w:rPr>
        <w:t>.</w:t>
      </w:r>
    </w:p>
    <w:p w14:paraId="1230EDE7" w14:textId="2497F696" w:rsidR="005E5363" w:rsidRPr="007E0FB5" w:rsidRDefault="005E5363" w:rsidP="005E5363">
      <w:pPr>
        <w:pStyle w:val="SingleTxtG"/>
      </w:pPr>
      <w:r>
        <w:rPr>
          <w:lang w:val="fr-FR"/>
        </w:rPr>
        <w:t>101</w:t>
      </w:r>
      <w:r w:rsidR="007A599E" w:rsidRPr="007A599E">
        <w:rPr>
          <w:lang w:val="fr-FR"/>
        </w:rPr>
        <w:t>.</w:t>
      </w:r>
      <w:r>
        <w:rPr>
          <w:lang w:val="fr-FR"/>
        </w:rPr>
        <w:tab/>
        <w:t>M</w:t>
      </w:r>
      <w:r>
        <w:rPr>
          <w:vertAlign w:val="superscript"/>
          <w:lang w:val="fr-FR"/>
        </w:rPr>
        <w:t>me</w:t>
      </w:r>
      <w:r>
        <w:rPr>
          <w:lang w:val="fr-FR"/>
        </w:rPr>
        <w:t> Chung a participé à des webinaires liés aux travaux du Comité et au soixantième anniversaire de la Convention</w:t>
      </w:r>
      <w:r w:rsidR="007A599E" w:rsidRPr="007A599E">
        <w:rPr>
          <w:lang w:val="fr-FR"/>
        </w:rPr>
        <w:t>.</w:t>
      </w:r>
      <w:r>
        <w:rPr>
          <w:lang w:val="fr-FR"/>
        </w:rPr>
        <w:t xml:space="preserve"> À la 115</w:t>
      </w:r>
      <w:r>
        <w:rPr>
          <w:vertAlign w:val="superscript"/>
          <w:lang w:val="fr-FR"/>
        </w:rPr>
        <w:t>e</w:t>
      </w:r>
      <w:r>
        <w:rPr>
          <w:lang w:val="fr-FR"/>
        </w:rPr>
        <w:t> session du Comité, elle a assisté à une rencontre organisée par le Groupe d’éminents experts indépendants sur la mise en œuvre de la Déclaration et du Programme d’action de Durban</w:t>
      </w:r>
      <w:r w:rsidR="007A599E" w:rsidRPr="007A599E">
        <w:rPr>
          <w:lang w:val="fr-FR"/>
        </w:rPr>
        <w:t>.</w:t>
      </w:r>
    </w:p>
    <w:p w14:paraId="7A23745B" w14:textId="7E334113" w:rsidR="005E5363" w:rsidRPr="007E0FB5" w:rsidRDefault="005E5363" w:rsidP="005E5363">
      <w:pPr>
        <w:pStyle w:val="SingleTxtG"/>
      </w:pPr>
      <w:r>
        <w:rPr>
          <w:lang w:val="fr-FR"/>
        </w:rPr>
        <w:t>102</w:t>
      </w:r>
      <w:r w:rsidR="007A599E" w:rsidRPr="007A599E">
        <w:rPr>
          <w:lang w:val="fr-FR"/>
        </w:rPr>
        <w:t>.</w:t>
      </w:r>
      <w:r>
        <w:rPr>
          <w:lang w:val="fr-FR"/>
        </w:rPr>
        <w:tab/>
        <w:t>La Rapporteuse chargée de la recommandation générale n</w:t>
      </w:r>
      <w:r>
        <w:rPr>
          <w:vertAlign w:val="superscript"/>
          <w:lang w:val="fr-FR"/>
        </w:rPr>
        <w:t>o</w:t>
      </w:r>
      <w:r>
        <w:rPr>
          <w:lang w:val="fr-FR"/>
        </w:rPr>
        <w:t> 37 (2024), M</w:t>
      </w:r>
      <w:r>
        <w:rPr>
          <w:vertAlign w:val="superscript"/>
          <w:lang w:val="fr-FR"/>
        </w:rPr>
        <w:t>me</w:t>
      </w:r>
      <w:r>
        <w:rPr>
          <w:lang w:val="fr-FR"/>
        </w:rPr>
        <w:t> </w:t>
      </w:r>
      <w:proofErr w:type="spellStart"/>
      <w:r>
        <w:rPr>
          <w:lang w:val="fr-FR"/>
        </w:rPr>
        <w:t>Stavrinaki</w:t>
      </w:r>
      <w:proofErr w:type="spellEnd"/>
      <w:r>
        <w:rPr>
          <w:lang w:val="fr-FR"/>
        </w:rPr>
        <w:t>, s’est exprimée sur le sujet de la discrimination raciale et du droit à la santé dans plusieurs cadres, dont une rencontre de praticiens du Réseau des Nations Unies sur la discrimination raciale et la protection des minorités que l’Organisation mondiale de la Santé avait organisée en décembre 2024 pour discuter de la manière dont les pays pourraient tirer parti de la recommandation générale</w:t>
      </w:r>
      <w:r w:rsidR="007A599E" w:rsidRPr="007A599E">
        <w:rPr>
          <w:lang w:val="fr-FR"/>
        </w:rPr>
        <w:t>.</w:t>
      </w:r>
      <w:r>
        <w:rPr>
          <w:lang w:val="fr-FR"/>
        </w:rPr>
        <w:t xml:space="preserve"> En février 2025, elle a animé un séminaire en ligne sur la procédure par laquelle des particuliers peuvent présenter des communications aux organes conventionnels des droits de l’homme</w:t>
      </w:r>
      <w:r w:rsidR="007A599E" w:rsidRPr="007A599E">
        <w:rPr>
          <w:lang w:val="fr-FR"/>
        </w:rPr>
        <w:t>.</w:t>
      </w:r>
    </w:p>
    <w:p w14:paraId="3D33C52A" w14:textId="0ED77549" w:rsidR="005E5363" w:rsidRPr="007E0FB5" w:rsidRDefault="005E5363" w:rsidP="005E5363">
      <w:pPr>
        <w:pStyle w:val="SingleTxtG"/>
      </w:pPr>
      <w:r>
        <w:rPr>
          <w:lang w:val="fr-FR"/>
        </w:rPr>
        <w:t>103</w:t>
      </w:r>
      <w:r w:rsidR="007A599E" w:rsidRPr="007A599E">
        <w:rPr>
          <w:lang w:val="fr-FR"/>
        </w:rPr>
        <w:t>.</w:t>
      </w:r>
      <w:r>
        <w:rPr>
          <w:lang w:val="fr-FR"/>
        </w:rPr>
        <w:tab/>
        <w:t>M</w:t>
      </w:r>
      <w:r w:rsidR="007A599E" w:rsidRPr="007A599E">
        <w:rPr>
          <w:lang w:val="fr-FR"/>
        </w:rPr>
        <w:t>.</w:t>
      </w:r>
      <w:r>
        <w:rPr>
          <w:lang w:val="fr-FR"/>
        </w:rPr>
        <w:t> Diaby a été élu Président du Groupe de travail Afrique de l’Action mondiale contre les atrocités de masse, et a, avec d’autres membres du Comité, assisté à des réunions sur la prévention du génocide, qui se sont tenues à Genève en décembre 2024 et en avril 2025</w:t>
      </w:r>
      <w:r w:rsidR="007A599E" w:rsidRPr="007A599E">
        <w:rPr>
          <w:lang w:val="fr-FR"/>
        </w:rPr>
        <w:t>.</w:t>
      </w:r>
    </w:p>
    <w:p w14:paraId="061FAAB6" w14:textId="183C3E02" w:rsidR="005E5363" w:rsidRPr="007E0FB5" w:rsidRDefault="005E5363" w:rsidP="005E5363">
      <w:pPr>
        <w:pStyle w:val="SingleTxtG"/>
      </w:pPr>
      <w:r>
        <w:rPr>
          <w:lang w:val="fr-FR"/>
        </w:rPr>
        <w:t>104</w:t>
      </w:r>
      <w:r w:rsidR="007A599E" w:rsidRPr="007A599E">
        <w:rPr>
          <w:lang w:val="fr-FR"/>
        </w:rPr>
        <w:t>.</w:t>
      </w:r>
      <w:r>
        <w:rPr>
          <w:lang w:val="fr-FR"/>
        </w:rPr>
        <w:tab/>
        <w:t>M</w:t>
      </w:r>
      <w:r>
        <w:rPr>
          <w:vertAlign w:val="superscript"/>
          <w:lang w:val="fr-FR"/>
        </w:rPr>
        <w:t>me</w:t>
      </w:r>
      <w:r>
        <w:rPr>
          <w:lang w:val="fr-FR"/>
        </w:rPr>
        <w:t> </w:t>
      </w:r>
      <w:proofErr w:type="spellStart"/>
      <w:r>
        <w:rPr>
          <w:lang w:val="fr-FR"/>
        </w:rPr>
        <w:t>Tlakula</w:t>
      </w:r>
      <w:proofErr w:type="spellEnd"/>
      <w:r>
        <w:rPr>
          <w:lang w:val="fr-FR"/>
        </w:rPr>
        <w:t xml:space="preserve"> a participé au deuxième dialogue judiciaire tripartite sur la coopération entre les mécanismes de l’ONU chargés des droits de l’homme et la Cour africaine des droits de l’homme et des peuples, la Cour de justice de la Communauté économique des États de l’Afrique de l’Ouest et la Cour de justice de l’Afrique de l’Est, qui s’est tenu à Arusha </w:t>
      </w:r>
      <w:r>
        <w:rPr>
          <w:lang w:val="fr-FR"/>
        </w:rPr>
        <w:lastRenderedPageBreak/>
        <w:t>(République-Unie de Tanzanie) en septembre 2024</w:t>
      </w:r>
      <w:r w:rsidR="007A599E" w:rsidRPr="007A599E">
        <w:rPr>
          <w:lang w:val="fr-FR"/>
        </w:rPr>
        <w:t>.</w:t>
      </w:r>
      <w:r>
        <w:rPr>
          <w:lang w:val="fr-FR"/>
        </w:rPr>
        <w:t xml:space="preserve"> Au nom du Comité, elle a continué de suivre de près les travaux de la Commission africaine des droits de l’homme et des peuples</w:t>
      </w:r>
      <w:r w:rsidR="007A599E" w:rsidRPr="007A599E">
        <w:rPr>
          <w:lang w:val="fr-FR"/>
        </w:rPr>
        <w:t>.</w:t>
      </w:r>
    </w:p>
    <w:p w14:paraId="07E4C26A" w14:textId="45470263" w:rsidR="005E5363" w:rsidRPr="007E0FB5" w:rsidRDefault="005E5363" w:rsidP="005E5363">
      <w:pPr>
        <w:pStyle w:val="SingleTxtG"/>
      </w:pPr>
      <w:r>
        <w:rPr>
          <w:lang w:val="fr-FR"/>
        </w:rPr>
        <w:t>105</w:t>
      </w:r>
      <w:r w:rsidR="007A599E" w:rsidRPr="007A599E">
        <w:rPr>
          <w:lang w:val="fr-FR"/>
        </w:rPr>
        <w:t>.</w:t>
      </w:r>
      <w:r>
        <w:rPr>
          <w:lang w:val="fr-FR"/>
        </w:rPr>
        <w:tab/>
        <w:t>M</w:t>
      </w:r>
      <w:r w:rsidR="007A599E" w:rsidRPr="007A599E">
        <w:rPr>
          <w:lang w:val="fr-FR"/>
        </w:rPr>
        <w:t>.</w:t>
      </w:r>
      <w:r>
        <w:rPr>
          <w:lang w:val="fr-FR"/>
        </w:rPr>
        <w:t> </w:t>
      </w:r>
      <w:proofErr w:type="spellStart"/>
      <w:r>
        <w:rPr>
          <w:lang w:val="fr-FR"/>
        </w:rPr>
        <w:t>Guissé</w:t>
      </w:r>
      <w:proofErr w:type="spellEnd"/>
      <w:r>
        <w:rPr>
          <w:lang w:val="fr-FR"/>
        </w:rPr>
        <w:t xml:space="preserve"> a poursuivi ses activités de Coordonnateur du Comité pour le projet de recommandations/observations générales conjointes portant sur la xénophobie que le Comité élabore en coopération avec le Comité pour la protection des droits de tous les travailleurs migrants et des membres de leur famille</w:t>
      </w:r>
      <w:r w:rsidR="007A599E" w:rsidRPr="007A599E">
        <w:rPr>
          <w:lang w:val="fr-FR"/>
        </w:rPr>
        <w:t>.</w:t>
      </w:r>
      <w:r>
        <w:rPr>
          <w:lang w:val="fr-FR"/>
        </w:rPr>
        <w:t xml:space="preserve"> Il a également participé au trente-huitième Sommet de l’Union africaine, qui s’est tenu à Addis-Abeba en février 2025, sur le thème de la justice réparatrice et de la guérison raciale</w:t>
      </w:r>
      <w:r w:rsidR="007A599E" w:rsidRPr="007A599E">
        <w:rPr>
          <w:lang w:val="fr-FR"/>
        </w:rPr>
        <w:t>.</w:t>
      </w:r>
    </w:p>
    <w:p w14:paraId="6E031C1F" w14:textId="6CF7C4AE" w:rsidR="005E5363" w:rsidRPr="007E0FB5" w:rsidRDefault="005E5363" w:rsidP="005E5363">
      <w:pPr>
        <w:pStyle w:val="SingleTxtG"/>
      </w:pPr>
      <w:r>
        <w:rPr>
          <w:lang w:val="fr-FR"/>
        </w:rPr>
        <w:t>106</w:t>
      </w:r>
      <w:r w:rsidR="007A599E" w:rsidRPr="007A599E">
        <w:rPr>
          <w:lang w:val="fr-FR"/>
        </w:rPr>
        <w:t>.</w:t>
      </w:r>
      <w:r>
        <w:rPr>
          <w:lang w:val="fr-FR"/>
        </w:rPr>
        <w:tab/>
        <w:t>M</w:t>
      </w:r>
      <w:r>
        <w:rPr>
          <w:vertAlign w:val="superscript"/>
          <w:lang w:val="fr-FR"/>
        </w:rPr>
        <w:t>me</w:t>
      </w:r>
      <w:r>
        <w:rPr>
          <w:lang w:val="fr-FR"/>
        </w:rPr>
        <w:t> McDougall a poursuivi ses activités de Rapporteuse chargée de la recommandation générale n</w:t>
      </w:r>
      <w:r>
        <w:rPr>
          <w:vertAlign w:val="superscript"/>
          <w:lang w:val="fr-FR"/>
        </w:rPr>
        <w:t>o</w:t>
      </w:r>
      <w:r>
        <w:rPr>
          <w:lang w:val="fr-FR"/>
        </w:rPr>
        <w:t> 40 sur les réparations des injustices liées à la traite transatlantique des Africains réduits en esclavage et déshumanisés et sur les préjudices et crimes dont continuent d’être victimes les personnes d’ascendance africaine</w:t>
      </w:r>
      <w:r w:rsidR="007A599E" w:rsidRPr="007A599E">
        <w:rPr>
          <w:lang w:val="fr-FR"/>
        </w:rPr>
        <w:t>.</w:t>
      </w:r>
      <w:r>
        <w:rPr>
          <w:lang w:val="fr-FR"/>
        </w:rPr>
        <w:t xml:space="preserve"> Elle a organisé une manifestation en marge de la quatrième session de l’Instance permanente pour les personnes d’ascendance africaine</w:t>
      </w:r>
      <w:r w:rsidRPr="00803B71">
        <w:rPr>
          <w:rStyle w:val="Appelnotedebasdep"/>
        </w:rPr>
        <w:footnoteReference w:id="44"/>
      </w:r>
      <w:r w:rsidR="007A599E" w:rsidRPr="007A599E">
        <w:rPr>
          <w:lang w:val="fr-FR"/>
        </w:rPr>
        <w:t>.</w:t>
      </w:r>
      <w:r>
        <w:rPr>
          <w:lang w:val="fr-FR"/>
        </w:rPr>
        <w:t xml:space="preserve"> Au nom du Président du Comité, elle a participé à une réunion de coordination des présidents et présidentes des mécanismes de l’ONU chargés de la lutte contre le racisme, qui s’est tenue à New York en octobre 2024</w:t>
      </w:r>
      <w:r w:rsidR="007A599E" w:rsidRPr="007A599E">
        <w:rPr>
          <w:lang w:val="fr-FR"/>
        </w:rPr>
        <w:t>.</w:t>
      </w:r>
    </w:p>
    <w:p w14:paraId="085AB346" w14:textId="49118842" w:rsidR="005E5363" w:rsidRPr="007E0FB5" w:rsidRDefault="005E5363" w:rsidP="005E5363">
      <w:pPr>
        <w:pStyle w:val="SingleTxtG"/>
      </w:pPr>
      <w:r>
        <w:rPr>
          <w:lang w:val="fr-FR"/>
        </w:rPr>
        <w:t>107</w:t>
      </w:r>
      <w:r w:rsidR="007A599E" w:rsidRPr="007A599E">
        <w:rPr>
          <w:lang w:val="fr-FR"/>
        </w:rPr>
        <w:t>.</w:t>
      </w:r>
      <w:r>
        <w:rPr>
          <w:lang w:val="fr-FR"/>
        </w:rPr>
        <w:tab/>
        <w:t>M</w:t>
      </w:r>
      <w:r>
        <w:rPr>
          <w:vertAlign w:val="superscript"/>
          <w:lang w:val="fr-FR"/>
        </w:rPr>
        <w:t>me </w:t>
      </w:r>
      <w:proofErr w:type="spellStart"/>
      <w:r>
        <w:rPr>
          <w:lang w:val="fr-FR"/>
        </w:rPr>
        <w:t>Tebie</w:t>
      </w:r>
      <w:proofErr w:type="spellEnd"/>
      <w:r>
        <w:rPr>
          <w:lang w:val="fr-FR"/>
        </w:rPr>
        <w:t xml:space="preserve"> est intervenue en sa qualité d’experte à la rencontre organisée par le Groupe d’éminents experts indépendants sur la mise en œuvre de la Déclaration et du Programme d’action de Durban à la 115</w:t>
      </w:r>
      <w:r>
        <w:rPr>
          <w:vertAlign w:val="superscript"/>
          <w:lang w:val="fr-FR"/>
        </w:rPr>
        <w:t>e</w:t>
      </w:r>
      <w:r>
        <w:rPr>
          <w:lang w:val="fr-FR"/>
        </w:rPr>
        <w:t> session du Comité</w:t>
      </w:r>
      <w:r w:rsidR="007A599E" w:rsidRPr="007A599E">
        <w:rPr>
          <w:lang w:val="fr-FR"/>
        </w:rPr>
        <w:t>.</w:t>
      </w:r>
    </w:p>
    <w:p w14:paraId="1A9C2806" w14:textId="77777777" w:rsidR="005E5363" w:rsidRPr="007E0FB5" w:rsidRDefault="005E5363" w:rsidP="005E5363">
      <w:pPr>
        <w:pStyle w:val="SingleTxtG"/>
      </w:pPr>
      <w:r w:rsidRPr="007E0FB5">
        <w:br w:type="page"/>
      </w:r>
    </w:p>
    <w:p w14:paraId="73B82C5E" w14:textId="1A88F606" w:rsidR="005E5363" w:rsidRPr="007E0FB5" w:rsidRDefault="005E5363" w:rsidP="005E5363">
      <w:pPr>
        <w:pStyle w:val="HChG"/>
      </w:pPr>
      <w:r>
        <w:rPr>
          <w:bCs/>
          <w:lang w:val="fr-FR"/>
        </w:rPr>
        <w:lastRenderedPageBreak/>
        <w:tab/>
        <w:t>X</w:t>
      </w:r>
      <w:r w:rsidR="007A599E" w:rsidRPr="007A599E">
        <w:rPr>
          <w:bCs/>
          <w:lang w:val="fr-FR"/>
        </w:rPr>
        <w:t>.</w:t>
      </w:r>
      <w:r>
        <w:rPr>
          <w:lang w:val="fr-FR"/>
        </w:rPr>
        <w:tab/>
      </w:r>
      <w:r>
        <w:rPr>
          <w:bCs/>
          <w:lang w:val="fr-FR"/>
        </w:rPr>
        <w:t>Recommandations générales</w:t>
      </w:r>
      <w:bookmarkStart w:id="162" w:name="_Toc17361310"/>
      <w:bookmarkStart w:id="163" w:name="_Toc48752336"/>
      <w:bookmarkStart w:id="164" w:name="_Toc48816888"/>
      <w:bookmarkStart w:id="165" w:name="_Toc81563240"/>
      <w:bookmarkStart w:id="166" w:name="_Toc113263049"/>
      <w:bookmarkStart w:id="167" w:name="_Toc176248197"/>
      <w:bookmarkStart w:id="168" w:name="_Toc176248862"/>
      <w:bookmarkStart w:id="169" w:name="_Toc428794298"/>
    </w:p>
    <w:p w14:paraId="7B8B0935" w14:textId="71EDCE73" w:rsidR="005E5363" w:rsidRPr="007E0FB5" w:rsidRDefault="005E5363" w:rsidP="005E5363">
      <w:pPr>
        <w:pStyle w:val="H1G"/>
      </w:pPr>
      <w:r>
        <w:rPr>
          <w:bCs/>
          <w:lang w:val="fr-FR"/>
        </w:rPr>
        <w:tab/>
        <w:t>A</w:t>
      </w:r>
      <w:r w:rsidR="007A599E" w:rsidRPr="007A599E">
        <w:rPr>
          <w:bCs/>
          <w:lang w:val="fr-FR"/>
        </w:rPr>
        <w:t>.</w:t>
      </w:r>
      <w:r>
        <w:rPr>
          <w:lang w:val="fr-FR"/>
        </w:rPr>
        <w:tab/>
      </w:r>
      <w:r>
        <w:rPr>
          <w:bCs/>
          <w:lang w:val="fr-FR"/>
        </w:rPr>
        <w:t>Recommandation générale n</w:t>
      </w:r>
      <w:r>
        <w:rPr>
          <w:bCs/>
          <w:vertAlign w:val="superscript"/>
          <w:lang w:val="fr-FR"/>
        </w:rPr>
        <w:t>o</w:t>
      </w:r>
      <w:r>
        <w:rPr>
          <w:bCs/>
          <w:lang w:val="fr-FR"/>
        </w:rPr>
        <w:t xml:space="preserve"> 37 (2024) sur l’égalité et le droit </w:t>
      </w:r>
      <w:r w:rsidR="00120C09">
        <w:rPr>
          <w:bCs/>
          <w:lang w:val="fr-FR"/>
        </w:rPr>
        <w:br/>
      </w:r>
      <w:r>
        <w:rPr>
          <w:bCs/>
          <w:lang w:val="fr-FR"/>
        </w:rPr>
        <w:t xml:space="preserve">de ne pas faire l’objet de discrimination raciale </w:t>
      </w:r>
      <w:r w:rsidR="00120C09">
        <w:rPr>
          <w:bCs/>
          <w:lang w:val="fr-FR"/>
        </w:rPr>
        <w:br/>
      </w:r>
      <w:r>
        <w:rPr>
          <w:bCs/>
          <w:lang w:val="fr-FR"/>
        </w:rPr>
        <w:t>dans la jouissance du droit à la santé</w:t>
      </w:r>
      <w:bookmarkEnd w:id="162"/>
      <w:bookmarkEnd w:id="163"/>
      <w:bookmarkEnd w:id="164"/>
      <w:bookmarkEnd w:id="165"/>
      <w:bookmarkEnd w:id="166"/>
      <w:bookmarkEnd w:id="167"/>
      <w:bookmarkEnd w:id="168"/>
    </w:p>
    <w:p w14:paraId="1FED2839" w14:textId="487F1A7F" w:rsidR="005E5363" w:rsidRPr="007E0FB5" w:rsidRDefault="005E5363" w:rsidP="005E5363">
      <w:pPr>
        <w:pStyle w:val="SingleTxtG"/>
      </w:pPr>
      <w:r>
        <w:rPr>
          <w:lang w:val="fr-FR"/>
        </w:rPr>
        <w:t>108</w:t>
      </w:r>
      <w:r w:rsidR="007A599E" w:rsidRPr="007A599E">
        <w:rPr>
          <w:lang w:val="fr-FR"/>
        </w:rPr>
        <w:t>.</w:t>
      </w:r>
      <w:r>
        <w:rPr>
          <w:lang w:val="fr-FR"/>
        </w:rPr>
        <w:tab/>
        <w:t>Le Comité a achevé ses travaux sur la recommandation générale sur la discrimination raciale et le droit à la santé, sous la supervision de la Rapporteuse chargée de cette recommandation, M</w:t>
      </w:r>
      <w:r>
        <w:rPr>
          <w:vertAlign w:val="superscript"/>
          <w:lang w:val="fr-FR"/>
        </w:rPr>
        <w:t>me</w:t>
      </w:r>
      <w:r>
        <w:rPr>
          <w:lang w:val="fr-FR"/>
        </w:rPr>
        <w:t> </w:t>
      </w:r>
      <w:proofErr w:type="spellStart"/>
      <w:r>
        <w:rPr>
          <w:lang w:val="fr-FR"/>
        </w:rPr>
        <w:t>Stavrinaki</w:t>
      </w:r>
      <w:proofErr w:type="spellEnd"/>
      <w:r w:rsidR="007A599E" w:rsidRPr="007A599E">
        <w:rPr>
          <w:lang w:val="fr-FR"/>
        </w:rPr>
        <w:t>.</w:t>
      </w:r>
      <w:r>
        <w:rPr>
          <w:lang w:val="fr-FR"/>
        </w:rPr>
        <w:t xml:space="preserve"> À sa 113</w:t>
      </w:r>
      <w:r>
        <w:rPr>
          <w:vertAlign w:val="superscript"/>
          <w:lang w:val="fr-FR"/>
        </w:rPr>
        <w:t>e</w:t>
      </w:r>
      <w:r>
        <w:rPr>
          <w:lang w:val="fr-FR"/>
        </w:rPr>
        <w:t> session, le Comité a adopté sa recommandation générale n</w:t>
      </w:r>
      <w:r>
        <w:rPr>
          <w:vertAlign w:val="superscript"/>
          <w:lang w:val="fr-FR"/>
        </w:rPr>
        <w:t>o</w:t>
      </w:r>
      <w:r>
        <w:rPr>
          <w:lang w:val="fr-FR"/>
        </w:rPr>
        <w:t> 37 (2024) sur l’égalité et le droit de ne pas faire l’objet de discrimination raciale dans la jouissance du droit à la santé</w:t>
      </w:r>
      <w:r w:rsidR="007A599E" w:rsidRPr="007A599E">
        <w:rPr>
          <w:lang w:val="fr-FR"/>
        </w:rPr>
        <w:t>.</w:t>
      </w:r>
    </w:p>
    <w:p w14:paraId="682CD0D2" w14:textId="5A977F11" w:rsidR="005E5363" w:rsidRPr="007E0FB5" w:rsidRDefault="005E5363" w:rsidP="005E5363">
      <w:pPr>
        <w:pStyle w:val="H1G"/>
      </w:pPr>
      <w:r>
        <w:rPr>
          <w:bCs/>
          <w:lang w:val="fr-FR"/>
        </w:rPr>
        <w:tab/>
        <w:t>B</w:t>
      </w:r>
      <w:r w:rsidR="007A599E" w:rsidRPr="007A599E">
        <w:rPr>
          <w:bCs/>
          <w:lang w:val="fr-FR"/>
        </w:rPr>
        <w:t>.</w:t>
      </w:r>
      <w:r>
        <w:rPr>
          <w:lang w:val="fr-FR"/>
        </w:rPr>
        <w:tab/>
      </w:r>
      <w:r>
        <w:rPr>
          <w:bCs/>
          <w:lang w:val="fr-FR"/>
        </w:rPr>
        <w:t>Recommandations/observations générales conjointes n</w:t>
      </w:r>
      <w:r>
        <w:rPr>
          <w:bCs/>
          <w:vertAlign w:val="superscript"/>
          <w:lang w:val="fr-FR"/>
        </w:rPr>
        <w:t>os</w:t>
      </w:r>
      <w:r>
        <w:rPr>
          <w:bCs/>
          <w:lang w:val="fr-FR"/>
        </w:rPr>
        <w:t xml:space="preserve"> 38 et 39 </w:t>
      </w:r>
      <w:r w:rsidR="001A2FE8">
        <w:rPr>
          <w:bCs/>
          <w:lang w:val="fr-FR"/>
        </w:rPr>
        <w:br/>
      </w:r>
      <w:r>
        <w:rPr>
          <w:bCs/>
          <w:lang w:val="fr-FR"/>
        </w:rPr>
        <w:t>du Comité pour l’élimination de la discrimination raciale et n</w:t>
      </w:r>
      <w:r>
        <w:rPr>
          <w:bCs/>
          <w:vertAlign w:val="superscript"/>
          <w:lang w:val="fr-FR"/>
        </w:rPr>
        <w:t>os</w:t>
      </w:r>
      <w:r>
        <w:rPr>
          <w:bCs/>
          <w:lang w:val="fr-FR"/>
        </w:rPr>
        <w:t xml:space="preserve"> 7 et 8 </w:t>
      </w:r>
      <w:r w:rsidR="001A2FE8">
        <w:rPr>
          <w:bCs/>
          <w:lang w:val="fr-FR"/>
        </w:rPr>
        <w:br/>
      </w:r>
      <w:r>
        <w:rPr>
          <w:bCs/>
          <w:lang w:val="fr-FR"/>
        </w:rPr>
        <w:t xml:space="preserve">du Comité pour la protection des droits de tous les travailleurs migrants et des membres de leur famille, portant sur l’élimination </w:t>
      </w:r>
      <w:r w:rsidR="001A2FE8">
        <w:rPr>
          <w:bCs/>
          <w:lang w:val="fr-FR"/>
        </w:rPr>
        <w:br/>
      </w:r>
      <w:r>
        <w:rPr>
          <w:bCs/>
          <w:lang w:val="fr-FR"/>
        </w:rPr>
        <w:t xml:space="preserve">de la xénophobie à l’égard des migrants et autres personnes </w:t>
      </w:r>
      <w:r w:rsidR="001A2FE8">
        <w:rPr>
          <w:bCs/>
          <w:lang w:val="fr-FR"/>
        </w:rPr>
        <w:br/>
      </w:r>
      <w:r>
        <w:rPr>
          <w:bCs/>
          <w:lang w:val="fr-FR"/>
        </w:rPr>
        <w:t>perçues comme telles</w:t>
      </w:r>
    </w:p>
    <w:p w14:paraId="1A53F862" w14:textId="4EB5C4F3" w:rsidR="005E5363" w:rsidRPr="007E0FB5" w:rsidRDefault="005E5363" w:rsidP="005E5363">
      <w:pPr>
        <w:pStyle w:val="SingleTxtG"/>
      </w:pPr>
      <w:r>
        <w:rPr>
          <w:lang w:val="fr-FR"/>
        </w:rPr>
        <w:t>109</w:t>
      </w:r>
      <w:r w:rsidR="007A599E" w:rsidRPr="007A599E">
        <w:rPr>
          <w:lang w:val="fr-FR"/>
        </w:rPr>
        <w:t>.</w:t>
      </w:r>
      <w:r>
        <w:rPr>
          <w:lang w:val="fr-FR"/>
        </w:rPr>
        <w:tab/>
        <w:t>À sa 113</w:t>
      </w:r>
      <w:r>
        <w:rPr>
          <w:vertAlign w:val="superscript"/>
          <w:lang w:val="fr-FR"/>
        </w:rPr>
        <w:t>e</w:t>
      </w:r>
      <w:r>
        <w:rPr>
          <w:lang w:val="fr-FR"/>
        </w:rPr>
        <w:t> session, le Comité a procédé à la première lecture des projets de recommandations/observations générales conjointes, sous la supervision du Rapporteur, M</w:t>
      </w:r>
      <w:r w:rsidR="007A599E" w:rsidRPr="007A599E">
        <w:rPr>
          <w:lang w:val="fr-FR"/>
        </w:rPr>
        <w:t>.</w:t>
      </w:r>
      <w:r>
        <w:rPr>
          <w:lang w:val="fr-FR"/>
        </w:rPr>
        <w:t> </w:t>
      </w:r>
      <w:proofErr w:type="spellStart"/>
      <w:r>
        <w:rPr>
          <w:lang w:val="fr-FR"/>
        </w:rPr>
        <w:t>Guissé</w:t>
      </w:r>
      <w:proofErr w:type="spellEnd"/>
      <w:r w:rsidR="007A599E" w:rsidRPr="007A599E">
        <w:rPr>
          <w:lang w:val="fr-FR"/>
        </w:rPr>
        <w:t>.</w:t>
      </w:r>
      <w:r>
        <w:rPr>
          <w:lang w:val="fr-FR"/>
        </w:rPr>
        <w:t xml:space="preserve"> Des projets révisés ont été établis, pour examen par le Comité à sa 114</w:t>
      </w:r>
      <w:r>
        <w:rPr>
          <w:vertAlign w:val="superscript"/>
          <w:lang w:val="fr-FR"/>
        </w:rPr>
        <w:t>e</w:t>
      </w:r>
      <w:r>
        <w:rPr>
          <w:lang w:val="fr-FR"/>
        </w:rPr>
        <w:t> session, sur la base des consultations mondiales, régionales et thématiques ayant réuni en présentiel des experts entre septembre et novembre 2024 à Genève, à Bangkok, à Bruxelles, à Dakar et à Panama ainsi qu’à Toronto (Canada) et au Texas (États-Unis)</w:t>
      </w:r>
      <w:r w:rsidR="007A599E" w:rsidRPr="007A599E">
        <w:rPr>
          <w:lang w:val="fr-FR"/>
        </w:rPr>
        <w:t>.</w:t>
      </w:r>
    </w:p>
    <w:p w14:paraId="226C9741" w14:textId="4B70D99A" w:rsidR="005E5363" w:rsidRPr="007E0FB5" w:rsidRDefault="005E5363" w:rsidP="005E5363">
      <w:pPr>
        <w:pStyle w:val="SingleTxtG"/>
      </w:pPr>
      <w:r>
        <w:rPr>
          <w:lang w:val="fr-FR"/>
        </w:rPr>
        <w:t>110</w:t>
      </w:r>
      <w:r w:rsidR="007A599E" w:rsidRPr="007A599E">
        <w:rPr>
          <w:lang w:val="fr-FR"/>
        </w:rPr>
        <w:t>.</w:t>
      </w:r>
      <w:r>
        <w:rPr>
          <w:lang w:val="fr-FR"/>
        </w:rPr>
        <w:tab/>
        <w:t>À sa 114</w:t>
      </w:r>
      <w:r>
        <w:rPr>
          <w:vertAlign w:val="superscript"/>
          <w:lang w:val="fr-FR"/>
        </w:rPr>
        <w:t>e</w:t>
      </w:r>
      <w:r>
        <w:rPr>
          <w:lang w:val="fr-FR"/>
        </w:rPr>
        <w:t> session, le Comité a tenu, outre deux séances privées consacrées à l’examen des projets, deux séances plénières conjointes avec le Comité pour la protection des droits de tous les travailleurs migrants et des membres de leur famille</w:t>
      </w:r>
      <w:r w:rsidR="007A599E" w:rsidRPr="007A599E">
        <w:rPr>
          <w:lang w:val="fr-FR"/>
        </w:rPr>
        <w:t>.</w:t>
      </w:r>
      <w:r>
        <w:rPr>
          <w:lang w:val="fr-FR"/>
        </w:rPr>
        <w:t xml:space="preserve"> Pendant la période intersessions, un groupe de travail a révisé les projets en tenant compte des débats tenus lors de ces séances</w:t>
      </w:r>
      <w:r w:rsidR="007A599E" w:rsidRPr="007A599E">
        <w:rPr>
          <w:lang w:val="fr-FR"/>
        </w:rPr>
        <w:t>.</w:t>
      </w:r>
    </w:p>
    <w:p w14:paraId="3AF34F50" w14:textId="1403F6B8" w:rsidR="005E5363" w:rsidRPr="007E0FB5" w:rsidRDefault="005E5363" w:rsidP="005E5363">
      <w:pPr>
        <w:pStyle w:val="SingleTxtG"/>
      </w:pPr>
      <w:r>
        <w:rPr>
          <w:lang w:val="fr-FR"/>
        </w:rPr>
        <w:t>111</w:t>
      </w:r>
      <w:r w:rsidR="007A599E" w:rsidRPr="007A599E">
        <w:rPr>
          <w:lang w:val="fr-FR"/>
        </w:rPr>
        <w:t>.</w:t>
      </w:r>
      <w:r>
        <w:rPr>
          <w:lang w:val="fr-FR"/>
        </w:rPr>
        <w:tab/>
        <w:t>À sa 115</w:t>
      </w:r>
      <w:r>
        <w:rPr>
          <w:vertAlign w:val="superscript"/>
          <w:lang w:val="fr-FR"/>
        </w:rPr>
        <w:t>e</w:t>
      </w:r>
      <w:r>
        <w:rPr>
          <w:lang w:val="fr-FR"/>
        </w:rPr>
        <w:t> session, le Comité a entamé une deuxième lecture des projets révisés</w:t>
      </w:r>
      <w:r w:rsidR="007A599E" w:rsidRPr="007A599E">
        <w:rPr>
          <w:lang w:val="fr-FR"/>
        </w:rPr>
        <w:t>.</w:t>
      </w:r>
      <w:r>
        <w:rPr>
          <w:lang w:val="fr-FR"/>
        </w:rPr>
        <w:t xml:space="preserve"> Pendant la période intersessions, un groupe de travail conjoint révisera à nouveau les projets conformément aux indications données par les deux Comités, afin que des versions révisées puissent être présentées aux Comités pour examen et adoption éventuelle en 2025</w:t>
      </w:r>
      <w:r w:rsidR="007A599E" w:rsidRPr="007A599E">
        <w:rPr>
          <w:lang w:val="fr-FR"/>
        </w:rPr>
        <w:t>.</w:t>
      </w:r>
    </w:p>
    <w:p w14:paraId="23367A78" w14:textId="23C9CD94" w:rsidR="005E5363" w:rsidRPr="007E0FB5" w:rsidRDefault="005E5363" w:rsidP="005E5363">
      <w:pPr>
        <w:pStyle w:val="H1G"/>
      </w:pPr>
      <w:r>
        <w:rPr>
          <w:bCs/>
          <w:lang w:val="fr-FR"/>
        </w:rPr>
        <w:tab/>
        <w:t>C</w:t>
      </w:r>
      <w:r w:rsidR="007A599E" w:rsidRPr="007A599E">
        <w:rPr>
          <w:bCs/>
          <w:lang w:val="fr-FR"/>
        </w:rPr>
        <w:t>.</w:t>
      </w:r>
      <w:r>
        <w:rPr>
          <w:lang w:val="fr-FR"/>
        </w:rPr>
        <w:tab/>
      </w:r>
      <w:r>
        <w:rPr>
          <w:bCs/>
          <w:lang w:val="fr-FR"/>
        </w:rPr>
        <w:t>Recommandation générale n</w:t>
      </w:r>
      <w:r>
        <w:rPr>
          <w:bCs/>
          <w:vertAlign w:val="superscript"/>
          <w:lang w:val="fr-FR"/>
        </w:rPr>
        <w:t>o</w:t>
      </w:r>
      <w:r>
        <w:rPr>
          <w:bCs/>
          <w:lang w:val="fr-FR"/>
        </w:rPr>
        <w:t xml:space="preserve"> 40 sur les </w:t>
      </w:r>
      <w:r w:rsidRPr="00F65294">
        <w:rPr>
          <w:bCs/>
          <w:lang w:val="fr-FR"/>
        </w:rPr>
        <w:t xml:space="preserve">réparations des injustices </w:t>
      </w:r>
      <w:r w:rsidR="001A2FE8">
        <w:rPr>
          <w:bCs/>
          <w:lang w:val="fr-FR"/>
        </w:rPr>
        <w:br/>
      </w:r>
      <w:r w:rsidRPr="00F65294">
        <w:rPr>
          <w:bCs/>
          <w:lang w:val="fr-FR"/>
        </w:rPr>
        <w:t xml:space="preserve">liées à la traite transatlantique des Africains réduits en esclavage </w:t>
      </w:r>
      <w:r w:rsidR="001A2FE8">
        <w:rPr>
          <w:bCs/>
          <w:lang w:val="fr-FR"/>
        </w:rPr>
        <w:br/>
      </w:r>
      <w:r w:rsidRPr="00F65294">
        <w:rPr>
          <w:bCs/>
          <w:lang w:val="fr-FR"/>
        </w:rPr>
        <w:t xml:space="preserve">et déshumanisés et sur les préjudices et crimes dont continuent </w:t>
      </w:r>
      <w:r w:rsidR="001A2FE8">
        <w:rPr>
          <w:bCs/>
          <w:lang w:val="fr-FR"/>
        </w:rPr>
        <w:br/>
      </w:r>
      <w:r w:rsidRPr="00F65294">
        <w:rPr>
          <w:bCs/>
          <w:lang w:val="fr-FR"/>
        </w:rPr>
        <w:t>d</w:t>
      </w:r>
      <w:r>
        <w:rPr>
          <w:bCs/>
          <w:lang w:val="fr-FR"/>
        </w:rPr>
        <w:t>’</w:t>
      </w:r>
      <w:r w:rsidRPr="00F65294">
        <w:rPr>
          <w:bCs/>
          <w:lang w:val="fr-FR"/>
        </w:rPr>
        <w:t>être victimes les personnes d</w:t>
      </w:r>
      <w:r>
        <w:rPr>
          <w:bCs/>
          <w:lang w:val="fr-FR"/>
        </w:rPr>
        <w:t>’</w:t>
      </w:r>
      <w:r w:rsidRPr="00F65294">
        <w:rPr>
          <w:bCs/>
          <w:lang w:val="fr-FR"/>
        </w:rPr>
        <w:t>ascendance africaine</w:t>
      </w:r>
    </w:p>
    <w:p w14:paraId="7C050F3A" w14:textId="45F0C668" w:rsidR="005E5363" w:rsidRPr="007E0FB5" w:rsidRDefault="005E5363" w:rsidP="005E5363">
      <w:pPr>
        <w:pStyle w:val="SingleTxtG"/>
      </w:pPr>
      <w:r>
        <w:rPr>
          <w:lang w:val="fr-FR"/>
        </w:rPr>
        <w:t>112</w:t>
      </w:r>
      <w:r w:rsidR="007A599E" w:rsidRPr="007A599E">
        <w:rPr>
          <w:lang w:val="fr-FR"/>
        </w:rPr>
        <w:t>.</w:t>
      </w:r>
      <w:r>
        <w:rPr>
          <w:lang w:val="fr-FR"/>
        </w:rPr>
        <w:tab/>
        <w:t>À sa 113</w:t>
      </w:r>
      <w:r>
        <w:rPr>
          <w:vertAlign w:val="superscript"/>
          <w:lang w:val="fr-FR"/>
        </w:rPr>
        <w:t>e</w:t>
      </w:r>
      <w:r>
        <w:rPr>
          <w:lang w:val="fr-FR"/>
        </w:rPr>
        <w:t> session, le Comité a décidé d’élaborer une nouvelle recommandation générale sur les réparations et a nommé M</w:t>
      </w:r>
      <w:r>
        <w:rPr>
          <w:vertAlign w:val="superscript"/>
          <w:lang w:val="fr-FR"/>
        </w:rPr>
        <w:t>me</w:t>
      </w:r>
      <w:r>
        <w:rPr>
          <w:lang w:val="fr-FR"/>
        </w:rPr>
        <w:t> McDougall Rapporteuse</w:t>
      </w:r>
      <w:r w:rsidR="007A599E" w:rsidRPr="007A599E">
        <w:rPr>
          <w:lang w:val="fr-FR"/>
        </w:rPr>
        <w:t>.</w:t>
      </w:r>
    </w:p>
    <w:p w14:paraId="692628C4" w14:textId="14F7D160" w:rsidR="005E5363" w:rsidRPr="007E0FB5" w:rsidRDefault="005E5363" w:rsidP="005E5363">
      <w:pPr>
        <w:pStyle w:val="SingleTxtG"/>
      </w:pPr>
      <w:r>
        <w:rPr>
          <w:lang w:val="fr-FR"/>
        </w:rPr>
        <w:t>113</w:t>
      </w:r>
      <w:r w:rsidR="007A599E" w:rsidRPr="007A599E">
        <w:rPr>
          <w:lang w:val="fr-FR"/>
        </w:rPr>
        <w:t>.</w:t>
      </w:r>
      <w:r>
        <w:rPr>
          <w:lang w:val="fr-FR"/>
        </w:rPr>
        <w:tab/>
        <w:t>À la 114</w:t>
      </w:r>
      <w:r>
        <w:rPr>
          <w:vertAlign w:val="superscript"/>
          <w:lang w:val="fr-FR"/>
        </w:rPr>
        <w:t>e</w:t>
      </w:r>
      <w:r>
        <w:rPr>
          <w:lang w:val="fr-FR"/>
        </w:rPr>
        <w:t> session, M</w:t>
      </w:r>
      <w:r>
        <w:rPr>
          <w:vertAlign w:val="superscript"/>
          <w:lang w:val="fr-FR"/>
        </w:rPr>
        <w:t>me</w:t>
      </w:r>
      <w:r>
        <w:rPr>
          <w:lang w:val="fr-FR"/>
        </w:rPr>
        <w:t> McDougall a mené un débat pour circonscrire le cadre juridique et la portée de la recommandation générale</w:t>
      </w:r>
      <w:r w:rsidR="007A599E" w:rsidRPr="007A599E">
        <w:rPr>
          <w:lang w:val="fr-FR"/>
        </w:rPr>
        <w:t>.</w:t>
      </w:r>
      <w:r>
        <w:rPr>
          <w:lang w:val="fr-FR"/>
        </w:rPr>
        <w:t xml:space="preserve"> Elle a insisté sur l’importance capitale de la Convention dans le droit international régissant l’élimination de la discrimination raciale et souligné que la recommandation générale devait préciser l’interprétation faite par le Comité des </w:t>
      </w:r>
      <w:r w:rsidRPr="00195A45">
        <w:rPr>
          <w:lang w:val="fr-FR"/>
        </w:rPr>
        <w:t>obligations que la Convention impo</w:t>
      </w:r>
      <w:r>
        <w:rPr>
          <w:lang w:val="fr-FR"/>
        </w:rPr>
        <w:t>sait</w:t>
      </w:r>
      <w:r w:rsidRPr="00195A45">
        <w:rPr>
          <w:lang w:val="fr-FR"/>
        </w:rPr>
        <w:t xml:space="preserve"> aux États en matière de réparation</w:t>
      </w:r>
      <w:r w:rsidR="007A599E" w:rsidRPr="007A599E">
        <w:rPr>
          <w:lang w:val="fr-FR"/>
        </w:rPr>
        <w:t>.</w:t>
      </w:r>
      <w:r>
        <w:rPr>
          <w:lang w:val="fr-FR"/>
        </w:rPr>
        <w:t xml:space="preserve"> Le Comité a décidé d’entamer les travaux préliminaires en lançant un appel à contributions</w:t>
      </w:r>
      <w:r w:rsidRPr="00803B71">
        <w:rPr>
          <w:rStyle w:val="Appelnotedebasdep"/>
        </w:rPr>
        <w:footnoteReference w:id="45"/>
      </w:r>
      <w:r w:rsidR="007A599E" w:rsidRPr="007A599E">
        <w:rPr>
          <w:lang w:val="fr-FR"/>
        </w:rPr>
        <w:t>.</w:t>
      </w:r>
    </w:p>
    <w:p w14:paraId="77F6DB6A" w14:textId="1671D226" w:rsidR="005E5363" w:rsidRPr="007E0FB5" w:rsidRDefault="005E5363" w:rsidP="005E5363">
      <w:pPr>
        <w:pStyle w:val="SingleTxtG"/>
      </w:pPr>
      <w:r>
        <w:rPr>
          <w:lang w:val="fr-FR"/>
        </w:rPr>
        <w:t>114</w:t>
      </w:r>
      <w:r w:rsidR="007A599E" w:rsidRPr="007A599E">
        <w:rPr>
          <w:lang w:val="fr-FR"/>
        </w:rPr>
        <w:t>.</w:t>
      </w:r>
      <w:r>
        <w:rPr>
          <w:lang w:val="fr-FR"/>
        </w:rPr>
        <w:tab/>
        <w:t>À sa 115</w:t>
      </w:r>
      <w:r>
        <w:rPr>
          <w:vertAlign w:val="superscript"/>
          <w:lang w:val="fr-FR"/>
        </w:rPr>
        <w:t>e</w:t>
      </w:r>
      <w:r>
        <w:rPr>
          <w:lang w:val="fr-FR"/>
        </w:rPr>
        <w:t> session, le Comité a amorcé l’élaboration de sa recommandation générale sur les réparations en tenant une demi-journée de débat général, à laquelle ont participé de nombreuses parties prenantes, dont des États et des organisations de la société civile</w:t>
      </w:r>
      <w:r w:rsidR="007A599E" w:rsidRPr="007A599E">
        <w:rPr>
          <w:lang w:val="fr-FR"/>
        </w:rPr>
        <w:t>.</w:t>
      </w:r>
      <w:r>
        <w:rPr>
          <w:lang w:val="fr-FR"/>
        </w:rPr>
        <w:t xml:space="preserve"> </w:t>
      </w:r>
      <w:r>
        <w:rPr>
          <w:lang w:val="fr-FR"/>
        </w:rPr>
        <w:lastRenderedPageBreak/>
        <w:t>Destinée à nourrir le débat et à compléter les informations reçues grâce à l’appel à contributions, la demi-journée de débat général s’est articulée autour de deux tables rondes sur les thèmes ci-après : « Réparations et droit international : cadres juridiques, obligations et mécanismes d’application » et « L’héritage de l’esclavage : racisme structurel et responsabilité institutionnelle »</w:t>
      </w:r>
      <w:r w:rsidRPr="00803B71">
        <w:rPr>
          <w:rStyle w:val="Appelnotedebasdep"/>
        </w:rPr>
        <w:footnoteReference w:id="46"/>
      </w:r>
      <w:r w:rsidR="007A599E" w:rsidRPr="007A599E">
        <w:rPr>
          <w:lang w:val="fr-FR"/>
        </w:rPr>
        <w:t>.</w:t>
      </w:r>
    </w:p>
    <w:p w14:paraId="544C6725" w14:textId="3169C391" w:rsidR="005E5363" w:rsidRPr="007A599E" w:rsidRDefault="005E5363" w:rsidP="005E5363">
      <w:pPr>
        <w:pStyle w:val="SingleTxtG"/>
      </w:pPr>
      <w:r>
        <w:rPr>
          <w:lang w:val="fr-FR"/>
        </w:rPr>
        <w:t>115</w:t>
      </w:r>
      <w:r w:rsidR="007A599E" w:rsidRPr="007A599E">
        <w:rPr>
          <w:lang w:val="fr-FR"/>
        </w:rPr>
        <w:t>.</w:t>
      </w:r>
      <w:r>
        <w:rPr>
          <w:lang w:val="fr-FR"/>
        </w:rPr>
        <w:tab/>
        <w:t>Sur la base des contributions reçues et de la demi-journée de débat général, le Comité a commencé à élaborer un premier projet de recommandation générale, en vue de son éventuelle adoption en 2025</w:t>
      </w:r>
      <w:r w:rsidR="007A599E" w:rsidRPr="007A599E">
        <w:rPr>
          <w:lang w:val="fr-FR"/>
        </w:rPr>
        <w:t>.</w:t>
      </w:r>
    </w:p>
    <w:p w14:paraId="121DD72D" w14:textId="77777777" w:rsidR="005E5363" w:rsidRPr="007E0FB5" w:rsidRDefault="005E5363" w:rsidP="005E5363">
      <w:pPr>
        <w:pStyle w:val="SingleTxtG"/>
        <w:rPr>
          <w:rFonts w:eastAsia="Times New Roman"/>
          <w:sz w:val="28"/>
        </w:rPr>
      </w:pPr>
      <w:bookmarkStart w:id="170" w:name="_Toc17361312"/>
      <w:bookmarkStart w:id="171" w:name="_Toc48752338"/>
      <w:bookmarkStart w:id="172" w:name="_Toc48816890"/>
      <w:r w:rsidRPr="007E0FB5">
        <w:br w:type="page"/>
      </w:r>
    </w:p>
    <w:p w14:paraId="1DD49FEF" w14:textId="76A9789F" w:rsidR="005E5363" w:rsidRPr="007E0FB5" w:rsidRDefault="005E5363" w:rsidP="005E5363">
      <w:pPr>
        <w:pStyle w:val="HChG"/>
      </w:pPr>
      <w:r>
        <w:rPr>
          <w:bCs/>
          <w:lang w:val="fr-FR"/>
        </w:rPr>
        <w:lastRenderedPageBreak/>
        <w:tab/>
        <w:t>XI</w:t>
      </w:r>
      <w:r w:rsidR="007A599E" w:rsidRPr="007A599E">
        <w:rPr>
          <w:bCs/>
          <w:lang w:val="fr-FR"/>
        </w:rPr>
        <w:t>.</w:t>
      </w:r>
      <w:r>
        <w:rPr>
          <w:lang w:val="fr-FR"/>
        </w:rPr>
        <w:tab/>
      </w:r>
      <w:r>
        <w:rPr>
          <w:bCs/>
          <w:lang w:val="fr-FR"/>
        </w:rPr>
        <w:t>Examen des copies de pétitions, des copies de rapports et d’autres renseignements relatifs aux territoires sous tutelle, aux territoires non autonomes et à tous les autres territoires auxquels s’applique la résolution 1514 (XV) de l’Assemblée générale, conformément à l’article 15 de la Convention</w:t>
      </w:r>
      <w:bookmarkStart w:id="173" w:name="_Toc81563242"/>
      <w:bookmarkStart w:id="174" w:name="_Toc113263050"/>
      <w:bookmarkStart w:id="175" w:name="_Toc176248863"/>
      <w:bookmarkStart w:id="176" w:name="_Hlk143879979"/>
      <w:bookmarkEnd w:id="170"/>
      <w:bookmarkEnd w:id="171"/>
      <w:bookmarkEnd w:id="172"/>
      <w:bookmarkEnd w:id="173"/>
      <w:bookmarkEnd w:id="174"/>
      <w:bookmarkEnd w:id="175"/>
      <w:bookmarkEnd w:id="176"/>
    </w:p>
    <w:p w14:paraId="01084B5A" w14:textId="5632D819" w:rsidR="005E5363" w:rsidRPr="007E0FB5" w:rsidRDefault="005E5363" w:rsidP="005E5363">
      <w:pPr>
        <w:pStyle w:val="SingleTxtG"/>
      </w:pPr>
      <w:r>
        <w:rPr>
          <w:lang w:val="fr-FR"/>
        </w:rPr>
        <w:t>116</w:t>
      </w:r>
      <w:r w:rsidR="007A599E" w:rsidRPr="007A599E">
        <w:rPr>
          <w:lang w:val="fr-FR"/>
        </w:rPr>
        <w:t>.</w:t>
      </w:r>
      <w:r>
        <w:rPr>
          <w:lang w:val="fr-FR"/>
        </w:rPr>
        <w:tab/>
        <w:t>En vertu de l’article 15 de la Convention, le Comité est habilité à examiner des copies de pétitions et de rapports et d’autres renseignements relatifs aux territoires sous tutelle, aux territoires non autonomes et à tous les autres territoires auxquels s’applique la résolution 1514 (XV) de l’Assemblée générale, qui lui sont transmis par les organes compétents de l’Organisation des Nations Unies, et à soumettre à l’Assemblée générale son opinion et ses recommandations à cet égard</w:t>
      </w:r>
      <w:r w:rsidR="007A599E" w:rsidRPr="007A599E">
        <w:rPr>
          <w:lang w:val="fr-FR"/>
        </w:rPr>
        <w:t>.</w:t>
      </w:r>
    </w:p>
    <w:p w14:paraId="363F5FA9" w14:textId="6DBE1F6D" w:rsidR="005E5363" w:rsidRPr="007E0FB5" w:rsidRDefault="005E5363" w:rsidP="005E5363">
      <w:pPr>
        <w:pStyle w:val="SingleTxtG"/>
      </w:pPr>
      <w:r>
        <w:rPr>
          <w:lang w:val="fr-FR"/>
        </w:rPr>
        <w:t>117</w:t>
      </w:r>
      <w:r w:rsidR="007A599E" w:rsidRPr="007A599E">
        <w:rPr>
          <w:lang w:val="fr-FR"/>
        </w:rPr>
        <w:t>.</w:t>
      </w:r>
      <w:r>
        <w:rPr>
          <w:lang w:val="fr-FR"/>
        </w:rPr>
        <w:tab/>
        <w:t>En conséquence, à la demande du Comité, le Coordonnateur pour les questions relevant de l’article 15 de la Convention, M</w:t>
      </w:r>
      <w:r w:rsidR="007A599E" w:rsidRPr="007A599E">
        <w:rPr>
          <w:lang w:val="fr-FR"/>
        </w:rPr>
        <w:t>.</w:t>
      </w:r>
      <w:r>
        <w:rPr>
          <w:lang w:val="fr-FR"/>
        </w:rPr>
        <w:t> </w:t>
      </w:r>
      <w:proofErr w:type="spellStart"/>
      <w:r>
        <w:rPr>
          <w:lang w:val="fr-FR"/>
        </w:rPr>
        <w:t>Sibande</w:t>
      </w:r>
      <w:proofErr w:type="spellEnd"/>
      <w:r>
        <w:rPr>
          <w:lang w:val="fr-FR"/>
        </w:rPr>
        <w:t>, a examiné le rapport de 2024 du Comité spécial chargé d’étudier la situation en ce qui concerne l’application de la Déclaration sur l’octroi de l’indépendance aux pays et aux peuples coloniaux (</w:t>
      </w:r>
      <w:hyperlink r:id="rId115" w:history="1">
        <w:r w:rsidRPr="00803B71">
          <w:rPr>
            <w:rStyle w:val="Lienhypertexte"/>
            <w:lang w:val="fr-FR"/>
          </w:rPr>
          <w:t>A/79/23</w:t>
        </w:r>
      </w:hyperlink>
      <w:r>
        <w:rPr>
          <w:lang w:val="fr-FR"/>
        </w:rPr>
        <w:t>) ainsi que des copies de documents de travail portant sur 17 territoires</w:t>
      </w:r>
      <w:r w:rsidRPr="00803B71">
        <w:rPr>
          <w:rStyle w:val="Appelnotedebasdep"/>
        </w:rPr>
        <w:footnoteReference w:id="47"/>
      </w:r>
      <w:r>
        <w:rPr>
          <w:lang w:val="fr-FR"/>
        </w:rPr>
        <w:t xml:space="preserve"> établis par le Secrétariat pour le Comité spécial (voir </w:t>
      </w:r>
      <w:hyperlink r:id="rId116" w:history="1">
        <w:r w:rsidRPr="00803B71">
          <w:rPr>
            <w:rStyle w:val="Lienhypertexte"/>
            <w:lang w:val="fr-FR"/>
          </w:rPr>
          <w:t>CERD/C/115/3</w:t>
        </w:r>
      </w:hyperlink>
      <w:r>
        <w:rPr>
          <w:lang w:val="fr-FR"/>
        </w:rPr>
        <w:t>), et présenté son rapport au Comité à la 115</w:t>
      </w:r>
      <w:r>
        <w:rPr>
          <w:vertAlign w:val="superscript"/>
          <w:lang w:val="fr-FR"/>
        </w:rPr>
        <w:t>e</w:t>
      </w:r>
      <w:r>
        <w:rPr>
          <w:lang w:val="fr-FR"/>
        </w:rPr>
        <w:t> session, en mai 2025</w:t>
      </w:r>
      <w:r w:rsidR="007A599E" w:rsidRPr="007A599E">
        <w:rPr>
          <w:lang w:val="fr-FR"/>
        </w:rPr>
        <w:t>.</w:t>
      </w:r>
      <w:hyperlink r:id="rId117" w:history="1"/>
      <w:hyperlink r:id="rId118" w:history="1"/>
    </w:p>
    <w:p w14:paraId="3845B76E" w14:textId="0461E1CB" w:rsidR="005E5363" w:rsidRPr="007E0FB5" w:rsidRDefault="005E5363" w:rsidP="005E5363">
      <w:pPr>
        <w:pStyle w:val="SingleTxtG"/>
      </w:pPr>
      <w:r>
        <w:rPr>
          <w:lang w:val="fr-FR"/>
        </w:rPr>
        <w:t>118</w:t>
      </w:r>
      <w:r w:rsidR="007A599E" w:rsidRPr="007A599E">
        <w:rPr>
          <w:lang w:val="fr-FR"/>
        </w:rPr>
        <w:t>.</w:t>
      </w:r>
      <w:r>
        <w:rPr>
          <w:lang w:val="fr-FR"/>
        </w:rPr>
        <w:tab/>
        <w:t>Le Comité relève que, depuis son précédent rapport, aucun des 17 territoires non autonomes n’est devenu indépendant</w:t>
      </w:r>
      <w:r w:rsidR="007A599E" w:rsidRPr="007A599E">
        <w:rPr>
          <w:lang w:val="fr-FR"/>
        </w:rPr>
        <w:t>.</w:t>
      </w:r>
    </w:p>
    <w:p w14:paraId="659ABE84" w14:textId="561D16EE" w:rsidR="005E5363" w:rsidRPr="007E0FB5" w:rsidRDefault="005E5363" w:rsidP="005E5363">
      <w:pPr>
        <w:pStyle w:val="SingleTxtG"/>
      </w:pPr>
      <w:r>
        <w:rPr>
          <w:lang w:val="fr-FR"/>
        </w:rPr>
        <w:t>119</w:t>
      </w:r>
      <w:r w:rsidR="007A599E" w:rsidRPr="007A599E">
        <w:rPr>
          <w:lang w:val="fr-FR"/>
        </w:rPr>
        <w:t>.</w:t>
      </w:r>
      <w:r>
        <w:rPr>
          <w:lang w:val="fr-FR"/>
        </w:rPr>
        <w:tab/>
        <w:t xml:space="preserve">Le Comité a noté que, dans ces territoires, plusieurs problèmes relatifs aux droits de l’homme entravaient le plein exercice de tous les droits consacrés par la Convention, en particulier dans les sphères administrative, législative, judiciaire et </w:t>
      </w:r>
      <w:proofErr w:type="spellStart"/>
      <w:r>
        <w:rPr>
          <w:lang w:val="fr-FR"/>
        </w:rPr>
        <w:t>socioéconomique</w:t>
      </w:r>
      <w:proofErr w:type="spellEnd"/>
      <w:r w:rsidR="007A599E" w:rsidRPr="007A599E">
        <w:rPr>
          <w:lang w:val="fr-FR"/>
        </w:rPr>
        <w:t>.</w:t>
      </w:r>
      <w:r>
        <w:rPr>
          <w:lang w:val="fr-FR"/>
        </w:rPr>
        <w:t xml:space="preserve"> Il en entretiendra les États Parties chargés d’administrer les territoires concernés au cours de l’examen de leurs rapports soumis en application de la Convention</w:t>
      </w:r>
      <w:r w:rsidR="007A599E" w:rsidRPr="007A599E">
        <w:rPr>
          <w:lang w:val="fr-FR"/>
        </w:rPr>
        <w:t>.</w:t>
      </w:r>
      <w:r>
        <w:rPr>
          <w:lang w:val="fr-FR"/>
        </w:rPr>
        <w:t xml:space="preserve"> Il se félicite que la plupart des puissances </w:t>
      </w:r>
      <w:proofErr w:type="spellStart"/>
      <w:r>
        <w:rPr>
          <w:lang w:val="fr-FR"/>
        </w:rPr>
        <w:t>administrantes</w:t>
      </w:r>
      <w:proofErr w:type="spellEnd"/>
      <w:r>
        <w:rPr>
          <w:lang w:val="fr-FR"/>
        </w:rPr>
        <w:t xml:space="preserve"> se soient engagées à garantir les droits humains des populations placées sous leur juridiction, en particulier le droit à l’</w:t>
      </w:r>
      <w:proofErr w:type="spellStart"/>
      <w:r>
        <w:rPr>
          <w:lang w:val="fr-FR"/>
        </w:rPr>
        <w:t>autodétermination</w:t>
      </w:r>
      <w:proofErr w:type="spellEnd"/>
      <w:r w:rsidR="007A599E" w:rsidRPr="007A599E">
        <w:rPr>
          <w:lang w:val="fr-FR"/>
        </w:rPr>
        <w:t>.</w:t>
      </w:r>
    </w:p>
    <w:p w14:paraId="7C8BB9B2" w14:textId="2C18A542" w:rsidR="005E5363" w:rsidRPr="007E0FB5" w:rsidRDefault="005E5363" w:rsidP="005E5363">
      <w:pPr>
        <w:pStyle w:val="SingleTxtG"/>
      </w:pPr>
      <w:r>
        <w:rPr>
          <w:lang w:val="fr-FR"/>
        </w:rPr>
        <w:t>120</w:t>
      </w:r>
      <w:r w:rsidR="007A599E" w:rsidRPr="007A599E">
        <w:rPr>
          <w:lang w:val="fr-FR"/>
        </w:rPr>
        <w:t>.</w:t>
      </w:r>
      <w:r>
        <w:rPr>
          <w:lang w:val="fr-FR"/>
        </w:rPr>
        <w:tab/>
        <w:t xml:space="preserve">Le Comité demande aux puissances </w:t>
      </w:r>
      <w:proofErr w:type="spellStart"/>
      <w:r>
        <w:rPr>
          <w:lang w:val="fr-FR"/>
        </w:rPr>
        <w:t>administrantes</w:t>
      </w:r>
      <w:proofErr w:type="spellEnd"/>
      <w:r>
        <w:rPr>
          <w:lang w:val="fr-FR"/>
        </w:rPr>
        <w:t xml:space="preserve"> de redoubler d’efforts pour lutter contre les inégalités </w:t>
      </w:r>
      <w:proofErr w:type="spellStart"/>
      <w:r>
        <w:rPr>
          <w:lang w:val="fr-FR"/>
        </w:rPr>
        <w:t>socioéconomiques</w:t>
      </w:r>
      <w:proofErr w:type="spellEnd"/>
      <w:r>
        <w:rPr>
          <w:lang w:val="fr-FR"/>
        </w:rPr>
        <w:t xml:space="preserve"> dans les territoires non autonomes, en particulier les territoires situés dans les Caraïbes, la Polynésie française et Guam, qui subissent les conséquences de la crise climatique, de l’exploitation minière et des exercices militaires</w:t>
      </w:r>
      <w:r w:rsidR="007A599E" w:rsidRPr="007A599E">
        <w:rPr>
          <w:lang w:val="fr-FR"/>
        </w:rPr>
        <w:t>.</w:t>
      </w:r>
      <w:r>
        <w:rPr>
          <w:lang w:val="fr-FR"/>
        </w:rPr>
        <w:t xml:space="preserve"> Il s’associe aux appels lancés aux puissances </w:t>
      </w:r>
      <w:proofErr w:type="spellStart"/>
      <w:r>
        <w:rPr>
          <w:lang w:val="fr-FR"/>
        </w:rPr>
        <w:t>administrantes</w:t>
      </w:r>
      <w:proofErr w:type="spellEnd"/>
      <w:r>
        <w:rPr>
          <w:lang w:val="fr-FR"/>
        </w:rPr>
        <w:t xml:space="preserve"> concernées pour régler la question du statut politique de Gibraltar, des Îles Falkland (Malvinas) et du Sahara occidental</w:t>
      </w:r>
      <w:r w:rsidR="007A599E" w:rsidRPr="007A599E">
        <w:rPr>
          <w:lang w:val="fr-FR"/>
        </w:rPr>
        <w:t>.</w:t>
      </w:r>
    </w:p>
    <w:p w14:paraId="175FE983" w14:textId="5E33E64A" w:rsidR="005E5363" w:rsidRPr="007E0FB5" w:rsidRDefault="005E5363" w:rsidP="005E5363">
      <w:pPr>
        <w:pStyle w:val="SingleTxtG"/>
      </w:pPr>
      <w:r>
        <w:rPr>
          <w:lang w:val="fr-FR"/>
        </w:rPr>
        <w:t>121</w:t>
      </w:r>
      <w:r w:rsidR="007A599E" w:rsidRPr="007A599E">
        <w:rPr>
          <w:lang w:val="fr-FR"/>
        </w:rPr>
        <w:t>.</w:t>
      </w:r>
      <w:r>
        <w:rPr>
          <w:lang w:val="fr-FR"/>
        </w:rPr>
        <w:tab/>
        <w:t xml:space="preserve">Le Comité préconise d’étendre la protection des droits de l’homme aux territoires non autonomes et d’appliquer la Convention dans ces territoires de façon plus cohérente et demande instamment aux puissances </w:t>
      </w:r>
      <w:proofErr w:type="spellStart"/>
      <w:r>
        <w:rPr>
          <w:lang w:val="fr-FR"/>
        </w:rPr>
        <w:t>administrantes</w:t>
      </w:r>
      <w:proofErr w:type="spellEnd"/>
      <w:r>
        <w:rPr>
          <w:lang w:val="fr-FR"/>
        </w:rPr>
        <w:t xml:space="preserve"> d’enquêter sur les plaintes relatives à des cas de discrimination raciale dans leurs relations avec les territoires non autonomes, en particulier les Samoa américaines, Guam et les territoires britanniques d’outre-mer, et de donner suite à ces plaintes</w:t>
      </w:r>
      <w:r w:rsidR="007A599E" w:rsidRPr="007A599E">
        <w:rPr>
          <w:lang w:val="fr-FR"/>
        </w:rPr>
        <w:t>.</w:t>
      </w:r>
    </w:p>
    <w:p w14:paraId="558E0634" w14:textId="7D34E1B0" w:rsidR="005E5363" w:rsidRPr="007E0FB5" w:rsidRDefault="005E5363" w:rsidP="005E5363">
      <w:pPr>
        <w:pStyle w:val="SingleTxtG"/>
      </w:pPr>
      <w:r>
        <w:rPr>
          <w:lang w:val="fr-FR"/>
        </w:rPr>
        <w:t>122</w:t>
      </w:r>
      <w:r w:rsidR="007A599E" w:rsidRPr="007A599E">
        <w:rPr>
          <w:lang w:val="fr-FR"/>
        </w:rPr>
        <w:t>.</w:t>
      </w:r>
      <w:r>
        <w:rPr>
          <w:lang w:val="fr-FR"/>
        </w:rPr>
        <w:tab/>
        <w:t>Le Comité rappelle que le droit à l’</w:t>
      </w:r>
      <w:proofErr w:type="spellStart"/>
      <w:r>
        <w:rPr>
          <w:lang w:val="fr-FR"/>
        </w:rPr>
        <w:t>autodétermination</w:t>
      </w:r>
      <w:proofErr w:type="spellEnd"/>
      <w:r>
        <w:rPr>
          <w:lang w:val="fr-FR"/>
        </w:rPr>
        <w:t xml:space="preserve"> est un droit inaliénable des peuples des territoires non autonomes, qui demeure le principe fondamental en matière de décolonisation et un droit de l’homme capital consacré par la Charte des Nations Unies, les instruments pertinents relatifs aux droits de l’homme, la Charte des Nations Unies et la Déclaration sur l’octroi de l’indépendance aux pays et aux peuples coloniaux</w:t>
      </w:r>
      <w:r w:rsidR="007A599E" w:rsidRPr="007A599E">
        <w:rPr>
          <w:lang w:val="fr-FR"/>
        </w:rPr>
        <w:t>.</w:t>
      </w:r>
    </w:p>
    <w:bookmarkEnd w:id="169"/>
    <w:p w14:paraId="4490DAE6" w14:textId="77777777" w:rsidR="005E5363" w:rsidRPr="007E0FB5" w:rsidRDefault="005E5363" w:rsidP="005E5363">
      <w:pPr>
        <w:pStyle w:val="SingleTxtG"/>
      </w:pPr>
      <w:r w:rsidRPr="007E0FB5">
        <w:br w:type="page"/>
      </w:r>
    </w:p>
    <w:p w14:paraId="042A7383" w14:textId="0A5867C6" w:rsidR="005E5363" w:rsidRPr="007E0FB5" w:rsidRDefault="005E5363" w:rsidP="005E5363">
      <w:pPr>
        <w:pStyle w:val="HChG"/>
      </w:pPr>
      <w:r>
        <w:rPr>
          <w:bCs/>
          <w:lang w:val="fr-FR"/>
        </w:rPr>
        <w:lastRenderedPageBreak/>
        <w:tab/>
        <w:t>XII</w:t>
      </w:r>
      <w:r w:rsidR="007A599E" w:rsidRPr="007A599E">
        <w:rPr>
          <w:bCs/>
          <w:lang w:val="fr-FR"/>
        </w:rPr>
        <w:t>.</w:t>
      </w:r>
      <w:r>
        <w:rPr>
          <w:lang w:val="fr-FR"/>
        </w:rPr>
        <w:tab/>
      </w:r>
      <w:r>
        <w:rPr>
          <w:bCs/>
          <w:lang w:val="fr-FR"/>
        </w:rPr>
        <w:t>Représailles</w:t>
      </w:r>
      <w:bookmarkStart w:id="177" w:name="_Toc176248198"/>
      <w:bookmarkStart w:id="178" w:name="_Toc176248864"/>
      <w:bookmarkEnd w:id="177"/>
      <w:bookmarkEnd w:id="178"/>
    </w:p>
    <w:p w14:paraId="6B9E26C7" w14:textId="619CB997" w:rsidR="005E5363" w:rsidRPr="007E0FB5" w:rsidRDefault="005E5363" w:rsidP="005E5363">
      <w:pPr>
        <w:pStyle w:val="SingleTxtG"/>
      </w:pPr>
      <w:r>
        <w:rPr>
          <w:lang w:val="fr-FR"/>
        </w:rPr>
        <w:t>123</w:t>
      </w:r>
      <w:r w:rsidR="007A599E" w:rsidRPr="007A599E">
        <w:rPr>
          <w:lang w:val="fr-FR"/>
        </w:rPr>
        <w:t>.</w:t>
      </w:r>
      <w:r>
        <w:rPr>
          <w:lang w:val="fr-FR"/>
        </w:rPr>
        <w:tab/>
        <w:t>Le Comité mène une politique de tolérance zéro à l’égard des actes d’intimidation et des représailles et a adopté des orientations sur les mesures qu’il prendra à cet égard</w:t>
      </w:r>
      <w:r w:rsidR="007A599E" w:rsidRPr="007A599E">
        <w:rPr>
          <w:lang w:val="fr-FR"/>
        </w:rPr>
        <w:t>.</w:t>
      </w:r>
      <w:r>
        <w:rPr>
          <w:lang w:val="fr-FR"/>
        </w:rPr>
        <w:t xml:space="preserve"> À sa 112</w:t>
      </w:r>
      <w:r>
        <w:rPr>
          <w:vertAlign w:val="superscript"/>
          <w:lang w:val="fr-FR"/>
        </w:rPr>
        <w:t>e</w:t>
      </w:r>
      <w:r>
        <w:rPr>
          <w:lang w:val="fr-FR"/>
        </w:rPr>
        <w:t> session, il a nommé M</w:t>
      </w:r>
      <w:r w:rsidR="007A599E" w:rsidRPr="007A599E">
        <w:rPr>
          <w:lang w:val="fr-FR"/>
        </w:rPr>
        <w:t>.</w:t>
      </w:r>
      <w:r>
        <w:rPr>
          <w:lang w:val="fr-FR"/>
        </w:rPr>
        <w:t> Diaby Coordonnateur chargé de la question des représailles</w:t>
      </w:r>
      <w:r w:rsidR="007A599E" w:rsidRPr="007A599E">
        <w:rPr>
          <w:lang w:val="fr-FR"/>
        </w:rPr>
        <w:t>.</w:t>
      </w:r>
    </w:p>
    <w:p w14:paraId="2D42975B" w14:textId="41092BD2" w:rsidR="005E5363" w:rsidRPr="007E0FB5" w:rsidRDefault="005E5363" w:rsidP="005E5363">
      <w:pPr>
        <w:pStyle w:val="SingleTxtG"/>
      </w:pPr>
      <w:r>
        <w:rPr>
          <w:lang w:val="fr-FR"/>
        </w:rPr>
        <w:t>124</w:t>
      </w:r>
      <w:r w:rsidR="007A599E" w:rsidRPr="007A599E">
        <w:rPr>
          <w:lang w:val="fr-FR"/>
        </w:rPr>
        <w:t>.</w:t>
      </w:r>
      <w:r>
        <w:rPr>
          <w:lang w:val="fr-FR"/>
        </w:rPr>
        <w:tab/>
        <w:t>Dans ses observations finales concernant le rapport de la République bolivarienne du Venezuela valant vingt-deuxième à vingt-quatrième rapports périodiques (</w:t>
      </w:r>
      <w:hyperlink r:id="rId119" w:history="1">
        <w:r w:rsidRPr="00803B71">
          <w:rPr>
            <w:rStyle w:val="Lienhypertexte"/>
            <w:lang w:val="fr-FR"/>
          </w:rPr>
          <w:t>CERD/C/VEN/CO/22-24</w:t>
        </w:r>
      </w:hyperlink>
      <w:r>
        <w:rPr>
          <w:lang w:val="fr-FR"/>
        </w:rPr>
        <w:t>), adoptées à sa 113</w:t>
      </w:r>
      <w:r>
        <w:rPr>
          <w:vertAlign w:val="superscript"/>
          <w:lang w:val="fr-FR"/>
        </w:rPr>
        <w:t>e</w:t>
      </w:r>
      <w:r>
        <w:rPr>
          <w:lang w:val="fr-FR"/>
        </w:rPr>
        <w:t> session, le Comité a pris note avec préoccupation des informations selon lesquelles des représentants d’organisations de la société civile et des défenseurs des droits de l’homme avaient fait l’objet d’intimidations et de représailles, ce qui avait eu pour effet de les décourager de participer à ses séances</w:t>
      </w:r>
      <w:r w:rsidR="007A599E" w:rsidRPr="007A599E">
        <w:rPr>
          <w:lang w:val="fr-FR"/>
        </w:rPr>
        <w:t>.</w:t>
      </w:r>
      <w:r>
        <w:rPr>
          <w:lang w:val="fr-FR"/>
        </w:rPr>
        <w:t xml:space="preserve"> En particulier, le Comité s’est dit vivement préoccupé par les allégations selon lesquelles, le 3 août 2024, </w:t>
      </w:r>
      <w:proofErr w:type="spellStart"/>
      <w:r>
        <w:rPr>
          <w:lang w:val="fr-FR"/>
        </w:rPr>
        <w:t>Yendri</w:t>
      </w:r>
      <w:proofErr w:type="spellEnd"/>
      <w:r>
        <w:rPr>
          <w:lang w:val="fr-FR"/>
        </w:rPr>
        <w:t xml:space="preserve"> </w:t>
      </w:r>
      <w:proofErr w:type="spellStart"/>
      <w:r>
        <w:rPr>
          <w:lang w:val="fr-FR"/>
        </w:rPr>
        <w:t>Velásquez</w:t>
      </w:r>
      <w:proofErr w:type="spellEnd"/>
      <w:r>
        <w:rPr>
          <w:lang w:val="fr-FR"/>
        </w:rPr>
        <w:t xml:space="preserve">, un défenseur des droits de l’homme et coordonnateur d’une organisation de la société civile défendant les droits des personnes lesbiennes, gays, bisexuelles, trans, </w:t>
      </w:r>
      <w:proofErr w:type="spellStart"/>
      <w:r>
        <w:rPr>
          <w:lang w:val="fr-FR"/>
        </w:rPr>
        <w:t>intersexes</w:t>
      </w:r>
      <w:proofErr w:type="spellEnd"/>
      <w:r>
        <w:rPr>
          <w:lang w:val="fr-FR"/>
        </w:rPr>
        <w:t xml:space="preserve"> et queers, avait été retenu plusieurs heures par les services de l’immigration à l’aéroport international </w:t>
      </w:r>
      <w:proofErr w:type="spellStart"/>
      <w:r>
        <w:rPr>
          <w:lang w:val="fr-FR"/>
        </w:rPr>
        <w:t>Simón</w:t>
      </w:r>
      <w:proofErr w:type="spellEnd"/>
      <w:r>
        <w:rPr>
          <w:lang w:val="fr-FR"/>
        </w:rPr>
        <w:t xml:space="preserve"> Bolívar, situé à Maiquetía, près de Caracas, alors qu’il se rendait à Genève pour participer à des réunions organisées dans le cadre de la 113</w:t>
      </w:r>
      <w:r>
        <w:rPr>
          <w:vertAlign w:val="superscript"/>
          <w:lang w:val="fr-FR"/>
        </w:rPr>
        <w:t>e</w:t>
      </w:r>
      <w:r>
        <w:rPr>
          <w:lang w:val="fr-FR"/>
        </w:rPr>
        <w:t> session</w:t>
      </w:r>
      <w:r w:rsidR="007A599E" w:rsidRPr="007A599E">
        <w:rPr>
          <w:lang w:val="fr-FR"/>
        </w:rPr>
        <w:t>.</w:t>
      </w:r>
      <w:r>
        <w:rPr>
          <w:lang w:val="fr-FR"/>
        </w:rPr>
        <w:t xml:space="preserve"> Le Comité s’est aussi dit vivement préoccupé par l’annulation des passeports de M</w:t>
      </w:r>
      <w:r w:rsidR="007A599E" w:rsidRPr="007A599E">
        <w:rPr>
          <w:lang w:val="fr-FR"/>
        </w:rPr>
        <w:t>.</w:t>
      </w:r>
      <w:r>
        <w:rPr>
          <w:lang w:val="fr-FR"/>
        </w:rPr>
        <w:t> </w:t>
      </w:r>
      <w:proofErr w:type="spellStart"/>
      <w:r>
        <w:rPr>
          <w:lang w:val="fr-FR"/>
        </w:rPr>
        <w:t>Velásquez</w:t>
      </w:r>
      <w:proofErr w:type="spellEnd"/>
      <w:r>
        <w:rPr>
          <w:lang w:val="fr-FR"/>
        </w:rPr>
        <w:t xml:space="preserve"> et d’autres défenseurs des droits de l’homme</w:t>
      </w:r>
      <w:r w:rsidR="007A599E" w:rsidRPr="007A599E">
        <w:rPr>
          <w:lang w:val="fr-FR"/>
        </w:rPr>
        <w:t>.</w:t>
      </w:r>
      <w:hyperlink r:id="rId120" w:history="1"/>
    </w:p>
    <w:p w14:paraId="6EB549A9" w14:textId="6D8EE980" w:rsidR="005E5363" w:rsidRPr="007E0FB5" w:rsidRDefault="005E5363" w:rsidP="005E5363">
      <w:pPr>
        <w:pStyle w:val="SingleTxtG"/>
      </w:pPr>
      <w:r>
        <w:rPr>
          <w:lang w:val="fr-FR"/>
        </w:rPr>
        <w:t>125</w:t>
      </w:r>
      <w:r w:rsidR="007A599E" w:rsidRPr="007A599E">
        <w:rPr>
          <w:lang w:val="fr-FR"/>
        </w:rPr>
        <w:t>.</w:t>
      </w:r>
      <w:r>
        <w:rPr>
          <w:lang w:val="fr-FR"/>
        </w:rPr>
        <w:tab/>
        <w:t>Au cours du dialogue, le Coordonnateur chargé de la question des représailles et le Président du Comité ont évoqué les allégations selon lesquelles des personnes et des organisations qui avaient coopéré avec le Comité avaient fait l’objet d’intimidation et de représailles, en s’enquérant explicitement du cas de M</w:t>
      </w:r>
      <w:r w:rsidR="007A599E" w:rsidRPr="007A599E">
        <w:rPr>
          <w:lang w:val="fr-FR"/>
        </w:rPr>
        <w:t>.</w:t>
      </w:r>
      <w:r>
        <w:rPr>
          <w:lang w:val="fr-FR"/>
        </w:rPr>
        <w:t> </w:t>
      </w:r>
      <w:proofErr w:type="spellStart"/>
      <w:r>
        <w:rPr>
          <w:lang w:val="fr-FR"/>
        </w:rPr>
        <w:t>Velásquez</w:t>
      </w:r>
      <w:proofErr w:type="spellEnd"/>
      <w:r>
        <w:rPr>
          <w:lang w:val="fr-FR"/>
        </w:rPr>
        <w:t xml:space="preserve"> et en insistant sur la politique de tolérance zéro de l’ONU à l’égard des représailles (</w:t>
      </w:r>
      <w:hyperlink r:id="rId121" w:history="1">
        <w:r w:rsidRPr="00803B71">
          <w:rPr>
            <w:rStyle w:val="Lienhypertexte"/>
            <w:lang w:val="fr-FR"/>
          </w:rPr>
          <w:t>CERD/C/SR</w:t>
        </w:r>
        <w:r w:rsidR="007A599E" w:rsidRPr="007A599E">
          <w:rPr>
            <w:rStyle w:val="Lienhypertexte"/>
            <w:lang w:val="fr-FR"/>
          </w:rPr>
          <w:t>.</w:t>
        </w:r>
        <w:r w:rsidRPr="00803B71">
          <w:rPr>
            <w:rStyle w:val="Lienhypertexte"/>
            <w:lang w:val="fr-FR"/>
          </w:rPr>
          <w:t>3081</w:t>
        </w:r>
      </w:hyperlink>
      <w:r>
        <w:rPr>
          <w:lang w:val="fr-FR"/>
        </w:rPr>
        <w:t>, par</w:t>
      </w:r>
      <w:r w:rsidR="007A599E" w:rsidRPr="007A599E">
        <w:rPr>
          <w:lang w:val="fr-FR"/>
        </w:rPr>
        <w:t>.</w:t>
      </w:r>
      <w:r>
        <w:rPr>
          <w:lang w:val="fr-FR"/>
        </w:rPr>
        <w:t xml:space="preserve"> 7, 26 et 70, et </w:t>
      </w:r>
      <w:hyperlink r:id="rId122" w:history="1">
        <w:r w:rsidRPr="00803B71">
          <w:rPr>
            <w:rStyle w:val="Lienhypertexte"/>
            <w:lang w:val="fr-FR"/>
          </w:rPr>
          <w:t>CERD/C/SR</w:t>
        </w:r>
        <w:r w:rsidR="007A599E" w:rsidRPr="007A599E">
          <w:rPr>
            <w:rStyle w:val="Lienhypertexte"/>
            <w:lang w:val="fr-FR"/>
          </w:rPr>
          <w:t>.</w:t>
        </w:r>
        <w:r w:rsidRPr="00803B71">
          <w:rPr>
            <w:rStyle w:val="Lienhypertexte"/>
            <w:lang w:val="fr-FR"/>
          </w:rPr>
          <w:t>3082</w:t>
        </w:r>
      </w:hyperlink>
      <w:r>
        <w:rPr>
          <w:lang w:val="fr-FR"/>
        </w:rPr>
        <w:t>, par</w:t>
      </w:r>
      <w:r w:rsidR="007A599E" w:rsidRPr="007A599E">
        <w:rPr>
          <w:lang w:val="fr-FR"/>
        </w:rPr>
        <w:t>.</w:t>
      </w:r>
      <w:r>
        <w:rPr>
          <w:lang w:val="fr-FR"/>
        </w:rPr>
        <w:t> 20 et 63)</w:t>
      </w:r>
      <w:r w:rsidR="007A599E" w:rsidRPr="007A599E">
        <w:rPr>
          <w:lang w:val="fr-FR"/>
        </w:rPr>
        <w:t>.</w:t>
      </w:r>
      <w:r>
        <w:rPr>
          <w:lang w:val="fr-FR"/>
        </w:rPr>
        <w:t xml:space="preserve"> Le Comité a regretté que la délégation n’ait pas communiqué d’informations supplémentaires</w:t>
      </w:r>
      <w:r w:rsidR="007A599E" w:rsidRPr="007A599E">
        <w:rPr>
          <w:lang w:val="fr-FR"/>
        </w:rPr>
        <w:t>.</w:t>
      </w:r>
      <w:hyperlink r:id="rId123" w:history="1"/>
      <w:hyperlink r:id="rId124" w:history="1"/>
    </w:p>
    <w:p w14:paraId="3BD7BCCD" w14:textId="206065A1" w:rsidR="005E5363" w:rsidRPr="007E0FB5" w:rsidRDefault="005E5363" w:rsidP="005E5363">
      <w:pPr>
        <w:pStyle w:val="SingleTxtG"/>
      </w:pPr>
      <w:r>
        <w:rPr>
          <w:lang w:val="fr-FR"/>
        </w:rPr>
        <w:t>126</w:t>
      </w:r>
      <w:r w:rsidR="007A599E" w:rsidRPr="007A599E">
        <w:rPr>
          <w:lang w:val="fr-FR"/>
        </w:rPr>
        <w:t>.</w:t>
      </w:r>
      <w:r>
        <w:rPr>
          <w:lang w:val="fr-FR"/>
        </w:rPr>
        <w:tab/>
        <w:t>Dans ses observations finales, le Comité a rappelé à l’État Partie qu’il condamnait fermement tout acte d’intimidation ou de représailles commis contre des défenseurs des droits de l’homme ou des représentants d’organisations de la société civile en raison de leur coopération avec le Comité</w:t>
      </w:r>
      <w:r w:rsidR="007A599E" w:rsidRPr="007A599E">
        <w:rPr>
          <w:lang w:val="fr-FR"/>
        </w:rPr>
        <w:t>.</w:t>
      </w:r>
      <w:r>
        <w:rPr>
          <w:lang w:val="fr-FR"/>
        </w:rPr>
        <w:t xml:space="preserve"> Il a demandé instamment à l’État Partie : a) d’agir avec la diligence voulue et de prendre des mesures concrètes afin de prévenir tout acte de harcèlement, d’intimidation et de menace commis contre des défenseurs des droits de l’homme et des représentants de la société civile en raison de leur coopération avec lui ou d’autres mécanismes régionaux et internationaux de protection des droits de l’homme, et de mener des enquêtes approfondies sur de tels actes ; b) de prendre les mesures qui s’imposaient pour que les défenseurs des droits de l’homme, en particulier les représentants de la société civile, ne subissent pas des restrictions arbitraires qui les empêchent d’assister et de participer aux réunions et aux travaux des mécanismes internationaux de protection des droits de l’homme et, en particulier, à ses réunions et à ses travaux ; c) de communiquer des informations détaillées sur les enquêtes qui avaient été menées au sujet des allégations de détention arbitraire de M</w:t>
      </w:r>
      <w:r w:rsidR="007A599E" w:rsidRPr="007A599E">
        <w:rPr>
          <w:lang w:val="fr-FR"/>
        </w:rPr>
        <w:t>.</w:t>
      </w:r>
      <w:r>
        <w:rPr>
          <w:lang w:val="fr-FR"/>
        </w:rPr>
        <w:t> </w:t>
      </w:r>
      <w:proofErr w:type="spellStart"/>
      <w:r>
        <w:rPr>
          <w:lang w:val="fr-FR"/>
        </w:rPr>
        <w:t>Velásquez</w:t>
      </w:r>
      <w:proofErr w:type="spellEnd"/>
      <w:r>
        <w:rPr>
          <w:lang w:val="fr-FR"/>
        </w:rPr>
        <w:t xml:space="preserve"> et sur les garanties de non-répétition qui avaient été adoptées</w:t>
      </w:r>
      <w:r w:rsidR="007A599E" w:rsidRPr="007A599E">
        <w:rPr>
          <w:lang w:val="fr-FR"/>
        </w:rPr>
        <w:t>.</w:t>
      </w:r>
    </w:p>
    <w:p w14:paraId="0ECB38A6" w14:textId="64047CC8" w:rsidR="00AF50C2" w:rsidRDefault="005E5363" w:rsidP="005E5363">
      <w:pPr>
        <w:pStyle w:val="SingleTxtG"/>
        <w:rPr>
          <w:lang w:val="fr-FR"/>
        </w:rPr>
      </w:pPr>
      <w:r>
        <w:rPr>
          <w:lang w:val="fr-FR"/>
        </w:rPr>
        <w:t>127</w:t>
      </w:r>
      <w:r w:rsidR="007A599E" w:rsidRPr="007A599E">
        <w:rPr>
          <w:lang w:val="fr-FR"/>
        </w:rPr>
        <w:t>.</w:t>
      </w:r>
      <w:r>
        <w:rPr>
          <w:lang w:val="fr-FR"/>
        </w:rPr>
        <w:tab/>
        <w:t>Dans ses observations finales, le Comité a, comme mesure de protection supplémentaire, demandé à l’État Partie de fournir, avant le 20 août 2025, des informations sur la suite qu’il aurait donnée aux recommandations relatives à la coopération avec la société civile et les défenseurs des droits de l’homme, y compris des informations détaillées sur les enquêtes menées au sujet de la détention arbitraire de M</w:t>
      </w:r>
      <w:r w:rsidR="007A599E" w:rsidRPr="007A599E">
        <w:rPr>
          <w:lang w:val="fr-FR"/>
        </w:rPr>
        <w:t>.</w:t>
      </w:r>
      <w:r>
        <w:rPr>
          <w:lang w:val="fr-FR"/>
        </w:rPr>
        <w:t> </w:t>
      </w:r>
      <w:proofErr w:type="spellStart"/>
      <w:r>
        <w:rPr>
          <w:lang w:val="fr-FR"/>
        </w:rPr>
        <w:t>Velásquez</w:t>
      </w:r>
      <w:proofErr w:type="spellEnd"/>
      <w:r>
        <w:rPr>
          <w:lang w:val="fr-FR"/>
        </w:rPr>
        <w:t xml:space="preserve"> et sur les garanties de non-répétition mises en place</w:t>
      </w:r>
      <w:r w:rsidR="007A599E" w:rsidRPr="007A599E">
        <w:rPr>
          <w:lang w:val="fr-FR"/>
        </w:rPr>
        <w:t>.</w:t>
      </w:r>
      <w:r>
        <w:rPr>
          <w:lang w:val="fr-FR"/>
        </w:rPr>
        <w:t xml:space="preserve"> Les informations demandées n’avaient pas été reçues à cette date</w:t>
      </w:r>
      <w:r w:rsidR="007A599E" w:rsidRPr="007A599E">
        <w:rPr>
          <w:lang w:val="fr-FR"/>
        </w:rPr>
        <w:t>.</w:t>
      </w:r>
    </w:p>
    <w:p w14:paraId="0BB65E08" w14:textId="6E4220C3" w:rsidR="005E5363" w:rsidRPr="005E5363" w:rsidRDefault="005E5363" w:rsidP="005E536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E5363" w:rsidRPr="005E5363" w:rsidSect="000E378D">
      <w:headerReference w:type="default" r:id="rId125"/>
      <w:footerReference w:type="default" r:id="rId126"/>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0CE052" w14:textId="77777777" w:rsidR="00E75259" w:rsidRDefault="00E75259"/>
  </w:endnote>
  <w:endnote w:type="continuationSeparator" w:id="0">
    <w:p w14:paraId="42851C3E" w14:textId="77777777" w:rsidR="00E75259" w:rsidRDefault="00E75259">
      <w:pPr>
        <w:pStyle w:val="Pieddepage"/>
      </w:pPr>
    </w:p>
  </w:endnote>
  <w:endnote w:type="continuationNotice" w:id="1">
    <w:p w14:paraId="2216D5A7" w14:textId="77777777" w:rsidR="00E75259" w:rsidRPr="00C451B9" w:rsidRDefault="00E75259"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8A20" w14:textId="77777777" w:rsidR="00BD03A2" w:rsidRDefault="000E378D">
    <w:pPr>
      <w:pStyle w:val="Pieddepage"/>
    </w:pPr>
    <w:r>
      <w:rPr>
        <w:noProof/>
        <w:lang w:eastAsia="fr-CH"/>
      </w:rPr>
      <w:drawing>
        <wp:anchor distT="0" distB="0" distL="114300" distR="114300" simplePos="0" relativeHeight="251660288" behindDoc="0" locked="0" layoutInCell="1" allowOverlap="1" wp14:anchorId="3037DAEB" wp14:editId="69D631AD">
          <wp:simplePos x="0" y="0"/>
          <wp:positionH relativeFrom="margin">
            <wp:posOffset>5489575</wp:posOffset>
          </wp:positionH>
          <wp:positionV relativeFrom="margin">
            <wp:posOffset>8891905</wp:posOffset>
          </wp:positionV>
          <wp:extent cx="628650" cy="628650"/>
          <wp:effectExtent l="0" t="0" r="0" b="0"/>
          <wp:wrapNone/>
          <wp:docPr id="21253879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D03A2">
      <w:rPr>
        <w:noProof/>
        <w:lang w:eastAsia="fr-CH"/>
      </w:rPr>
      <w:drawing>
        <wp:anchor distT="0" distB="0" distL="114300" distR="114300" simplePos="0" relativeHeight="251659264" behindDoc="0" locked="0" layoutInCell="1" allowOverlap="0" wp14:anchorId="2950BE15" wp14:editId="1998FE47">
          <wp:simplePos x="0" y="0"/>
          <wp:positionH relativeFrom="margin">
            <wp:posOffset>4319905</wp:posOffset>
          </wp:positionH>
          <wp:positionV relativeFrom="margin">
            <wp:posOffset>9144000</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F4F30" w14:textId="77777777" w:rsidR="000E378D" w:rsidRDefault="000E378D">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3BBB9" w14:textId="77777777" w:rsidR="00B7180A" w:rsidRDefault="00B7180A">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6BAEC" w14:textId="77777777" w:rsidR="00B7180A" w:rsidRDefault="00B7180A">
    <w:pPr>
      <w:pStyle w:val="Pieddepag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505FB" w14:textId="77777777" w:rsidR="000E378D" w:rsidRPr="000E378D" w:rsidRDefault="000E378D" w:rsidP="000E378D">
    <w:pPr>
      <w:pStyle w:val="Pieddepage"/>
      <w:tabs>
        <w:tab w:val="right" w:pos="9638"/>
      </w:tabs>
    </w:pPr>
    <w:r w:rsidRPr="000E378D">
      <w:rPr>
        <w:b/>
        <w:sz w:val="18"/>
      </w:rPr>
      <w:fldChar w:fldCharType="begin"/>
    </w:r>
    <w:r w:rsidRPr="000E378D">
      <w:rPr>
        <w:b/>
        <w:sz w:val="18"/>
      </w:rPr>
      <w:instrText xml:space="preserve"> PAGE  \* MERGEFORMAT </w:instrText>
    </w:r>
    <w:r w:rsidRPr="000E378D">
      <w:rPr>
        <w:b/>
        <w:sz w:val="18"/>
      </w:rPr>
      <w:fldChar w:fldCharType="separate"/>
    </w:r>
    <w:r w:rsidRPr="000E378D">
      <w:rPr>
        <w:b/>
        <w:noProof/>
        <w:sz w:val="18"/>
      </w:rPr>
      <w:t>iv</w:t>
    </w:r>
    <w:r w:rsidRPr="000E378D">
      <w:rPr>
        <w:b/>
        <w:sz w:val="18"/>
      </w:rPr>
      <w:fldChar w:fldCharType="end"/>
    </w:r>
    <w:r>
      <w:rPr>
        <w:b/>
        <w:sz w:val="18"/>
      </w:rPr>
      <w:tab/>
    </w:r>
    <w:r>
      <w:t>GE.25-14450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D8BD3" w14:textId="77777777" w:rsidR="00B7180A" w:rsidRPr="000E378D" w:rsidRDefault="000E378D" w:rsidP="000E378D">
    <w:pPr>
      <w:pStyle w:val="Pieddepage"/>
      <w:tabs>
        <w:tab w:val="right" w:pos="9638"/>
      </w:tabs>
      <w:rPr>
        <w:b/>
        <w:sz w:val="18"/>
      </w:rPr>
    </w:pPr>
    <w:r>
      <w:t>GE.25-14450</w:t>
    </w:r>
    <w:r>
      <w:tab/>
    </w:r>
    <w:r w:rsidRPr="000E378D">
      <w:rPr>
        <w:b/>
        <w:sz w:val="18"/>
      </w:rPr>
      <w:fldChar w:fldCharType="begin"/>
    </w:r>
    <w:r w:rsidRPr="000E378D">
      <w:rPr>
        <w:b/>
        <w:sz w:val="18"/>
      </w:rPr>
      <w:instrText xml:space="preserve"> PAGE  \* MERGEFORMAT </w:instrText>
    </w:r>
    <w:r w:rsidRPr="000E378D">
      <w:rPr>
        <w:b/>
        <w:sz w:val="18"/>
      </w:rPr>
      <w:fldChar w:fldCharType="separate"/>
    </w:r>
    <w:r w:rsidRPr="000E378D">
      <w:rPr>
        <w:b/>
        <w:noProof/>
        <w:sz w:val="18"/>
      </w:rPr>
      <w:t>v</w:t>
    </w:r>
    <w:r w:rsidRPr="000E378D">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5CEDA" w14:textId="1E18F01F" w:rsidR="000E378D" w:rsidRPr="000E378D" w:rsidRDefault="000E378D" w:rsidP="000E378D">
    <w:pPr>
      <w:pStyle w:val="Pieddepage"/>
      <w:tabs>
        <w:tab w:val="right" w:pos="9638"/>
      </w:tabs>
      <w:spacing w:before="120"/>
      <w:rPr>
        <w:b/>
        <w:sz w:val="18"/>
      </w:rPr>
    </w:pPr>
    <w:r>
      <w:rPr>
        <w:sz w:val="20"/>
      </w:rPr>
      <w:t>GE.25-14450  (F)    241025    271025</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2AF2F" w14:textId="77777777" w:rsidR="000E378D" w:rsidRPr="000E378D" w:rsidRDefault="000E378D" w:rsidP="000E378D">
    <w:pPr>
      <w:pStyle w:val="Pieddepage"/>
      <w:tabs>
        <w:tab w:val="right" w:pos="9638"/>
      </w:tabs>
      <w:rPr>
        <w:b/>
        <w:sz w:val="18"/>
      </w:rPr>
    </w:pPr>
    <w:r>
      <w:t>GE.25-14450</w:t>
    </w:r>
    <w:r>
      <w:tab/>
    </w:r>
    <w:r w:rsidRPr="000E378D">
      <w:rPr>
        <w:b/>
        <w:sz w:val="18"/>
      </w:rPr>
      <w:fldChar w:fldCharType="begin"/>
    </w:r>
    <w:r w:rsidRPr="000E378D">
      <w:rPr>
        <w:b/>
        <w:sz w:val="18"/>
      </w:rPr>
      <w:instrText xml:space="preserve"> PAGE  \* MERGEFORMAT </w:instrText>
    </w:r>
    <w:r w:rsidRPr="000E378D">
      <w:rPr>
        <w:b/>
        <w:sz w:val="18"/>
      </w:rPr>
      <w:fldChar w:fldCharType="separate"/>
    </w:r>
    <w:r w:rsidRPr="000E378D">
      <w:rPr>
        <w:b/>
        <w:noProof/>
        <w:sz w:val="18"/>
      </w:rPr>
      <w:t>v</w:t>
    </w:r>
    <w:r w:rsidRPr="000E378D">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82E00" w14:textId="77777777" w:rsidR="00E75259" w:rsidRPr="00D27D5E" w:rsidRDefault="00E75259" w:rsidP="00D27D5E">
      <w:pPr>
        <w:tabs>
          <w:tab w:val="right" w:pos="2155"/>
        </w:tabs>
        <w:spacing w:after="80"/>
        <w:ind w:left="680"/>
        <w:rPr>
          <w:u w:val="single"/>
        </w:rPr>
      </w:pPr>
      <w:r>
        <w:rPr>
          <w:u w:val="single"/>
        </w:rPr>
        <w:tab/>
      </w:r>
    </w:p>
  </w:footnote>
  <w:footnote w:type="continuationSeparator" w:id="0">
    <w:p w14:paraId="33D15B36" w14:textId="77777777" w:rsidR="00E75259" w:rsidRPr="00D171D4" w:rsidRDefault="00E75259" w:rsidP="00D171D4">
      <w:pPr>
        <w:tabs>
          <w:tab w:val="right" w:pos="2155"/>
        </w:tabs>
        <w:spacing w:after="80"/>
        <w:ind w:left="680"/>
        <w:rPr>
          <w:u w:val="single"/>
        </w:rPr>
      </w:pPr>
      <w:r w:rsidRPr="00D171D4">
        <w:rPr>
          <w:u w:val="single"/>
        </w:rPr>
        <w:tab/>
      </w:r>
    </w:p>
  </w:footnote>
  <w:footnote w:type="continuationNotice" w:id="1">
    <w:p w14:paraId="2F57B979" w14:textId="77777777" w:rsidR="00E75259" w:rsidRPr="00C451B9" w:rsidRDefault="00E75259" w:rsidP="00C451B9">
      <w:pPr>
        <w:spacing w:line="240" w:lineRule="auto"/>
        <w:rPr>
          <w:sz w:val="2"/>
          <w:szCs w:val="2"/>
        </w:rPr>
      </w:pPr>
    </w:p>
  </w:footnote>
  <w:footnote w:id="2">
    <w:p w14:paraId="74521C90" w14:textId="72A98099" w:rsidR="005E5363" w:rsidRPr="007E0FB5" w:rsidRDefault="005E5363" w:rsidP="005E5363">
      <w:pPr>
        <w:pStyle w:val="Notedebasdepage"/>
      </w:pPr>
      <w:r>
        <w:rPr>
          <w:lang w:val="fr-FR"/>
        </w:rPr>
        <w:tab/>
      </w:r>
      <w:r w:rsidRPr="00803B71">
        <w:rPr>
          <w:rStyle w:val="Appelnotedebasdep"/>
        </w:rPr>
        <w:footnoteRef/>
      </w:r>
      <w:r>
        <w:rPr>
          <w:lang w:val="fr-FR"/>
        </w:rPr>
        <w:t xml:space="preserve"> </w:t>
      </w:r>
      <w:r>
        <w:rPr>
          <w:lang w:val="fr-FR"/>
        </w:rPr>
        <w:tab/>
      </w:r>
      <w:hyperlink r:id="rId1" w:history="1">
        <w:r w:rsidRPr="00803B71">
          <w:rPr>
            <w:rStyle w:val="Lienhypertexte"/>
            <w:lang w:val="fr-FR"/>
          </w:rPr>
          <w:t>CERD/C/35/Rev</w:t>
        </w:r>
        <w:r w:rsidR="007A599E" w:rsidRPr="007A599E">
          <w:rPr>
            <w:rStyle w:val="Lienhypertexte"/>
            <w:lang w:val="fr-FR"/>
          </w:rPr>
          <w:t>.</w:t>
        </w:r>
        <w:r w:rsidRPr="00803B71">
          <w:rPr>
            <w:rStyle w:val="Lienhypertexte"/>
            <w:lang w:val="fr-FR"/>
          </w:rPr>
          <w:t>4</w:t>
        </w:r>
      </w:hyperlink>
      <w:r w:rsidR="007A599E" w:rsidRPr="007A599E">
        <w:rPr>
          <w:lang w:val="fr-FR"/>
        </w:rPr>
        <w:t>.</w:t>
      </w:r>
      <w:r>
        <w:fldChar w:fldCharType="begin"/>
      </w:r>
      <w:r>
        <w:instrText>HYPERLINK "https://docs.un.org/en/CERD/C/35/Rev.4"</w:instrText>
      </w:r>
      <w:r>
        <w:fldChar w:fldCharType="separate"/>
      </w:r>
      <w:r>
        <w:fldChar w:fldCharType="end"/>
      </w:r>
    </w:p>
  </w:footnote>
  <w:footnote w:id="3">
    <w:p w14:paraId="0D1EC35E" w14:textId="4E40B107" w:rsidR="005E5363" w:rsidRPr="007E0FB5" w:rsidRDefault="005E5363" w:rsidP="005E5363">
      <w:pPr>
        <w:pStyle w:val="Notedebasdepage"/>
      </w:pPr>
      <w:r w:rsidRPr="00181222">
        <w:rPr>
          <w:lang w:val="fr-FR"/>
        </w:rPr>
        <w:tab/>
      </w:r>
      <w:r w:rsidRPr="00803B71">
        <w:rPr>
          <w:rStyle w:val="Appelnotedebasdep"/>
        </w:rPr>
        <w:footnoteRef/>
      </w:r>
      <w:r>
        <w:rPr>
          <w:lang w:val="fr-FR"/>
        </w:rPr>
        <w:tab/>
        <w:t xml:space="preserve">Voir </w:t>
      </w:r>
      <w:hyperlink r:id="rId2" w:history="1">
        <w:r w:rsidRPr="00803B71">
          <w:rPr>
            <w:rStyle w:val="Lienhypertexte"/>
            <w:lang w:val="fr-FR"/>
          </w:rPr>
          <w:t>CERD/C/113/3</w:t>
        </w:r>
      </w:hyperlink>
      <w:r>
        <w:rPr>
          <w:lang w:val="fr-FR"/>
        </w:rPr>
        <w:t xml:space="preserve">, </w:t>
      </w:r>
      <w:hyperlink r:id="rId3" w:history="1">
        <w:r w:rsidRPr="00803B71">
          <w:rPr>
            <w:rStyle w:val="Lienhypertexte"/>
            <w:lang w:val="fr-FR"/>
          </w:rPr>
          <w:t>CERD/C/113/3/Add</w:t>
        </w:r>
        <w:r w:rsidR="007A599E" w:rsidRPr="007A599E">
          <w:rPr>
            <w:rStyle w:val="Lienhypertexte"/>
            <w:lang w:val="fr-FR"/>
          </w:rPr>
          <w:t>.</w:t>
        </w:r>
        <w:r w:rsidRPr="00803B71">
          <w:rPr>
            <w:rStyle w:val="Lienhypertexte"/>
            <w:lang w:val="fr-FR"/>
          </w:rPr>
          <w:t>1</w:t>
        </w:r>
      </w:hyperlink>
      <w:r>
        <w:rPr>
          <w:lang w:val="fr-FR"/>
        </w:rPr>
        <w:t xml:space="preserve"> et </w:t>
      </w:r>
      <w:hyperlink r:id="rId4" w:history="1">
        <w:r w:rsidRPr="00803B71">
          <w:rPr>
            <w:rStyle w:val="Lienhypertexte"/>
            <w:lang w:val="fr-FR"/>
          </w:rPr>
          <w:t>CERD/C/113/3/Add</w:t>
        </w:r>
        <w:r w:rsidR="007A599E" w:rsidRPr="007A599E">
          <w:rPr>
            <w:rStyle w:val="Lienhypertexte"/>
            <w:lang w:val="fr-FR"/>
          </w:rPr>
          <w:t>.</w:t>
        </w:r>
        <w:r w:rsidRPr="00803B71">
          <w:rPr>
            <w:rStyle w:val="Lienhypertexte"/>
            <w:lang w:val="fr-FR"/>
          </w:rPr>
          <w:t>2</w:t>
        </w:r>
      </w:hyperlink>
      <w:r w:rsidR="007A599E" w:rsidRPr="007A599E">
        <w:rPr>
          <w:lang w:val="fr-FR"/>
        </w:rPr>
        <w:t>.</w:t>
      </w:r>
      <w:r>
        <w:fldChar w:fldCharType="begin"/>
      </w:r>
      <w:r>
        <w:instrText>HYPERLINK "https://docs.un.org/en/CERD/C/113/3"</w:instrText>
      </w:r>
      <w:r>
        <w:fldChar w:fldCharType="separate"/>
      </w:r>
      <w:r>
        <w:fldChar w:fldCharType="end"/>
      </w:r>
      <w:hyperlink r:id="rId5" w:history="1"/>
      <w:hyperlink r:id="rId6" w:history="1"/>
    </w:p>
  </w:footnote>
  <w:footnote w:id="4">
    <w:p w14:paraId="703994C8" w14:textId="4E9B94CC" w:rsidR="005E5363" w:rsidRPr="007E0FB5" w:rsidRDefault="005E5363" w:rsidP="005E5363">
      <w:pPr>
        <w:pStyle w:val="Notedebasdepage"/>
        <w:rPr>
          <w:lang w:val="fr-FR"/>
        </w:rPr>
      </w:pPr>
      <w:r>
        <w:rPr>
          <w:lang w:val="fr-FR"/>
        </w:rPr>
        <w:tab/>
      </w:r>
      <w:r w:rsidRPr="00803B71">
        <w:rPr>
          <w:rStyle w:val="Appelnotedebasdep"/>
        </w:rPr>
        <w:footnoteRef/>
      </w:r>
      <w:r>
        <w:rPr>
          <w:lang w:val="fr-FR"/>
        </w:rPr>
        <w:tab/>
      </w:r>
      <w:hyperlink r:id="rId7"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org/sites/default/files/documents/hrbodies/cerd/concept-note-cerd-60th-anniversary-en-fr-es</w:t>
        </w:r>
        <w:r w:rsidR="007A599E" w:rsidRPr="007A599E">
          <w:rPr>
            <w:rStyle w:val="Lienhypertexte"/>
            <w:lang w:val="fr-FR"/>
          </w:rPr>
          <w:t>.</w:t>
        </w:r>
        <w:r>
          <w:rPr>
            <w:rStyle w:val="Lienhypertexte"/>
            <w:lang w:val="fr-FR"/>
          </w:rPr>
          <w:t>pdf</w:t>
        </w:r>
      </w:hyperlink>
      <w:r w:rsidR="007A599E" w:rsidRPr="007A599E">
        <w:rPr>
          <w:lang w:val="fr-FR"/>
        </w:rPr>
        <w:t>.</w:t>
      </w:r>
    </w:p>
  </w:footnote>
  <w:footnote w:id="5">
    <w:p w14:paraId="6C0DC03A" w14:textId="179C3A97" w:rsidR="005E5363" w:rsidRPr="007E0FB5" w:rsidRDefault="005E5363" w:rsidP="005E5363">
      <w:pPr>
        <w:pStyle w:val="Notedebasdepage"/>
        <w:rPr>
          <w:lang w:val="fr-FR"/>
        </w:rPr>
      </w:pPr>
      <w:r>
        <w:rPr>
          <w:lang w:val="fr-FR"/>
        </w:rPr>
        <w:tab/>
      </w:r>
      <w:r w:rsidRPr="00803B71">
        <w:rPr>
          <w:rStyle w:val="Appelnotedebasdep"/>
        </w:rPr>
        <w:footnoteRef/>
      </w:r>
      <w:r>
        <w:rPr>
          <w:lang w:val="fr-FR"/>
        </w:rPr>
        <w:tab/>
      </w:r>
      <w:hyperlink r:id="rId8"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org/fr/treaty-bodies/cerd/60th-anniversary-international-convention-elimination-all-forms-racial-discrimination</w:t>
        </w:r>
      </w:hyperlink>
      <w:r w:rsidR="007A599E" w:rsidRPr="007A599E">
        <w:rPr>
          <w:lang w:val="fr-FR"/>
        </w:rPr>
        <w:t>.</w:t>
      </w:r>
    </w:p>
  </w:footnote>
  <w:footnote w:id="6">
    <w:p w14:paraId="66946FC6" w14:textId="72CE28E5" w:rsidR="005E5363" w:rsidRPr="007E0FB5" w:rsidRDefault="005E5363" w:rsidP="005E5363">
      <w:pPr>
        <w:pStyle w:val="Notedebasdepage"/>
        <w:rPr>
          <w:szCs w:val="18"/>
        </w:rPr>
      </w:pPr>
      <w:r>
        <w:rPr>
          <w:lang w:val="fr-FR"/>
        </w:rPr>
        <w:tab/>
      </w:r>
      <w:r w:rsidRPr="00803B71">
        <w:rPr>
          <w:rStyle w:val="Appelnotedebasdep"/>
        </w:rPr>
        <w:footnoteRef/>
      </w:r>
      <w:r>
        <w:rPr>
          <w:lang w:val="fr-FR"/>
        </w:rPr>
        <w:tab/>
        <w:t xml:space="preserve">Voir </w:t>
      </w:r>
      <w:hyperlink r:id="rId9"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org/en/events/events/2025/half-day-general-discussion-proposed-general-recommendation-reparations</w:t>
        </w:r>
      </w:hyperlink>
      <w:r w:rsidR="007A599E" w:rsidRPr="007A599E">
        <w:rPr>
          <w:lang w:val="fr-FR"/>
        </w:rPr>
        <w:t>.</w:t>
      </w:r>
    </w:p>
  </w:footnote>
  <w:footnote w:id="7">
    <w:p w14:paraId="6790DEC3" w14:textId="0B3CFCB5" w:rsidR="005E5363" w:rsidRPr="007E0FB5" w:rsidRDefault="005E5363" w:rsidP="005E5363">
      <w:pPr>
        <w:pStyle w:val="Notedebasdepage"/>
      </w:pPr>
      <w:r>
        <w:rPr>
          <w:lang w:val="fr-FR"/>
        </w:rPr>
        <w:tab/>
      </w:r>
      <w:r w:rsidRPr="00803B71">
        <w:rPr>
          <w:rStyle w:val="Appelnotedebasdep"/>
        </w:rPr>
        <w:footnoteRef/>
      </w:r>
      <w:r>
        <w:rPr>
          <w:lang w:val="fr-FR"/>
        </w:rPr>
        <w:tab/>
        <w:t xml:space="preserve">Voir </w:t>
      </w:r>
      <w:hyperlink r:id="rId10" w:history="1">
        <w:r>
          <w:rPr>
            <w:rStyle w:val="Lienhypertexte"/>
            <w:lang w:val="fr-FR"/>
          </w:rPr>
          <w:t>https://treaties</w:t>
        </w:r>
        <w:r w:rsidR="007A599E" w:rsidRPr="007A599E">
          <w:rPr>
            <w:rStyle w:val="Lienhypertexte"/>
            <w:lang w:val="fr-FR"/>
          </w:rPr>
          <w:t>.</w:t>
        </w:r>
        <w:r>
          <w:rPr>
            <w:rStyle w:val="Lienhypertexte"/>
            <w:lang w:val="fr-FR"/>
          </w:rPr>
          <w:t>un</w:t>
        </w:r>
        <w:r w:rsidR="007A599E" w:rsidRPr="007A599E">
          <w:rPr>
            <w:rStyle w:val="Lienhypertexte"/>
            <w:lang w:val="fr-FR"/>
          </w:rPr>
          <w:t>.</w:t>
        </w:r>
        <w:r>
          <w:rPr>
            <w:rStyle w:val="Lienhypertexte"/>
            <w:lang w:val="fr-FR"/>
          </w:rPr>
          <w:t>org/pages/Treaties</w:t>
        </w:r>
        <w:r w:rsidR="007A599E" w:rsidRPr="007A599E">
          <w:rPr>
            <w:rStyle w:val="Lienhypertexte"/>
            <w:lang w:val="fr-FR"/>
          </w:rPr>
          <w:t>.</w:t>
        </w:r>
        <w:r>
          <w:rPr>
            <w:rStyle w:val="Lienhypertexte"/>
            <w:lang w:val="fr-FR"/>
          </w:rPr>
          <w:t>aspx?id=4&amp;subid=A&amp;lang=fr</w:t>
        </w:r>
      </w:hyperlink>
      <w:r w:rsidR="007A599E" w:rsidRPr="007A599E">
        <w:rPr>
          <w:lang w:val="fr-FR"/>
        </w:rPr>
        <w:t>.</w:t>
      </w:r>
    </w:p>
  </w:footnote>
  <w:footnote w:id="8">
    <w:p w14:paraId="3BBEC4E5" w14:textId="396B6794" w:rsidR="005E5363" w:rsidRPr="000569FE" w:rsidRDefault="005E5363" w:rsidP="005E5363">
      <w:pPr>
        <w:pStyle w:val="Notedebasdepage"/>
      </w:pPr>
      <w:r>
        <w:rPr>
          <w:lang w:val="fr-FR"/>
        </w:rPr>
        <w:tab/>
      </w:r>
      <w:r w:rsidRPr="00803B71">
        <w:rPr>
          <w:rStyle w:val="Appelnotedebasdep"/>
        </w:rPr>
        <w:footnoteRef/>
      </w:r>
      <w:r w:rsidRPr="000569FE">
        <w:tab/>
        <w:t xml:space="preserve">Voir </w:t>
      </w:r>
      <w:hyperlink r:id="rId11" w:history="1">
        <w:r w:rsidRPr="000569FE">
          <w:rPr>
            <w:rStyle w:val="Lienhypertexte"/>
          </w:rPr>
          <w:t>https://www</w:t>
        </w:r>
        <w:r w:rsidR="007A599E" w:rsidRPr="007A599E">
          <w:rPr>
            <w:rStyle w:val="Lienhypertexte"/>
          </w:rPr>
          <w:t>.</w:t>
        </w:r>
        <w:r w:rsidRPr="000569FE">
          <w:rPr>
            <w:rStyle w:val="Lienhypertexte"/>
          </w:rPr>
          <w:t>coe</w:t>
        </w:r>
        <w:r w:rsidR="007A599E" w:rsidRPr="007A599E">
          <w:rPr>
            <w:rStyle w:val="Lienhypertexte"/>
          </w:rPr>
          <w:t>.</w:t>
        </w:r>
        <w:r w:rsidRPr="000569FE">
          <w:rPr>
            <w:rStyle w:val="Lienhypertexte"/>
          </w:rPr>
          <w:t>int/fr/web/european-commission-against-racism-and-intolerance/-/cerd-ecri-joint-statement-international-day-for-the-elimination-of-racial-discrimination</w:t>
        </w:r>
      </w:hyperlink>
      <w:r w:rsidRPr="000569FE">
        <w:t xml:space="preserve"> et </w:t>
      </w:r>
      <w:hyperlink r:id="rId12" w:history="1">
        <w:r w:rsidR="000569FE" w:rsidRPr="000569FE">
          <w:rPr>
            <w:rStyle w:val="Lienhypertexte"/>
          </w:rPr>
          <w:t>https://www</w:t>
        </w:r>
        <w:r w:rsidR="007A599E" w:rsidRPr="007A599E">
          <w:rPr>
            <w:rStyle w:val="Lienhypertexte"/>
          </w:rPr>
          <w:t>.</w:t>
        </w:r>
        <w:r w:rsidR="000569FE" w:rsidRPr="000569FE">
          <w:rPr>
            <w:rStyle w:val="Lienhypertexte"/>
          </w:rPr>
          <w:t>ohchr</w:t>
        </w:r>
        <w:r w:rsidR="007A599E" w:rsidRPr="007A599E">
          <w:rPr>
            <w:rStyle w:val="Lienhypertexte"/>
          </w:rPr>
          <w:t>.</w:t>
        </w:r>
        <w:r w:rsidR="000569FE" w:rsidRPr="000569FE">
          <w:rPr>
            <w:rStyle w:val="Lienhypertexte"/>
          </w:rPr>
          <w:t>org/en/statements-and-speeches/2025/03/sixty-years-progress-risk-time-stop-instrumentalising-racism-and</w:t>
        </w:r>
      </w:hyperlink>
      <w:r w:rsidR="007A599E" w:rsidRPr="007A599E">
        <w:t>.</w:t>
      </w:r>
    </w:p>
  </w:footnote>
  <w:footnote w:id="9">
    <w:p w14:paraId="209447CE" w14:textId="64806105" w:rsidR="005E5363" w:rsidRPr="007E0FB5" w:rsidRDefault="005E5363" w:rsidP="005E5363">
      <w:pPr>
        <w:pStyle w:val="Notedebasdepage"/>
      </w:pPr>
      <w:r w:rsidRPr="000569FE">
        <w:tab/>
      </w:r>
      <w:r w:rsidRPr="00803B71">
        <w:rPr>
          <w:rStyle w:val="Appelnotedebasdep"/>
        </w:rPr>
        <w:footnoteRef/>
      </w:r>
      <w:r>
        <w:rPr>
          <w:lang w:val="fr-FR"/>
        </w:rPr>
        <w:tab/>
        <w:t xml:space="preserve">Disponibles à l’adresse suivante : </w:t>
      </w:r>
      <w:hyperlink r:id="rId13"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org/fr/treaty-bodies/cerd/decisions-statements-and-letters</w:t>
        </w:r>
      </w:hyperlink>
      <w:r w:rsidR="007A599E" w:rsidRPr="007A599E">
        <w:rPr>
          <w:lang w:val="fr-FR"/>
        </w:rPr>
        <w:t>.</w:t>
      </w:r>
    </w:p>
  </w:footnote>
  <w:footnote w:id="10">
    <w:p w14:paraId="73936FAB" w14:textId="6F630CED"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14"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=INT%2FCERD%2FEWU%2F10086&amp;Lang=en</w:t>
        </w:r>
      </w:hyperlink>
      <w:r w:rsidR="007A599E" w:rsidRPr="007A599E">
        <w:rPr>
          <w:lang w:val="fr-FR"/>
        </w:rPr>
        <w:t>.</w:t>
      </w:r>
    </w:p>
  </w:footnote>
  <w:footnote w:id="11">
    <w:p w14:paraId="7A2FD80C" w14:textId="7A9E6303"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15"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=INT%2FCERD%2FSWA%2FIND%2F10005&amp;Lang=en</w:t>
        </w:r>
      </w:hyperlink>
      <w:r w:rsidR="007A599E" w:rsidRPr="007A599E">
        <w:rPr>
          <w:lang w:val="fr-FR"/>
        </w:rPr>
        <w:t>.</w:t>
      </w:r>
    </w:p>
  </w:footnote>
  <w:footnote w:id="12">
    <w:p w14:paraId="188037FA" w14:textId="1CD58D84"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16"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=INT/CERD/ALE/</w:t>
        </w:r>
        <w:proofErr w:type="spellStart"/>
        <w:r w:rsidR="00117B2A" w:rsidRPr="003C0690">
          <w:rPr>
            <w:rStyle w:val="Lienhypertexte"/>
            <w:lang w:val="fr-FR"/>
          </w:rPr>
          <w:t>Ind</w:t>
        </w:r>
        <w:proofErr w:type="spellEnd"/>
        <w:r w:rsidR="00117B2A" w:rsidRPr="003C0690">
          <w:rPr>
            <w:rStyle w:val="Lienhypertexte"/>
            <w:lang w:val="fr-FR"/>
          </w:rPr>
          <w:t>/8822&amp;Lang=en</w:t>
        </w:r>
      </w:hyperlink>
      <w:r w:rsidR="007A599E" w:rsidRPr="007A599E">
        <w:rPr>
          <w:lang w:val="fr-FR"/>
        </w:rPr>
        <w:t>.</w:t>
      </w:r>
    </w:p>
  </w:footnote>
  <w:footnote w:id="13">
    <w:p w14:paraId="09F02FCA" w14:textId="010FA599"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17"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=INT%2FCERD%2FSWA%2F11196&amp;Lang=en</w:t>
        </w:r>
      </w:hyperlink>
      <w:r w:rsidR="007A599E" w:rsidRPr="007A599E">
        <w:rPr>
          <w:lang w:val="fr-FR"/>
        </w:rPr>
        <w:t>.</w:t>
      </w:r>
    </w:p>
  </w:footnote>
  <w:footnote w:id="14">
    <w:p w14:paraId="5E66142D" w14:textId="332C462C" w:rsidR="005E5363" w:rsidRPr="007E0FB5" w:rsidRDefault="005E5363" w:rsidP="005E5363">
      <w:pPr>
        <w:pStyle w:val="Notedebasdepage"/>
      </w:pPr>
      <w:r>
        <w:rPr>
          <w:lang w:val="fr-FR"/>
        </w:rPr>
        <w:tab/>
      </w:r>
      <w:r w:rsidRPr="00803B71">
        <w:rPr>
          <w:rStyle w:val="Appelnotedebasdep"/>
        </w:rPr>
        <w:footnoteRef/>
      </w:r>
      <w:r>
        <w:rPr>
          <w:lang w:val="fr-FR"/>
        </w:rPr>
        <w:tab/>
        <w:t xml:space="preserve">Voir </w:t>
      </w:r>
      <w:hyperlink r:id="rId18" w:history="1">
        <w:r w:rsidRPr="00803B71">
          <w:rPr>
            <w:rStyle w:val="Lienhypertexte"/>
            <w:lang w:val="fr-FR"/>
          </w:rPr>
          <w:t>S/PV</w:t>
        </w:r>
        <w:r w:rsidR="007A599E" w:rsidRPr="007A599E">
          <w:rPr>
            <w:rStyle w:val="Lienhypertexte"/>
            <w:lang w:val="fr-FR"/>
          </w:rPr>
          <w:t>.</w:t>
        </w:r>
        <w:r w:rsidRPr="00803B71">
          <w:rPr>
            <w:rStyle w:val="Lienhypertexte"/>
            <w:lang w:val="fr-FR"/>
          </w:rPr>
          <w:t>9907</w:t>
        </w:r>
      </w:hyperlink>
      <w:r w:rsidR="007A599E" w:rsidRPr="007A599E">
        <w:rPr>
          <w:lang w:val="fr-FR"/>
        </w:rPr>
        <w:t>.</w:t>
      </w:r>
      <w:r>
        <w:fldChar w:fldCharType="begin"/>
      </w:r>
      <w:r>
        <w:instrText>HYPERLINK "https://docs.un.org/en/S/PV.9907"</w:instrText>
      </w:r>
      <w:r>
        <w:fldChar w:fldCharType="separate"/>
      </w:r>
      <w:r>
        <w:fldChar w:fldCharType="end"/>
      </w:r>
    </w:p>
  </w:footnote>
  <w:footnote w:id="15">
    <w:p w14:paraId="0D20DA3E" w14:textId="186D69F2"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19"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/cerd-ewuap-letter-115-australia</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"https://www.ohchr.org/sites/default/files/documents/hrbodies/cerd/earlywarning/letters/cerd-ewuap-letter-115-australia.pdf"</w:instrText>
      </w:r>
      <w:r>
        <w:fldChar w:fldCharType="separate"/>
      </w:r>
      <w:r>
        <w:fldChar w:fldCharType="end"/>
      </w:r>
    </w:p>
  </w:footnote>
  <w:footnote w:id="16">
    <w:p w14:paraId="40613279" w14:textId="007DBE35" w:rsidR="005E5363" w:rsidRPr="007E0FB5" w:rsidRDefault="005E5363" w:rsidP="005E5363">
      <w:pPr>
        <w:pStyle w:val="Notedebasdepage"/>
      </w:pPr>
      <w:r w:rsidRPr="00946903">
        <w:rPr>
          <w:lang w:val="fr-FR"/>
        </w:rPr>
        <w:tab/>
      </w:r>
      <w:r w:rsidRPr="00803B71">
        <w:rPr>
          <w:rStyle w:val="Appelnotedebasdep"/>
        </w:rPr>
        <w:footnoteRef/>
      </w:r>
      <w:r>
        <w:rPr>
          <w:lang w:val="fr-FR"/>
        </w:rPr>
        <w:tab/>
        <w:t xml:space="preserve">Disponible à l’adresse suivante : </w:t>
      </w:r>
      <w:hyperlink r:id="rId20" w:history="1">
        <w:r w:rsidR="000569FE" w:rsidRPr="003C0690">
          <w:rPr>
            <w:rStyle w:val="Lienhypertexte"/>
            <w:lang w:val="fr-FR"/>
          </w:rPr>
          <w:t>https://tbinternet</w:t>
        </w:r>
        <w:r w:rsidR="007A599E" w:rsidRPr="007A599E">
          <w:rPr>
            <w:rStyle w:val="Lienhypertexte"/>
            <w:lang w:val="fr-FR"/>
          </w:rPr>
          <w:t>.</w:t>
        </w:r>
        <w:r w:rsidR="000569FE" w:rsidRPr="003C0690">
          <w:rPr>
            <w:rStyle w:val="Lienhypertexte"/>
            <w:lang w:val="fr-FR"/>
          </w:rPr>
          <w:t>ohchr</w:t>
        </w:r>
        <w:r w:rsidR="007A599E" w:rsidRPr="007A599E">
          <w:rPr>
            <w:rStyle w:val="Lienhypertexte"/>
            <w:lang w:val="fr-FR"/>
          </w:rPr>
          <w:t>.</w:t>
        </w:r>
        <w:r w:rsidR="000569FE" w:rsidRPr="003C0690">
          <w:rPr>
            <w:rStyle w:val="Lienhypertexte"/>
            <w:lang w:val="fr-FR"/>
          </w:rPr>
          <w:t xml:space="preserve">org/_layouts/15/treatybodyexternal/ </w:t>
        </w:r>
        <w:proofErr w:type="spellStart"/>
        <w:r w:rsidR="000569FE" w:rsidRPr="003C0690">
          <w:rPr>
            <w:rStyle w:val="Lienhypertexte"/>
            <w:lang w:val="fr-FR"/>
          </w:rPr>
          <w:t>Download</w:t>
        </w:r>
        <w:r w:rsidR="007A599E" w:rsidRPr="007A599E">
          <w:rPr>
            <w:rStyle w:val="Lienhypertexte"/>
            <w:lang w:val="fr-FR"/>
          </w:rPr>
          <w:t>.</w:t>
        </w:r>
        <w:r w:rsidR="000569FE" w:rsidRPr="003C0690">
          <w:rPr>
            <w:rStyle w:val="Lienhypertexte"/>
            <w:lang w:val="fr-FR"/>
          </w:rPr>
          <w:t>aspx?symbolno</w:t>
        </w:r>
        <w:proofErr w:type="spellEnd"/>
        <w:r w:rsidR="000569FE" w:rsidRPr="003C0690">
          <w:rPr>
            <w:rStyle w:val="Lienhypertexte"/>
            <w:lang w:val="fr-FR"/>
          </w:rPr>
          <w:t>=INT%2FCERD%2FALE%2FBGD%2F11087&amp;Lang=en</w:t>
        </w:r>
      </w:hyperlink>
      <w:r w:rsidR="007A599E" w:rsidRPr="007A599E">
        <w:rPr>
          <w:lang w:val="fr-FR"/>
        </w:rPr>
        <w:t>.</w:t>
      </w:r>
      <w:r>
        <w:fldChar w:fldCharType="begin"/>
      </w:r>
      <w:r>
        <w:instrText>HYPERLINK "https://tbinternet.ohchr.org/_layouts/15/treatybodyexternal/Download.aspx?symbolno=INT%2FCERD%2FALE%2FBGD%2F11087&amp;Lang=en"</w:instrText>
      </w:r>
      <w:r>
        <w:fldChar w:fldCharType="separate"/>
      </w:r>
      <w:r>
        <w:fldChar w:fldCharType="end"/>
      </w:r>
    </w:p>
  </w:footnote>
  <w:footnote w:id="17">
    <w:p w14:paraId="6BDA1D67" w14:textId="74B04F24" w:rsidR="005E5363" w:rsidRPr="007E0FB5" w:rsidRDefault="005E5363" w:rsidP="005E5363">
      <w:pPr>
        <w:pStyle w:val="Notedebasdepage"/>
      </w:pPr>
      <w:r w:rsidRPr="004561F8">
        <w:rPr>
          <w:lang w:val="fr-FR"/>
        </w:rPr>
        <w:tab/>
      </w:r>
      <w:r w:rsidRPr="00803B71">
        <w:rPr>
          <w:rStyle w:val="Appelnotedebasdep"/>
        </w:rPr>
        <w:footnoteRef/>
      </w:r>
      <w:r>
        <w:rPr>
          <w:lang w:val="fr-FR"/>
        </w:rPr>
        <w:tab/>
        <w:t xml:space="preserve">Disponible à l’adresse suivante : </w:t>
      </w:r>
      <w:hyperlink r:id="rId21"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 </w:t>
        </w:r>
        <w:proofErr w:type="spellStart"/>
        <w:r w:rsidR="00117B2A" w:rsidRPr="003C0690">
          <w:rPr>
            <w:rStyle w:val="Lienhypertexte"/>
            <w:lang w:val="fr-FR"/>
          </w:rPr>
          <w:t>cerd</w:t>
        </w:r>
        <w:proofErr w:type="spellEnd"/>
        <w:r w:rsidR="00117B2A" w:rsidRPr="003C0690">
          <w:rPr>
            <w:rStyle w:val="Lienhypertexte"/>
            <w:lang w:val="fr-FR"/>
          </w:rPr>
          <w:t>/</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/cerd-ewuap-letter-115-canada</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"https://www.ohchr.org/sites/default/files/documents/hrbodies/cerd/earlywarning/letters/cerd-ewuap-letter-115-canada.pdf"</w:instrText>
      </w:r>
      <w:r>
        <w:fldChar w:fldCharType="separate"/>
      </w:r>
      <w:r>
        <w:fldChar w:fldCharType="end"/>
      </w:r>
    </w:p>
  </w:footnote>
  <w:footnote w:id="18">
    <w:p w14:paraId="29A6E344" w14:textId="783D0628" w:rsidR="005E5363" w:rsidRPr="007E0FB5" w:rsidRDefault="005E5363" w:rsidP="005E5363">
      <w:pPr>
        <w:pStyle w:val="Notedebasdepage"/>
      </w:pPr>
      <w:r w:rsidRPr="004561F8">
        <w:rPr>
          <w:lang w:val="fr-FR"/>
        </w:rPr>
        <w:tab/>
      </w:r>
      <w:r w:rsidRPr="00803B71">
        <w:rPr>
          <w:rStyle w:val="Appelnotedebasdep"/>
        </w:rPr>
        <w:footnoteRef/>
      </w:r>
      <w:r>
        <w:rPr>
          <w:lang w:val="fr-FR"/>
        </w:rPr>
        <w:tab/>
        <w:t>Disponible à l’adresse suivante </w:t>
      </w:r>
      <w:r w:rsidRPr="00117B2A">
        <w:rPr>
          <w:lang w:val="fr-FR"/>
        </w:rPr>
        <w:t xml:space="preserve">: </w:t>
      </w:r>
      <w:hyperlink r:id="rId22"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 </w:t>
        </w:r>
        <w:proofErr w:type="spellStart"/>
        <w:r w:rsidR="00117B2A" w:rsidRPr="003C0690">
          <w:rPr>
            <w:rStyle w:val="Lienhypertexte"/>
            <w:lang w:val="fr-FR"/>
          </w:rPr>
          <w:t>cerd</w:t>
        </w:r>
        <w:proofErr w:type="spellEnd"/>
        <w:r w:rsidR="00117B2A" w:rsidRPr="003C0690">
          <w:rPr>
            <w:rStyle w:val="Lienhypertexte"/>
            <w:lang w:val="fr-FR"/>
          </w:rPr>
          <w:t>/</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/cerd-ewuap-letter-115-usa1</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"https://www.ohchr.org/sites/default/files/documents/hrbodies/cerd/earlywarning/letters/cerd-ewuap-letter-115-canada.pdf"</w:instrText>
      </w:r>
      <w:r>
        <w:fldChar w:fldCharType="separate"/>
      </w:r>
      <w:r>
        <w:fldChar w:fldCharType="end"/>
      </w:r>
      <w:hyperlink r:id="rId23" w:history="1"/>
    </w:p>
  </w:footnote>
  <w:footnote w:id="19">
    <w:p w14:paraId="02698272" w14:textId="17A1FBFD" w:rsidR="005E5363" w:rsidRPr="007E0FB5" w:rsidRDefault="005E5363" w:rsidP="005E5363">
      <w:pPr>
        <w:pStyle w:val="Notedebasdepage"/>
      </w:pPr>
      <w:r w:rsidRPr="004561F8">
        <w:rPr>
          <w:lang w:val="fr-FR"/>
        </w:rPr>
        <w:tab/>
      </w:r>
      <w:r w:rsidRPr="00803B71">
        <w:rPr>
          <w:rStyle w:val="Appelnotedebasdep"/>
        </w:rPr>
        <w:footnoteRef/>
      </w:r>
      <w:r>
        <w:rPr>
          <w:lang w:val="fr-FR"/>
        </w:rPr>
        <w:tab/>
        <w:t xml:space="preserve">Disponible à l’adresse suivante : </w:t>
      </w:r>
      <w:hyperlink r:id="rId24"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=INT%2FCERD%2FALE%2FCAN%2F11089&amp;Lang=en</w:t>
        </w:r>
      </w:hyperlink>
      <w:r w:rsidR="007A599E" w:rsidRPr="007A599E">
        <w:rPr>
          <w:lang w:val="fr-FR"/>
        </w:rPr>
        <w:t>.</w:t>
      </w:r>
      <w:r>
        <w:fldChar w:fldCharType="begin"/>
      </w:r>
      <w:r>
        <w:instrText>HYPERLINK "https://tbinternet.ohchr.org/_layouts/15/treatybodyexternal/Download.aspx?symbolno=INT%2FCERD%2FALE%2FCAN%2F11089&amp;Lang=en"</w:instrText>
      </w:r>
      <w:r>
        <w:fldChar w:fldCharType="separate"/>
      </w:r>
      <w:r>
        <w:fldChar w:fldCharType="end"/>
      </w:r>
    </w:p>
  </w:footnote>
  <w:footnote w:id="20">
    <w:p w14:paraId="24BE019E" w14:textId="5DE9D292" w:rsidR="005E5363" w:rsidRPr="007E0FB5" w:rsidRDefault="005E5363" w:rsidP="005E5363">
      <w:pPr>
        <w:pStyle w:val="Notedebasdepage"/>
      </w:pPr>
      <w:r w:rsidRPr="00C71B32">
        <w:rPr>
          <w:lang w:val="fr-FR"/>
        </w:rPr>
        <w:tab/>
      </w:r>
      <w:r w:rsidRPr="00803B71">
        <w:rPr>
          <w:rStyle w:val="Appelnotedebasdep"/>
        </w:rPr>
        <w:footnoteRef/>
      </w:r>
      <w:r>
        <w:rPr>
          <w:lang w:val="fr-FR"/>
        </w:rPr>
        <w:tab/>
        <w:t xml:space="preserve">Disponible à l’adresse suivante : </w:t>
      </w:r>
      <w:hyperlink r:id="rId25"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=INT%2FCERD%2FALE%2FCAN%2F11090&amp;Lang=en</w:t>
        </w:r>
      </w:hyperlink>
      <w:r w:rsidR="007A599E" w:rsidRPr="007A599E">
        <w:rPr>
          <w:lang w:val="fr-FR"/>
        </w:rPr>
        <w:t>.</w:t>
      </w:r>
      <w:r>
        <w:fldChar w:fldCharType="begin"/>
      </w:r>
      <w:r>
        <w:instrText>HYPERLINK "https://tbinternet.ohchr.org/_layouts/15/treatybodyexternal/Download.aspx?symbolno=INT%2FCERD%2FALE%2FCAN%2F11090&amp;Lang=en"</w:instrText>
      </w:r>
      <w:r>
        <w:fldChar w:fldCharType="separate"/>
      </w:r>
      <w:r>
        <w:fldChar w:fldCharType="end"/>
      </w:r>
    </w:p>
  </w:footnote>
  <w:footnote w:id="21">
    <w:p w14:paraId="2850D8B4" w14:textId="75158657" w:rsidR="005E5363" w:rsidRPr="007E0FB5" w:rsidRDefault="005E5363" w:rsidP="005E5363">
      <w:pPr>
        <w:pStyle w:val="Notedebasdepage"/>
      </w:pPr>
      <w:r w:rsidRPr="00E277E2">
        <w:rPr>
          <w:lang w:val="fr-FR"/>
        </w:rPr>
        <w:tab/>
      </w:r>
      <w:r w:rsidRPr="00803B71">
        <w:rPr>
          <w:rStyle w:val="Appelnotedebasdep"/>
        </w:rPr>
        <w:footnoteRef/>
      </w:r>
      <w:r>
        <w:rPr>
          <w:lang w:val="fr-FR"/>
        </w:rPr>
        <w:tab/>
        <w:t xml:space="preserve">Disponible à l’adresse suivante : </w:t>
      </w:r>
      <w:hyperlink r:id="rId26"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=INT%2FCERD%2FALE%2FCAN%2F10041&amp;Lang=en</w:t>
        </w:r>
      </w:hyperlink>
      <w:r w:rsidR="007A599E" w:rsidRPr="007A599E">
        <w:rPr>
          <w:lang w:val="fr-FR"/>
        </w:rPr>
        <w:t>.</w:t>
      </w:r>
      <w:r>
        <w:fldChar w:fldCharType="begin"/>
      </w:r>
      <w:r>
        <w:instrText>HYPERLINK "https://tbinternet.ohchr.org/_layouts/15/treatybodyexternal/Download.aspx?symbolno=INT%2FCERD%2FALE%2FCAN%2F10041&amp;Lang=en"</w:instrText>
      </w:r>
      <w:r>
        <w:fldChar w:fldCharType="separate"/>
      </w:r>
      <w:r>
        <w:fldChar w:fldCharType="end"/>
      </w:r>
    </w:p>
  </w:footnote>
  <w:footnote w:id="22">
    <w:p w14:paraId="409634C0" w14:textId="302CC303" w:rsidR="005E5363" w:rsidRPr="007E0FB5" w:rsidRDefault="005E5363" w:rsidP="005E5363">
      <w:pPr>
        <w:pStyle w:val="Notedebasdepage"/>
      </w:pPr>
      <w:r w:rsidRPr="00BE752D">
        <w:rPr>
          <w:lang w:val="fr-FR"/>
        </w:rPr>
        <w:tab/>
      </w:r>
      <w:r w:rsidRPr="00803B71">
        <w:rPr>
          <w:rStyle w:val="Appelnotedebasdep"/>
        </w:rPr>
        <w:footnoteRef/>
      </w:r>
      <w:r>
        <w:rPr>
          <w:lang w:val="fr-FR"/>
        </w:rPr>
        <w:tab/>
        <w:t xml:space="preserve">Disponible à l’adresse suivante : </w:t>
      </w:r>
      <w:hyperlink r:id="rId27"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=INT%2FCERD%2FALE%2FCMR%2F11088&amp;Lang=en</w:t>
        </w:r>
      </w:hyperlink>
      <w:r w:rsidR="007A599E" w:rsidRPr="007A599E">
        <w:rPr>
          <w:lang w:val="fr-FR"/>
        </w:rPr>
        <w:t>.</w:t>
      </w:r>
      <w:r>
        <w:fldChar w:fldCharType="begin"/>
      </w:r>
      <w:r>
        <w:instrText>HYPERLINK "https://tbinternet.ohchr.org/_layouts/15/treatybodyexternal/Download.aspx?symbolno=INT%2FCERD%2FALE%2FCMR%2F11088&amp;Lang=en"</w:instrText>
      </w:r>
      <w:r>
        <w:fldChar w:fldCharType="separate"/>
      </w:r>
      <w:r>
        <w:fldChar w:fldCharType="end"/>
      </w:r>
    </w:p>
  </w:footnote>
  <w:footnote w:id="23">
    <w:p w14:paraId="5D728EE7" w14:textId="48437265"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28"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/cerd-ewuap-letter-115-france</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"https://www.ohchr.org/sites/default/files/documents/hrbodies/cerd/earlywarning/letters/cerd-ewuap-letter-115-france.pdf"</w:instrText>
      </w:r>
      <w:r>
        <w:fldChar w:fldCharType="separate"/>
      </w:r>
      <w:r>
        <w:fldChar w:fldCharType="end"/>
      </w:r>
    </w:p>
  </w:footnote>
  <w:footnote w:id="24">
    <w:p w14:paraId="0EE11601" w14:textId="73AD701D"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29"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=INT%2FCERD%2FALE%2FGUY%2F11091&amp;Lang=en</w:t>
        </w:r>
      </w:hyperlink>
      <w:r w:rsidR="007A599E" w:rsidRPr="007A599E">
        <w:rPr>
          <w:lang w:val="fr-FR"/>
        </w:rPr>
        <w:t>.</w:t>
      </w:r>
      <w:r>
        <w:fldChar w:fldCharType="begin"/>
      </w:r>
      <w:r>
        <w:instrText>HYPERLINK "https://tbinternet.ohchr.org/_layouts/15/treatybodyexternal/Download.aspx?symbolno=INT%2FCERD%2FALE%2FGUY%2F11091&amp;Lang=en"</w:instrText>
      </w:r>
      <w:r>
        <w:fldChar w:fldCharType="separate"/>
      </w:r>
      <w:r>
        <w:fldChar w:fldCharType="end"/>
      </w:r>
    </w:p>
  </w:footnote>
  <w:footnote w:id="25">
    <w:p w14:paraId="6C15CEEC" w14:textId="74B237E2"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30"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/cerd-ewuap-letter-115-india-2</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"https://www.ohchr.org/sites/default/files/documents/hrbodies/cerd/earlywarning/letters/cerd-ewuap-letter-115-india-2.pdf"</w:instrText>
      </w:r>
      <w:r>
        <w:fldChar w:fldCharType="separate"/>
      </w:r>
      <w:r>
        <w:fldChar w:fldCharType="end"/>
      </w:r>
    </w:p>
  </w:footnote>
  <w:footnote w:id="26">
    <w:p w14:paraId="1BB0142B" w14:textId="0EF19EFC"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31"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/cerd-ewuap-letter-115-india-1</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"https://www.ohchr.org/sites/default/files/documents/hrbodies/cerd/earlywarning/letters/cerd-ewuap-letter-115-india-1.pdf"</w:instrText>
      </w:r>
      <w:r>
        <w:fldChar w:fldCharType="separate"/>
      </w:r>
      <w:r>
        <w:fldChar w:fldCharType="end"/>
      </w:r>
    </w:p>
  </w:footnote>
  <w:footnote w:id="27">
    <w:p w14:paraId="4D0286C5" w14:textId="2CD6066D" w:rsidR="005E5363" w:rsidRPr="007E0FB5" w:rsidRDefault="005E5363" w:rsidP="005E5363">
      <w:pPr>
        <w:pStyle w:val="Notedebasdepage"/>
      </w:pPr>
      <w:r w:rsidRPr="006D2822">
        <w:rPr>
          <w:lang w:val="fr-FR"/>
        </w:rPr>
        <w:tab/>
      </w:r>
      <w:r w:rsidRPr="00803B71">
        <w:rPr>
          <w:rStyle w:val="Appelnotedebasdep"/>
        </w:rPr>
        <w:footnoteRef/>
      </w:r>
      <w:r>
        <w:rPr>
          <w:lang w:val="fr-FR"/>
        </w:rPr>
        <w:tab/>
        <w:t xml:space="preserve">Disponible à l’adresse suivante : </w:t>
      </w:r>
      <w:hyperlink r:id="rId32"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/cerd-ewuap-letter-115-jamaica</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"https://www.ohchr.org/sites/default/files/documents/hrbodies/cerd/earlywarning/letters/cerd-ewuap-letter-115-jamaica.pdf"</w:instrText>
      </w:r>
      <w:r>
        <w:fldChar w:fldCharType="separate"/>
      </w:r>
      <w:r>
        <w:fldChar w:fldCharType="end"/>
      </w:r>
    </w:p>
  </w:footnote>
  <w:footnote w:id="28">
    <w:p w14:paraId="74F9028A" w14:textId="00F6E668" w:rsidR="005E5363" w:rsidRPr="007E0FB5" w:rsidRDefault="005E5363" w:rsidP="005E5363">
      <w:pPr>
        <w:pStyle w:val="Notedebasdepage"/>
      </w:pPr>
      <w:r w:rsidRPr="006D2822">
        <w:rPr>
          <w:lang w:val="fr-FR"/>
        </w:rPr>
        <w:tab/>
      </w:r>
      <w:r w:rsidRPr="00803B71">
        <w:rPr>
          <w:rStyle w:val="Appelnotedebasdep"/>
        </w:rPr>
        <w:footnoteRef/>
      </w:r>
      <w:r>
        <w:rPr>
          <w:lang w:val="fr-FR"/>
        </w:rPr>
        <w:tab/>
        <w:t xml:space="preserve">Disponible à l’adresse suivante : </w:t>
      </w:r>
      <w:hyperlink r:id="rId33"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/cerd-ewuap-letter-115-japan2</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"https://www.ohchr.org/sites/default/files/documents/hrbodies/cerd/earlywarning/letters/cerd-ewuap-letter-115-japan2.pdf"</w:instrText>
      </w:r>
      <w:r>
        <w:fldChar w:fldCharType="separate"/>
      </w:r>
      <w:r>
        <w:fldChar w:fldCharType="end"/>
      </w:r>
    </w:p>
  </w:footnote>
  <w:footnote w:id="29">
    <w:p w14:paraId="0FE35335" w14:textId="21069BEB" w:rsidR="005E5363" w:rsidRPr="007E0FB5" w:rsidRDefault="005E5363" w:rsidP="005E5363">
      <w:pPr>
        <w:pStyle w:val="Notedebasdepage"/>
      </w:pPr>
      <w:r w:rsidRPr="006D2822">
        <w:rPr>
          <w:lang w:val="fr-FR"/>
        </w:rPr>
        <w:tab/>
      </w:r>
      <w:r w:rsidRPr="00803B71">
        <w:rPr>
          <w:rStyle w:val="Appelnotedebasdep"/>
        </w:rPr>
        <w:footnoteRef/>
      </w:r>
      <w:r>
        <w:rPr>
          <w:lang w:val="fr-FR"/>
        </w:rPr>
        <w:tab/>
        <w:t xml:space="preserve">Disponible à l’adresse suivante : </w:t>
      </w:r>
      <w:hyperlink r:id="rId34"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/cerd-ewuap-letter-115-japan1</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"https://www.ohchr.org/sites/default/files/documents/hrbodies/cerd/earlywarning/letters/cerd-ewuap-letter-115-japan1.pdf"</w:instrText>
      </w:r>
      <w:r>
        <w:fldChar w:fldCharType="separate"/>
      </w:r>
      <w:r>
        <w:fldChar w:fldCharType="end"/>
      </w:r>
    </w:p>
  </w:footnote>
  <w:footnote w:id="30">
    <w:p w14:paraId="1EFBE176" w14:textId="5D612FA0" w:rsidR="005E5363" w:rsidRPr="007E0FB5" w:rsidRDefault="005E5363" w:rsidP="005E5363">
      <w:pPr>
        <w:pStyle w:val="Notedebasdepage"/>
      </w:pPr>
      <w:r>
        <w:rPr>
          <w:lang w:val="fr-FR"/>
        </w:rPr>
        <w:tab/>
      </w:r>
      <w:r w:rsidRPr="00803B71">
        <w:rPr>
          <w:rStyle w:val="Appelnotedebasdep"/>
        </w:rPr>
        <w:footnoteRef/>
      </w:r>
      <w:r>
        <w:rPr>
          <w:lang w:val="fr-FR"/>
        </w:rPr>
        <w:tab/>
        <w:t xml:space="preserve">Disponible à l’adresse suivante : </w:t>
      </w:r>
      <w:hyperlink r:id="rId35"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=INT%2FCERD%2FALE%2FNAM%2F11092&amp;Lang=en</w:t>
        </w:r>
      </w:hyperlink>
      <w:r w:rsidR="007A599E" w:rsidRPr="007A599E">
        <w:rPr>
          <w:lang w:val="fr-FR"/>
        </w:rPr>
        <w:t>.</w:t>
      </w:r>
      <w:r>
        <w:fldChar w:fldCharType="begin"/>
      </w:r>
      <w:r>
        <w:instrText>HYPERLINK "https://tbinternet.ohchr.org/_layouts/15/treatybodyexternal/Download.aspx?symbolno=INT%2FCERD%2FALE%2FNAM%2F11092&amp;Lang=en"</w:instrText>
      </w:r>
      <w:r>
        <w:fldChar w:fldCharType="separate"/>
      </w:r>
      <w:r>
        <w:fldChar w:fldCharType="end"/>
      </w:r>
    </w:p>
  </w:footnote>
  <w:footnote w:id="31">
    <w:p w14:paraId="18415BFE" w14:textId="56E11913" w:rsidR="00393B58" w:rsidRPr="007E0FB5" w:rsidRDefault="00393B58" w:rsidP="00393B58">
      <w:pPr>
        <w:pStyle w:val="Notedebasdepage"/>
      </w:pPr>
      <w:r w:rsidRPr="009C4C56">
        <w:rPr>
          <w:lang w:val="fr-FR"/>
        </w:rPr>
        <w:tab/>
      </w:r>
      <w:r w:rsidRPr="00803B71">
        <w:rPr>
          <w:rStyle w:val="Appelnotedebasdep"/>
        </w:rPr>
        <w:footnoteRef/>
      </w:r>
      <w:r>
        <w:rPr>
          <w:lang w:val="fr-FR"/>
        </w:rPr>
        <w:tab/>
        <w:t xml:space="preserve">Disponible à l’adresse suivante : </w:t>
      </w:r>
      <w:hyperlink r:id="rId36" w:history="1">
        <w:r w:rsidRPr="003C0690">
          <w:rPr>
            <w:rStyle w:val="Lienhypertexte"/>
            <w:lang w:val="fr-FR"/>
          </w:rPr>
          <w:t>https://www</w:t>
        </w:r>
        <w:r w:rsidR="007A599E" w:rsidRPr="007A599E">
          <w:rPr>
            <w:rStyle w:val="Lienhypertexte"/>
            <w:lang w:val="fr-FR"/>
          </w:rPr>
          <w:t>.</w:t>
        </w:r>
        <w:r w:rsidRPr="003C0690">
          <w:rPr>
            <w:rStyle w:val="Lienhypertexte"/>
            <w:lang w:val="fr-FR"/>
          </w:rPr>
          <w:t>ohchr</w:t>
        </w:r>
        <w:r w:rsidR="007A599E" w:rsidRPr="007A599E">
          <w:rPr>
            <w:rStyle w:val="Lienhypertexte"/>
            <w:lang w:val="fr-FR"/>
          </w:rPr>
          <w:t>.</w:t>
        </w:r>
        <w:r w:rsidRPr="003C0690">
          <w:rPr>
            <w:rStyle w:val="Lienhypertexte"/>
            <w:lang w:val="fr-FR"/>
          </w:rPr>
          <w:t xml:space="preserve">org/sites/default/files/documents/hrbodies/cerd/ </w:t>
        </w:r>
        <w:proofErr w:type="spellStart"/>
        <w:r w:rsidRPr="003C0690">
          <w:rPr>
            <w:rStyle w:val="Lienhypertexte"/>
            <w:lang w:val="fr-FR"/>
          </w:rPr>
          <w:t>earlywarning</w:t>
        </w:r>
        <w:proofErr w:type="spellEnd"/>
        <w:r w:rsidRPr="003C0690">
          <w:rPr>
            <w:rStyle w:val="Lienhypertexte"/>
            <w:lang w:val="fr-FR"/>
          </w:rPr>
          <w:t>/</w:t>
        </w:r>
        <w:proofErr w:type="spellStart"/>
        <w:r w:rsidRPr="003C0690">
          <w:rPr>
            <w:rStyle w:val="Lienhypertexte"/>
            <w:lang w:val="fr-FR"/>
          </w:rPr>
          <w:t>letters</w:t>
        </w:r>
        <w:proofErr w:type="spellEnd"/>
        <w:r w:rsidRPr="003C0690">
          <w:rPr>
            <w:rStyle w:val="Lienhypertexte"/>
            <w:lang w:val="fr-FR"/>
          </w:rPr>
          <w:t>/cerd-ewuap-letter-115-tanzania</w:t>
        </w:r>
        <w:r w:rsidR="007A599E" w:rsidRPr="007A599E">
          <w:rPr>
            <w:rStyle w:val="Lienhypertexte"/>
            <w:lang w:val="fr-FR"/>
          </w:rPr>
          <w:t>.</w:t>
        </w:r>
        <w:r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"https://www.ohchr.org/sites/default/files/documents/hrbodies/cerd/earlywarning/letters/cerd-ewuap-letter-115-tanzania.pdf"</w:instrText>
      </w:r>
      <w:r>
        <w:fldChar w:fldCharType="separate"/>
      </w:r>
      <w:r>
        <w:fldChar w:fldCharType="end"/>
      </w:r>
    </w:p>
  </w:footnote>
  <w:footnote w:id="32">
    <w:p w14:paraId="223985FE" w14:textId="680C20D6" w:rsidR="005E5363" w:rsidRPr="007E0FB5" w:rsidRDefault="005E5363" w:rsidP="005E5363">
      <w:pPr>
        <w:pStyle w:val="Notedebasdepage"/>
      </w:pPr>
      <w:r w:rsidRPr="009C4C56">
        <w:rPr>
          <w:lang w:val="fr-FR"/>
        </w:rPr>
        <w:tab/>
      </w:r>
      <w:r w:rsidRPr="00803B71">
        <w:rPr>
          <w:rStyle w:val="Appelnotedebasdep"/>
        </w:rPr>
        <w:footnoteRef/>
      </w:r>
      <w:r>
        <w:rPr>
          <w:lang w:val="fr-FR"/>
        </w:rPr>
        <w:tab/>
        <w:t xml:space="preserve">Disponible à l’adresse suivante : </w:t>
      </w:r>
      <w:hyperlink r:id="rId37"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=INT%2FCERD%2FALE%2FTUN%2F10042&amp;Lang=en</w:t>
        </w:r>
      </w:hyperlink>
      <w:r w:rsidR="007A599E" w:rsidRPr="007A599E">
        <w:rPr>
          <w:lang w:val="fr-FR"/>
        </w:rPr>
        <w:t>.</w:t>
      </w:r>
      <w:r>
        <w:fldChar w:fldCharType="begin"/>
      </w:r>
      <w:r>
        <w:instrText>HYPERLINK "https://tbinternet.ohchr.org/_layouts/15/treatybodyexternal/Download.aspx?symbolno=INT%2FCERD%2FALE%2FTUN%2F10042&amp;Lang=en"</w:instrText>
      </w:r>
      <w:r>
        <w:fldChar w:fldCharType="separate"/>
      </w:r>
      <w:r>
        <w:fldChar w:fldCharType="end"/>
      </w:r>
    </w:p>
  </w:footnote>
  <w:footnote w:id="33">
    <w:p w14:paraId="13D6290F" w14:textId="0C30B6E6" w:rsidR="005E5363" w:rsidRPr="007E0FB5" w:rsidRDefault="005E5363" w:rsidP="005E5363">
      <w:pPr>
        <w:pStyle w:val="Notedebasdepage"/>
      </w:pPr>
      <w:r w:rsidRPr="009C4C56">
        <w:rPr>
          <w:vertAlign w:val="superscript"/>
          <w:lang w:val="fr-FR"/>
        </w:rPr>
        <w:tab/>
      </w:r>
      <w:r w:rsidRPr="00803B71">
        <w:rPr>
          <w:rStyle w:val="Appelnotedebasdep"/>
        </w:rPr>
        <w:footnoteRef/>
      </w:r>
      <w:r>
        <w:rPr>
          <w:lang w:val="fr-FR"/>
        </w:rPr>
        <w:tab/>
        <w:t xml:space="preserve">Disponible à l’adresse suivante : </w:t>
      </w:r>
      <w:hyperlink r:id="rId38"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/cerd-ewuap-letter-115-tunisia-fr</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"https://www.ohchr.org/sites/default/files/documents/hrbodies/cerd/earlywarning/letters/cerd-ewuap-letter-115-tunisia-fr.pdf"</w:instrText>
      </w:r>
      <w:r>
        <w:fldChar w:fldCharType="separate"/>
      </w:r>
      <w:r>
        <w:fldChar w:fldCharType="end"/>
      </w:r>
    </w:p>
  </w:footnote>
  <w:footnote w:id="34">
    <w:p w14:paraId="19F1D861" w14:textId="078464B1" w:rsidR="005E5363" w:rsidRPr="007E0FB5" w:rsidRDefault="005E5363" w:rsidP="005E5363">
      <w:pPr>
        <w:pStyle w:val="Notedebasdepage"/>
      </w:pPr>
      <w:r w:rsidRPr="009C4C56">
        <w:rPr>
          <w:lang w:val="fr-FR"/>
        </w:rPr>
        <w:tab/>
      </w:r>
      <w:r w:rsidRPr="00803B71">
        <w:rPr>
          <w:rStyle w:val="Appelnotedebasdep"/>
        </w:rPr>
        <w:footnoteRef/>
      </w:r>
      <w:r>
        <w:rPr>
          <w:lang w:val="fr-FR"/>
        </w:rPr>
        <w:tab/>
        <w:t xml:space="preserve">Disponible à l’adresse suivante : </w:t>
      </w:r>
      <w:hyperlink r:id="rId39"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/cerd-ewuap-letter-115-usa3</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"https://www.ohchr.org/sites/default/files/documents/hrbodies/cerd/earlywarning/letters/cerd-ewuap-letter-115-usa3.pdf"</w:instrText>
      </w:r>
      <w:r>
        <w:fldChar w:fldCharType="separate"/>
      </w:r>
      <w:r>
        <w:fldChar w:fldCharType="end"/>
      </w:r>
    </w:p>
  </w:footnote>
  <w:footnote w:id="35">
    <w:p w14:paraId="6E06AFFE" w14:textId="785AC0DE" w:rsidR="005E5363" w:rsidRPr="007E0FB5" w:rsidRDefault="005E5363" w:rsidP="005E5363">
      <w:pPr>
        <w:pStyle w:val="Notedebasdepage"/>
      </w:pPr>
      <w:r w:rsidRPr="009C4C56">
        <w:rPr>
          <w:lang w:val="fr-FR"/>
        </w:rPr>
        <w:tab/>
      </w:r>
      <w:r w:rsidRPr="00803B71">
        <w:rPr>
          <w:rStyle w:val="Appelnotedebasdep"/>
        </w:rPr>
        <w:footnoteRef/>
      </w:r>
      <w:r>
        <w:rPr>
          <w:lang w:val="fr-FR"/>
        </w:rPr>
        <w:tab/>
        <w:t xml:space="preserve">Disponible à l’adresse suivante : </w:t>
      </w:r>
      <w:hyperlink r:id="rId40" w:history="1">
        <w:r w:rsidR="00117B2A" w:rsidRPr="003C0690">
          <w:rPr>
            <w:rStyle w:val="Lienhypertexte"/>
            <w:lang w:val="fr-FR"/>
          </w:rPr>
          <w:t>https://tbinternet</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org/_layouts/15/treatybodyexternal/ </w:t>
        </w:r>
        <w:proofErr w:type="spellStart"/>
        <w:r w:rsidR="00117B2A" w:rsidRPr="003C0690">
          <w:rPr>
            <w:rStyle w:val="Lienhypertexte"/>
            <w:lang w:val="fr-FR"/>
          </w:rPr>
          <w:t>Download</w:t>
        </w:r>
        <w:r w:rsidR="007A599E" w:rsidRPr="007A599E">
          <w:rPr>
            <w:rStyle w:val="Lienhypertexte"/>
            <w:lang w:val="fr-FR"/>
          </w:rPr>
          <w:t>.</w:t>
        </w:r>
        <w:r w:rsidR="00117B2A" w:rsidRPr="003C0690">
          <w:rPr>
            <w:rStyle w:val="Lienhypertexte"/>
            <w:lang w:val="fr-FR"/>
          </w:rPr>
          <w:t>aspx?symbolno</w:t>
        </w:r>
        <w:proofErr w:type="spellEnd"/>
        <w:r w:rsidR="00117B2A" w:rsidRPr="003C0690">
          <w:rPr>
            <w:rStyle w:val="Lienhypertexte"/>
            <w:lang w:val="fr-FR"/>
          </w:rPr>
          <w:t>=INT%2FCERD%2FALE%2FUSA%2F10043&amp;Lang=en</w:t>
        </w:r>
      </w:hyperlink>
      <w:r w:rsidR="007A599E" w:rsidRPr="007A599E">
        <w:rPr>
          <w:lang w:val="fr-FR"/>
        </w:rPr>
        <w:t>.</w:t>
      </w:r>
      <w:r>
        <w:fldChar w:fldCharType="begin"/>
      </w:r>
      <w:r>
        <w:instrText>HYPERLINK "https://tbinternet.ohchr.org/_layouts/15/treatybodyexternal/Download.aspx?symbolno=INT%2FCERD%2FALE%2FUSA%2F10043&amp;Lang=en"</w:instrText>
      </w:r>
      <w:r>
        <w:fldChar w:fldCharType="separate"/>
      </w:r>
      <w:r>
        <w:fldChar w:fldCharType="end"/>
      </w:r>
    </w:p>
  </w:footnote>
  <w:footnote w:id="36">
    <w:p w14:paraId="119A8A4E" w14:textId="096CB467" w:rsidR="005E5363" w:rsidRPr="007E0FB5" w:rsidRDefault="005E5363" w:rsidP="005E5363">
      <w:pPr>
        <w:pStyle w:val="Notedebasdepage"/>
      </w:pPr>
      <w:r w:rsidRPr="009C4C56">
        <w:rPr>
          <w:lang w:val="fr-FR"/>
        </w:rPr>
        <w:tab/>
      </w:r>
      <w:r w:rsidRPr="00803B71">
        <w:rPr>
          <w:rStyle w:val="Appelnotedebasdep"/>
        </w:rPr>
        <w:footnoteRef/>
      </w:r>
      <w:r>
        <w:rPr>
          <w:lang w:val="fr-FR"/>
        </w:rPr>
        <w:tab/>
        <w:t xml:space="preserve">Disponible à l’adresse suivante : </w:t>
      </w:r>
      <w:hyperlink r:id="rId41" w:history="1">
        <w:r w:rsidR="00117B2A" w:rsidRPr="003C0690">
          <w:rPr>
            <w:rStyle w:val="Lienhypertexte"/>
            <w:lang w:val="fr-FR"/>
          </w:rPr>
          <w:t>https://www</w:t>
        </w:r>
        <w:r w:rsidR="007A599E" w:rsidRPr="007A599E">
          <w:rPr>
            <w:rStyle w:val="Lienhypertexte"/>
            <w:lang w:val="fr-FR"/>
          </w:rPr>
          <w:t>.</w:t>
        </w:r>
        <w:r w:rsidR="00117B2A" w:rsidRPr="003C0690">
          <w:rPr>
            <w:rStyle w:val="Lienhypertexte"/>
            <w:lang w:val="fr-FR"/>
          </w:rPr>
          <w:t>ohchr</w:t>
        </w:r>
        <w:r w:rsidR="007A599E" w:rsidRPr="007A599E">
          <w:rPr>
            <w:rStyle w:val="Lienhypertexte"/>
            <w:lang w:val="fr-FR"/>
          </w:rPr>
          <w:t>.</w:t>
        </w:r>
        <w:r w:rsidR="00117B2A" w:rsidRPr="003C0690">
          <w:rPr>
            <w:rStyle w:val="Lienhypertexte"/>
            <w:lang w:val="fr-FR"/>
          </w:rPr>
          <w:t xml:space="preserve">org/sites/default/files/documents/hrbodies/cerd/ </w:t>
        </w:r>
        <w:proofErr w:type="spellStart"/>
        <w:r w:rsidR="00117B2A" w:rsidRPr="003C0690">
          <w:rPr>
            <w:rStyle w:val="Lienhypertexte"/>
            <w:lang w:val="fr-FR"/>
          </w:rPr>
          <w:t>earlywarning</w:t>
        </w:r>
        <w:proofErr w:type="spellEnd"/>
        <w:r w:rsidR="00117B2A" w:rsidRPr="003C0690">
          <w:rPr>
            <w:rStyle w:val="Lienhypertexte"/>
            <w:lang w:val="fr-FR"/>
          </w:rPr>
          <w:t>/</w:t>
        </w:r>
        <w:proofErr w:type="spellStart"/>
        <w:r w:rsidR="00117B2A" w:rsidRPr="003C0690">
          <w:rPr>
            <w:rStyle w:val="Lienhypertexte"/>
            <w:lang w:val="fr-FR"/>
          </w:rPr>
          <w:t>letters</w:t>
        </w:r>
        <w:proofErr w:type="spellEnd"/>
        <w:r w:rsidR="00117B2A" w:rsidRPr="003C0690">
          <w:rPr>
            <w:rStyle w:val="Lienhypertexte"/>
            <w:lang w:val="fr-FR"/>
          </w:rPr>
          <w:t>/cerd-ewuap-letter-115-usa2</w:t>
        </w:r>
        <w:r w:rsidR="007A599E" w:rsidRPr="007A599E">
          <w:rPr>
            <w:rStyle w:val="Lienhypertexte"/>
            <w:lang w:val="fr-FR"/>
          </w:rPr>
          <w:t>.</w:t>
        </w:r>
        <w:r w:rsidR="00117B2A" w:rsidRPr="003C0690">
          <w:rPr>
            <w:rStyle w:val="Lienhypertexte"/>
            <w:lang w:val="fr-FR"/>
          </w:rPr>
          <w:t>pdf</w:t>
        </w:r>
      </w:hyperlink>
      <w:r w:rsidR="007A599E" w:rsidRPr="007A599E">
        <w:rPr>
          <w:lang w:val="fr-FR"/>
        </w:rPr>
        <w:t>.</w:t>
      </w:r>
      <w:r>
        <w:fldChar w:fldCharType="begin"/>
      </w:r>
      <w:r>
        <w:instrText>HYPERLINK "https://www.ohchr.org/sites/default/files/documents/hrbodies/cerd/earlywarning/letters/cerd-ewuap-letter-115-usa2.pdf"</w:instrText>
      </w:r>
      <w:r>
        <w:fldChar w:fldCharType="separate"/>
      </w:r>
      <w:r>
        <w:fldChar w:fldCharType="end"/>
      </w:r>
    </w:p>
  </w:footnote>
  <w:footnote w:id="37">
    <w:p w14:paraId="70B87C85" w14:textId="140458A0" w:rsidR="005E5363" w:rsidRPr="007E0FB5" w:rsidRDefault="005E5363" w:rsidP="005E5363">
      <w:pPr>
        <w:pStyle w:val="Notedebasdepage"/>
      </w:pPr>
      <w:r w:rsidRPr="00BB40A7">
        <w:rPr>
          <w:lang w:val="fr-FR"/>
        </w:rPr>
        <w:tab/>
      </w:r>
      <w:r w:rsidRPr="00803B71">
        <w:rPr>
          <w:rStyle w:val="Appelnotedebasdep"/>
        </w:rPr>
        <w:footnoteRef/>
      </w:r>
      <w:r>
        <w:rPr>
          <w:lang w:val="fr-FR"/>
        </w:rPr>
        <w:tab/>
      </w:r>
      <w:hyperlink r:id="rId42" w:history="1">
        <w:r w:rsidRPr="00803B71">
          <w:rPr>
            <w:rStyle w:val="Lienhypertexte"/>
            <w:lang w:val="fr-FR"/>
          </w:rPr>
          <w:t>A/60/18</w:t>
        </w:r>
      </w:hyperlink>
      <w:r>
        <w:rPr>
          <w:lang w:val="fr-FR"/>
        </w:rPr>
        <w:t>, annexe IV</w:t>
      </w:r>
      <w:r w:rsidR="007A599E" w:rsidRPr="007A599E">
        <w:rPr>
          <w:lang w:val="fr-FR"/>
        </w:rPr>
        <w:t>.</w:t>
      </w:r>
      <w:r>
        <w:fldChar w:fldCharType="begin"/>
      </w:r>
      <w:r>
        <w:instrText>HYPERLINK "https://docs.un.org/en/A/60/18(SUPP)"</w:instrText>
      </w:r>
      <w:r>
        <w:fldChar w:fldCharType="separate"/>
      </w:r>
      <w:r>
        <w:fldChar w:fldCharType="end"/>
      </w:r>
    </w:p>
  </w:footnote>
  <w:footnote w:id="38">
    <w:p w14:paraId="708DDE45" w14:textId="0003F9E9" w:rsidR="005E5363" w:rsidRPr="007E0FB5" w:rsidRDefault="005E5363" w:rsidP="005E5363">
      <w:pPr>
        <w:pStyle w:val="Notedebasdepage"/>
      </w:pPr>
      <w:r w:rsidRPr="00BB40A7">
        <w:rPr>
          <w:lang w:val="fr-FR"/>
        </w:rPr>
        <w:tab/>
      </w:r>
      <w:r w:rsidRPr="00803B71">
        <w:rPr>
          <w:rStyle w:val="Appelnotedebasdep"/>
        </w:rPr>
        <w:footnoteRef/>
      </w:r>
      <w:r>
        <w:rPr>
          <w:lang w:val="fr-FR"/>
        </w:rPr>
        <w:tab/>
      </w:r>
      <w:hyperlink r:id="rId43" w:history="1">
        <w:r w:rsidRPr="00803B71">
          <w:rPr>
            <w:rStyle w:val="Lienhypertexte"/>
            <w:lang w:val="fr-FR"/>
          </w:rPr>
          <w:t>A/61/18</w:t>
        </w:r>
      </w:hyperlink>
      <w:r>
        <w:rPr>
          <w:lang w:val="fr-FR"/>
        </w:rPr>
        <w:t>, annexe VI</w:t>
      </w:r>
      <w:r w:rsidR="007A599E" w:rsidRPr="007A599E">
        <w:rPr>
          <w:lang w:val="fr-FR"/>
        </w:rPr>
        <w:t>.</w:t>
      </w:r>
      <w:r>
        <w:fldChar w:fldCharType="begin"/>
      </w:r>
      <w:r>
        <w:instrText>HYPERLINK "https://docs.un.org/en/A/61/18"</w:instrText>
      </w:r>
      <w:r>
        <w:fldChar w:fldCharType="separate"/>
      </w:r>
      <w:r>
        <w:fldChar w:fldCharType="end"/>
      </w:r>
    </w:p>
  </w:footnote>
  <w:footnote w:id="39">
    <w:p w14:paraId="0D94E2E6" w14:textId="53E55547" w:rsidR="005E5363" w:rsidRPr="007E0FB5" w:rsidRDefault="005E5363" w:rsidP="005E5363">
      <w:pPr>
        <w:pStyle w:val="Notedebasdepage"/>
      </w:pPr>
      <w:r>
        <w:rPr>
          <w:lang w:val="fr-FR"/>
        </w:rPr>
        <w:tab/>
      </w:r>
      <w:r w:rsidRPr="00803B71">
        <w:rPr>
          <w:rStyle w:val="Appelnotedebasdep"/>
        </w:rPr>
        <w:footnoteRef/>
      </w:r>
      <w:r>
        <w:rPr>
          <w:lang w:val="fr-FR"/>
        </w:rPr>
        <w:tab/>
        <w:t>Voir l’article 6 (par</w:t>
      </w:r>
      <w:r w:rsidR="007A599E" w:rsidRPr="007A599E">
        <w:rPr>
          <w:lang w:val="fr-FR"/>
        </w:rPr>
        <w:t>.</w:t>
      </w:r>
      <w:r>
        <w:rPr>
          <w:lang w:val="fr-FR"/>
        </w:rPr>
        <w:t> 5) du Règlement intérieur applicable aux auditions tenues en application de l’article 11 de la Convention (</w:t>
      </w:r>
      <w:hyperlink r:id="rId44" w:history="1">
        <w:r w:rsidRPr="00803B71">
          <w:rPr>
            <w:rStyle w:val="Lienhypertexte"/>
            <w:lang w:val="fr-FR"/>
          </w:rPr>
          <w:t>A/74/18</w:t>
        </w:r>
      </w:hyperlink>
      <w:r>
        <w:rPr>
          <w:lang w:val="fr-FR"/>
        </w:rPr>
        <w:t>, annexe II)</w:t>
      </w:r>
      <w:r w:rsidR="007A599E" w:rsidRPr="007A599E">
        <w:rPr>
          <w:lang w:val="fr-FR"/>
        </w:rPr>
        <w:t>.</w:t>
      </w:r>
      <w:r>
        <w:rPr>
          <w:lang w:val="fr-FR"/>
        </w:rPr>
        <w:t xml:space="preserve"> Voir aussi </w:t>
      </w:r>
      <w:hyperlink r:id="rId45" w:history="1">
        <w:r w:rsidRPr="00803B71">
          <w:rPr>
            <w:rStyle w:val="Lienhypertexte"/>
            <w:lang w:val="fr-FR"/>
          </w:rPr>
          <w:t>A/76/18</w:t>
        </w:r>
      </w:hyperlink>
      <w:r>
        <w:rPr>
          <w:lang w:val="fr-FR"/>
        </w:rPr>
        <w:t>, chap</w:t>
      </w:r>
      <w:r w:rsidR="007A599E" w:rsidRPr="007A599E">
        <w:rPr>
          <w:lang w:val="fr-FR"/>
        </w:rPr>
        <w:t>.</w:t>
      </w:r>
      <w:r>
        <w:rPr>
          <w:lang w:val="fr-FR"/>
        </w:rPr>
        <w:t xml:space="preserve"> V ; </w:t>
      </w:r>
      <w:hyperlink r:id="rId46" w:history="1">
        <w:r w:rsidRPr="00803B71">
          <w:rPr>
            <w:rStyle w:val="Lienhypertexte"/>
            <w:lang w:val="fr-FR"/>
          </w:rPr>
          <w:t>A/77/18</w:t>
        </w:r>
      </w:hyperlink>
      <w:r>
        <w:rPr>
          <w:lang w:val="fr-FR"/>
        </w:rPr>
        <w:t>, chap</w:t>
      </w:r>
      <w:r w:rsidR="007A599E" w:rsidRPr="007A599E">
        <w:rPr>
          <w:lang w:val="fr-FR"/>
        </w:rPr>
        <w:t>.</w:t>
      </w:r>
      <w:r>
        <w:rPr>
          <w:lang w:val="fr-FR"/>
        </w:rPr>
        <w:t xml:space="preserve"> V</w:t>
      </w:r>
      <w:r w:rsidR="007A599E" w:rsidRPr="007A599E">
        <w:rPr>
          <w:lang w:val="fr-FR"/>
        </w:rPr>
        <w:t>.</w:t>
      </w:r>
      <w:r>
        <w:fldChar w:fldCharType="begin"/>
      </w:r>
      <w:r>
        <w:instrText>HYPERLINK "https://docs.un.org/en/A/74/18"</w:instrText>
      </w:r>
      <w:r>
        <w:fldChar w:fldCharType="separate"/>
      </w:r>
      <w:r>
        <w:fldChar w:fldCharType="end"/>
      </w:r>
      <w:hyperlink r:id="rId47" w:history="1"/>
      <w:hyperlink r:id="rId48" w:history="1"/>
    </w:p>
  </w:footnote>
  <w:footnote w:id="40">
    <w:p w14:paraId="23D13F57" w14:textId="0ADC79AE" w:rsidR="005E5363" w:rsidRPr="007E0FB5" w:rsidRDefault="005E5363" w:rsidP="005E5363">
      <w:pPr>
        <w:pStyle w:val="Notedebasdepage"/>
        <w:rPr>
          <w:szCs w:val="18"/>
        </w:rPr>
      </w:pPr>
      <w:r w:rsidRPr="00D1232D">
        <w:rPr>
          <w:lang w:val="fr-FR"/>
        </w:rPr>
        <w:tab/>
      </w:r>
      <w:r w:rsidRPr="00803B71">
        <w:rPr>
          <w:rStyle w:val="Appelnotedebasdep"/>
        </w:rPr>
        <w:footnoteRef/>
      </w:r>
      <w:r>
        <w:rPr>
          <w:lang w:val="fr-FR"/>
        </w:rPr>
        <w:tab/>
        <w:t xml:space="preserve">Voir </w:t>
      </w:r>
      <w:r>
        <w:rPr>
          <w:i/>
          <w:iCs/>
          <w:lang w:val="fr-FR"/>
        </w:rPr>
        <w:t xml:space="preserve">supra </w:t>
      </w:r>
      <w:r>
        <w:rPr>
          <w:lang w:val="fr-FR"/>
        </w:rPr>
        <w:t>les paragraphes 37 à 44</w:t>
      </w:r>
      <w:r w:rsidR="007A599E" w:rsidRPr="007A599E">
        <w:rPr>
          <w:lang w:val="fr-FR"/>
        </w:rPr>
        <w:t>.</w:t>
      </w:r>
    </w:p>
  </w:footnote>
  <w:footnote w:id="41">
    <w:p w14:paraId="2D779F69" w14:textId="793CAE14" w:rsidR="005E5363" w:rsidRPr="007E0FB5" w:rsidRDefault="005E5363" w:rsidP="005E5363">
      <w:pPr>
        <w:pStyle w:val="Notedebasdepage"/>
      </w:pPr>
      <w:r>
        <w:rPr>
          <w:lang w:val="fr-FR"/>
        </w:rPr>
        <w:tab/>
      </w:r>
      <w:r w:rsidRPr="00803B71">
        <w:rPr>
          <w:rStyle w:val="Appelnotedebasdep"/>
        </w:rPr>
        <w:footnoteRef/>
      </w:r>
      <w:r>
        <w:rPr>
          <w:lang w:val="fr-FR"/>
        </w:rPr>
        <w:tab/>
        <w:t xml:space="preserve">Voir </w:t>
      </w:r>
      <w:hyperlink r:id="rId49"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org/en/calls-for-input/2025/call-inputs-civil-society-organizations-israel-and-state-palestine</w:t>
        </w:r>
      </w:hyperlink>
      <w:r w:rsidR="007A599E" w:rsidRPr="007A599E">
        <w:rPr>
          <w:lang w:val="fr-FR"/>
        </w:rPr>
        <w:t>.</w:t>
      </w:r>
    </w:p>
  </w:footnote>
  <w:footnote w:id="42">
    <w:p w14:paraId="612B3877" w14:textId="3D357AF7" w:rsidR="005E5363" w:rsidRPr="007E0FB5" w:rsidRDefault="005E5363" w:rsidP="005E5363">
      <w:pPr>
        <w:pStyle w:val="Notedebasdepage"/>
        <w:rPr>
          <w:szCs w:val="18"/>
        </w:rPr>
      </w:pPr>
      <w:r w:rsidRPr="009C0AD3">
        <w:rPr>
          <w:lang w:val="fr-FR"/>
        </w:rPr>
        <w:tab/>
      </w:r>
      <w:r w:rsidRPr="00803B71">
        <w:rPr>
          <w:rStyle w:val="Appelnotedebasdep"/>
        </w:rPr>
        <w:footnoteRef/>
      </w:r>
      <w:r>
        <w:rPr>
          <w:lang w:val="fr-FR"/>
        </w:rPr>
        <w:tab/>
        <w:t xml:space="preserve">On trouvera des renseignements concernant les déclarations à l’adresse suivante : </w:t>
      </w:r>
      <w:hyperlink r:id="rId50" w:history="1">
        <w:r>
          <w:rPr>
            <w:rStyle w:val="Lienhypertexte"/>
            <w:lang w:val="fr-FR"/>
          </w:rPr>
          <w:t>https://treaties</w:t>
        </w:r>
        <w:r w:rsidR="007A599E" w:rsidRPr="007A599E">
          <w:rPr>
            <w:rStyle w:val="Lienhypertexte"/>
            <w:lang w:val="fr-FR"/>
          </w:rPr>
          <w:t>.</w:t>
        </w:r>
        <w:r>
          <w:rPr>
            <w:rStyle w:val="Lienhypertexte"/>
            <w:lang w:val="fr-FR"/>
          </w:rPr>
          <w:t>un</w:t>
        </w:r>
        <w:r w:rsidR="007A599E" w:rsidRPr="007A599E">
          <w:rPr>
            <w:rStyle w:val="Lienhypertexte"/>
            <w:lang w:val="fr-FR"/>
          </w:rPr>
          <w:t>.</w:t>
        </w:r>
        <w:r>
          <w:rPr>
            <w:rStyle w:val="Lienhypertexte"/>
            <w:lang w:val="fr-FR"/>
          </w:rPr>
          <w:t>org/pages/Treaties</w:t>
        </w:r>
        <w:r w:rsidR="007A599E" w:rsidRPr="007A599E">
          <w:rPr>
            <w:rStyle w:val="Lienhypertexte"/>
            <w:lang w:val="fr-FR"/>
          </w:rPr>
          <w:t>.</w:t>
        </w:r>
        <w:r>
          <w:rPr>
            <w:rStyle w:val="Lienhypertexte"/>
            <w:lang w:val="fr-FR"/>
          </w:rPr>
          <w:t>aspx?id=4&amp;subid=A&amp;lang=fr</w:t>
        </w:r>
      </w:hyperlink>
      <w:r w:rsidR="007A599E" w:rsidRPr="007A599E">
        <w:rPr>
          <w:lang w:val="fr-FR"/>
        </w:rPr>
        <w:t>.</w:t>
      </w:r>
    </w:p>
  </w:footnote>
  <w:footnote w:id="43">
    <w:p w14:paraId="52220558" w14:textId="7B646887" w:rsidR="005E5363" w:rsidRPr="007E0FB5" w:rsidRDefault="005E5363" w:rsidP="005E5363">
      <w:pPr>
        <w:pStyle w:val="Notedebasdepage"/>
      </w:pPr>
      <w:r>
        <w:rPr>
          <w:lang w:val="fr-FR"/>
        </w:rPr>
        <w:tab/>
      </w:r>
      <w:r w:rsidRPr="00803B71">
        <w:rPr>
          <w:rStyle w:val="Appelnotedebasdep"/>
        </w:rPr>
        <w:footnoteRef/>
      </w:r>
      <w:r>
        <w:rPr>
          <w:lang w:val="fr-FR"/>
        </w:rPr>
        <w:tab/>
        <w:t xml:space="preserve">Enregistrée en 1984, la première communication était </w:t>
      </w:r>
      <w:r>
        <w:rPr>
          <w:i/>
          <w:iCs/>
          <w:lang w:val="fr-FR"/>
        </w:rPr>
        <w:t>Yilmaz-Dogan c</w:t>
      </w:r>
      <w:r w:rsidR="007A599E" w:rsidRPr="007A599E">
        <w:rPr>
          <w:i/>
          <w:iCs/>
          <w:lang w:val="fr-FR"/>
        </w:rPr>
        <w:t>.</w:t>
      </w:r>
      <w:r>
        <w:rPr>
          <w:i/>
          <w:iCs/>
          <w:lang w:val="fr-FR"/>
        </w:rPr>
        <w:t xml:space="preserve"> Pays-Bas</w:t>
      </w:r>
      <w:r>
        <w:rPr>
          <w:lang w:val="fr-FR"/>
        </w:rPr>
        <w:t xml:space="preserve"> (n</w:t>
      </w:r>
      <w:r>
        <w:rPr>
          <w:vertAlign w:val="superscript"/>
          <w:lang w:val="fr-FR"/>
        </w:rPr>
        <w:t>o</w:t>
      </w:r>
      <w:r>
        <w:rPr>
          <w:lang w:val="fr-FR"/>
        </w:rPr>
        <w:t xml:space="preserve"> 1/1984)</w:t>
      </w:r>
      <w:r w:rsidR="007A599E" w:rsidRPr="007A599E">
        <w:rPr>
          <w:lang w:val="fr-FR"/>
        </w:rPr>
        <w:t>.</w:t>
      </w:r>
    </w:p>
  </w:footnote>
  <w:footnote w:id="44">
    <w:p w14:paraId="7E33F22F" w14:textId="688FC48D" w:rsidR="005E5363" w:rsidRPr="007E0FB5" w:rsidRDefault="005E5363" w:rsidP="005E5363">
      <w:pPr>
        <w:pStyle w:val="Notedebasdepage"/>
      </w:pPr>
      <w:r>
        <w:rPr>
          <w:lang w:val="fr-FR"/>
        </w:rPr>
        <w:tab/>
      </w:r>
      <w:r w:rsidRPr="00803B71">
        <w:rPr>
          <w:rStyle w:val="Appelnotedebasdep"/>
        </w:rPr>
        <w:footnoteRef/>
      </w:r>
      <w:r>
        <w:rPr>
          <w:lang w:val="fr-FR"/>
        </w:rPr>
        <w:tab/>
        <w:t xml:space="preserve">Voir </w:t>
      </w:r>
      <w:hyperlink r:id="rId51"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org/en/events/events/2025/side-event-fourth-session-permanent-forum-people-african-descent-appropriate-use</w:t>
        </w:r>
      </w:hyperlink>
      <w:r w:rsidR="007A599E" w:rsidRPr="007A599E">
        <w:rPr>
          <w:lang w:val="fr-FR"/>
        </w:rPr>
        <w:t>.</w:t>
      </w:r>
    </w:p>
  </w:footnote>
  <w:footnote w:id="45">
    <w:p w14:paraId="29DEE086" w14:textId="56232851" w:rsidR="005E5363" w:rsidRPr="007E0FB5" w:rsidRDefault="005E5363" w:rsidP="005E5363">
      <w:pPr>
        <w:pStyle w:val="Notedebasdepage"/>
        <w:rPr>
          <w:rFonts w:asciiTheme="majorBidi" w:hAnsiTheme="majorBidi" w:cstheme="majorBidi"/>
        </w:rPr>
      </w:pPr>
      <w:r>
        <w:rPr>
          <w:lang w:val="fr-FR"/>
        </w:rPr>
        <w:tab/>
      </w:r>
      <w:r w:rsidRPr="00803B71">
        <w:rPr>
          <w:rStyle w:val="Appelnotedebasdep"/>
        </w:rPr>
        <w:footnoteRef/>
      </w:r>
      <w:r>
        <w:rPr>
          <w:lang w:val="fr-FR"/>
        </w:rPr>
        <w:tab/>
        <w:t xml:space="preserve">Voir </w:t>
      </w:r>
      <w:hyperlink r:id="rId52"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org/fr/calls-for-input/2025/call-inputs-cerd-general-recommendation-regarding-reparations-historical</w:t>
        </w:r>
      </w:hyperlink>
      <w:r w:rsidR="007A599E" w:rsidRPr="007A599E">
        <w:rPr>
          <w:lang w:val="fr-FR"/>
        </w:rPr>
        <w:t>.</w:t>
      </w:r>
      <w:r>
        <w:fldChar w:fldCharType="begin"/>
      </w:r>
      <w:r>
        <w:instrText>HYPERLINK "https://www.ohchr.org/en/calls-for-input/2025/call-inputs-cerd-general-recommendation-regarding-reparations-historical" \l ":~:text=Purpose%3A%20The%20proposed%20General%20Recommendation%20will%20provide%20guidance,massive%20and%20continuing%20harms%20suffere"</w:instrText>
      </w:r>
      <w:r>
        <w:fldChar w:fldCharType="separate"/>
      </w:r>
      <w:r>
        <w:fldChar w:fldCharType="end"/>
      </w:r>
    </w:p>
  </w:footnote>
  <w:footnote w:id="46">
    <w:p w14:paraId="66583A70" w14:textId="285D4A16" w:rsidR="005E5363" w:rsidRPr="007E0FB5" w:rsidRDefault="005E5363" w:rsidP="005E5363">
      <w:pPr>
        <w:pStyle w:val="Notedebasdepage"/>
      </w:pPr>
      <w:r>
        <w:rPr>
          <w:lang w:val="fr-FR"/>
        </w:rPr>
        <w:tab/>
      </w:r>
      <w:r w:rsidRPr="00803B71">
        <w:rPr>
          <w:rStyle w:val="Appelnotedebasdep"/>
        </w:rPr>
        <w:footnoteRef/>
      </w:r>
      <w:r>
        <w:rPr>
          <w:lang w:val="fr-FR"/>
        </w:rPr>
        <w:tab/>
        <w:t xml:space="preserve">Voir </w:t>
      </w:r>
      <w:hyperlink r:id="rId53" w:history="1">
        <w:r>
          <w:rPr>
            <w:rStyle w:val="Lienhypertexte"/>
            <w:lang w:val="fr-FR"/>
          </w:rPr>
          <w:t>https://www</w:t>
        </w:r>
        <w:r w:rsidR="007A599E" w:rsidRPr="007A599E">
          <w:rPr>
            <w:rStyle w:val="Lienhypertexte"/>
            <w:lang w:val="fr-FR"/>
          </w:rPr>
          <w:t>.</w:t>
        </w:r>
        <w:r>
          <w:rPr>
            <w:rStyle w:val="Lienhypertexte"/>
            <w:lang w:val="fr-FR"/>
          </w:rPr>
          <w:t>ohchr</w:t>
        </w:r>
        <w:r w:rsidR="007A599E" w:rsidRPr="007A599E">
          <w:rPr>
            <w:rStyle w:val="Lienhypertexte"/>
            <w:lang w:val="fr-FR"/>
          </w:rPr>
          <w:t>.</w:t>
        </w:r>
        <w:r>
          <w:rPr>
            <w:rStyle w:val="Lienhypertexte"/>
            <w:lang w:val="fr-FR"/>
          </w:rPr>
          <w:t>org/en/events/events/2025/half-day-general-discussion-proposed-general-recommendation-reparations</w:t>
        </w:r>
      </w:hyperlink>
      <w:r w:rsidR="007A599E" w:rsidRPr="007A599E">
        <w:rPr>
          <w:lang w:val="fr-FR"/>
        </w:rPr>
        <w:t>.</w:t>
      </w:r>
      <w:r>
        <w:fldChar w:fldCharType="begin"/>
      </w:r>
      <w:r>
        <w:instrText>HYPERLINK "https://www.ohchr.org/en/events/events/2025/half-day-general-discussion-proposed-general-recommendation-reparations"</w:instrText>
      </w:r>
      <w:r>
        <w:fldChar w:fldCharType="separate"/>
      </w:r>
      <w:r>
        <w:fldChar w:fldCharType="end"/>
      </w:r>
    </w:p>
  </w:footnote>
  <w:footnote w:id="47">
    <w:p w14:paraId="61C6B8A5" w14:textId="1AABBC19" w:rsidR="005E5363" w:rsidRPr="007E0FB5" w:rsidRDefault="005E5363" w:rsidP="005E5363">
      <w:pPr>
        <w:pStyle w:val="Notedebasdepage"/>
      </w:pPr>
      <w:r w:rsidRPr="00E275F0">
        <w:rPr>
          <w:lang w:val="fr-FR"/>
        </w:rPr>
        <w:tab/>
      </w:r>
      <w:r w:rsidRPr="00803B71">
        <w:rPr>
          <w:rStyle w:val="Appelnotedebasdep"/>
        </w:rPr>
        <w:footnoteRef/>
      </w:r>
      <w:r>
        <w:rPr>
          <w:lang w:val="fr-FR"/>
        </w:rPr>
        <w:tab/>
        <w:t>Anguilla, Bermudes, Gibraltar, Guam</w:t>
      </w:r>
      <w:r w:rsidRPr="007A599E">
        <w:rPr>
          <w:lang w:val="fr-FR"/>
        </w:rPr>
        <w:t xml:space="preserve">, Îles </w:t>
      </w:r>
      <w:proofErr w:type="spellStart"/>
      <w:r w:rsidRPr="007A599E">
        <w:rPr>
          <w:lang w:val="fr-FR"/>
        </w:rPr>
        <w:t>Caïmanes</w:t>
      </w:r>
      <w:proofErr w:type="spellEnd"/>
      <w:r w:rsidRPr="007A599E">
        <w:rPr>
          <w:lang w:val="fr-FR"/>
        </w:rPr>
        <w:t>, Îles</w:t>
      </w:r>
      <w:r>
        <w:rPr>
          <w:lang w:val="fr-FR"/>
        </w:rPr>
        <w:t xml:space="preserve"> Falkland (Malvinas), Îles Turques et Caïques, </w:t>
      </w:r>
      <w:r w:rsidRPr="007A599E">
        <w:rPr>
          <w:lang w:val="fr-FR"/>
        </w:rPr>
        <w:t>Îles Vierges américaines</w:t>
      </w:r>
      <w:r>
        <w:rPr>
          <w:lang w:val="fr-FR"/>
        </w:rPr>
        <w:t xml:space="preserve">, Îles Vierges britanniques, Montserrat, Nouvelle-Calédonie, Pitcairn, Polynésie française, Sahara occidental, Sainte-Hélène, Samoa américaines et </w:t>
      </w:r>
      <w:proofErr w:type="spellStart"/>
      <w:r>
        <w:rPr>
          <w:lang w:val="fr-FR"/>
        </w:rPr>
        <w:t>Tokélaou</w:t>
      </w:r>
      <w:proofErr w:type="spellEnd"/>
      <w:r w:rsidR="007A599E" w:rsidRPr="007A599E">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2D103" w14:textId="40982E6E" w:rsidR="00D71812" w:rsidRPr="00BC4613" w:rsidRDefault="00BF2362" w:rsidP="00D71812">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6C448A">
      <w:rPr>
        <w:sz w:val="17"/>
        <w:szCs w:val="17"/>
      </w:rPr>
      <w:t>A/80/18</w:t>
    </w:r>
    <w:r w:rsidRPr="00BC4613">
      <w:rPr>
        <w:sz w:val="17"/>
        <w:szCs w:val="17"/>
      </w:rPr>
      <w:fldChar w:fldCharType="end"/>
    </w:r>
  </w:p>
  <w:p w14:paraId="070935F6"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A3BAA" w14:textId="77777777" w:rsidR="00067141" w:rsidRPr="005813E3" w:rsidRDefault="00067141" w:rsidP="000E378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7237B"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5CA96" w14:textId="77777777" w:rsidR="00B7180A" w:rsidRDefault="00B7180A" w:rsidP="000E378D"/>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95863" w14:textId="313A1C49" w:rsidR="000E378D" w:rsidRPr="000E378D" w:rsidRDefault="000E378D" w:rsidP="000E378D">
    <w:pPr>
      <w:pStyle w:val="En-tte"/>
    </w:pPr>
    <w:fldSimple w:instr=" TITLE  \* MERGEFORMAT ">
      <w:r w:rsidR="006C448A">
        <w:t>A/80/18</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03CC66" w14:textId="6B604098" w:rsidR="00B7180A" w:rsidRDefault="000E378D" w:rsidP="000E378D">
    <w:pPr>
      <w:pStyle w:val="En-tte"/>
      <w:jc w:val="right"/>
    </w:pPr>
    <w:fldSimple w:instr=" TITLE  \* MERGEFORMAT ">
      <w:r w:rsidR="006C448A">
        <w:t>A/80/18</w:t>
      </w:r>
    </w:fldSimple>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8E84" w14:textId="5FFABFB6" w:rsidR="000E378D" w:rsidRDefault="000E378D" w:rsidP="000E378D">
    <w:pPr>
      <w:pStyle w:val="En-tte"/>
      <w:jc w:val="right"/>
    </w:pPr>
    <w:fldSimple w:instr=" TITLE  \* MERGEFORMAT ">
      <w:r w:rsidR="006C448A">
        <w:t>A/80/18</w:t>
      </w:r>
    </w:fldSimple>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035BF" w14:textId="6A0DD97E" w:rsidR="000E378D" w:rsidRDefault="000E378D" w:rsidP="000E378D">
    <w:pPr>
      <w:pStyle w:val="En-tte"/>
      <w:jc w:val="right"/>
    </w:pPr>
    <w:fldSimple w:instr=" TITLE  \* MERGEFORMAT ">
      <w:r w:rsidR="006C448A">
        <w:t>A/80/18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52482508"/>
    <w:lvl w:ilvl="0" w:tplc="48347734">
      <w:start w:val="73"/>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6D243B3C"/>
    <w:multiLevelType w:val="hybridMultilevel"/>
    <w:tmpl w:val="4184D3FC"/>
    <w:lvl w:ilvl="0" w:tplc="83302712">
      <w:start w:val="1"/>
      <w:numFmt w:val="upperRoman"/>
      <w:lvlText w:val="%1."/>
      <w:lvlJc w:val="left"/>
      <w:pPr>
        <w:ind w:left="8790" w:hanging="8052"/>
      </w:pPr>
      <w:rPr>
        <w:rFonts w:hint="default"/>
      </w:rPr>
    </w:lvl>
    <w:lvl w:ilvl="1" w:tplc="100C0019" w:tentative="1">
      <w:start w:val="1"/>
      <w:numFmt w:val="lowerLetter"/>
      <w:lvlText w:val="%2."/>
      <w:lvlJc w:val="left"/>
      <w:pPr>
        <w:ind w:left="1818" w:hanging="360"/>
      </w:pPr>
    </w:lvl>
    <w:lvl w:ilvl="2" w:tplc="100C001B" w:tentative="1">
      <w:start w:val="1"/>
      <w:numFmt w:val="lowerRoman"/>
      <w:lvlText w:val="%3."/>
      <w:lvlJc w:val="right"/>
      <w:pPr>
        <w:ind w:left="2538" w:hanging="180"/>
      </w:pPr>
    </w:lvl>
    <w:lvl w:ilvl="3" w:tplc="100C000F" w:tentative="1">
      <w:start w:val="1"/>
      <w:numFmt w:val="decimal"/>
      <w:lvlText w:val="%4."/>
      <w:lvlJc w:val="left"/>
      <w:pPr>
        <w:ind w:left="3258" w:hanging="360"/>
      </w:pPr>
    </w:lvl>
    <w:lvl w:ilvl="4" w:tplc="100C0019" w:tentative="1">
      <w:start w:val="1"/>
      <w:numFmt w:val="lowerLetter"/>
      <w:lvlText w:val="%5."/>
      <w:lvlJc w:val="left"/>
      <w:pPr>
        <w:ind w:left="3978" w:hanging="360"/>
      </w:pPr>
    </w:lvl>
    <w:lvl w:ilvl="5" w:tplc="100C001B" w:tentative="1">
      <w:start w:val="1"/>
      <w:numFmt w:val="lowerRoman"/>
      <w:lvlText w:val="%6."/>
      <w:lvlJc w:val="right"/>
      <w:pPr>
        <w:ind w:left="4698" w:hanging="180"/>
      </w:pPr>
    </w:lvl>
    <w:lvl w:ilvl="6" w:tplc="100C000F" w:tentative="1">
      <w:start w:val="1"/>
      <w:numFmt w:val="decimal"/>
      <w:lvlText w:val="%7."/>
      <w:lvlJc w:val="left"/>
      <w:pPr>
        <w:ind w:left="5418" w:hanging="360"/>
      </w:pPr>
    </w:lvl>
    <w:lvl w:ilvl="7" w:tplc="100C0019" w:tentative="1">
      <w:start w:val="1"/>
      <w:numFmt w:val="lowerLetter"/>
      <w:lvlText w:val="%8."/>
      <w:lvlJc w:val="left"/>
      <w:pPr>
        <w:ind w:left="6138" w:hanging="360"/>
      </w:pPr>
    </w:lvl>
    <w:lvl w:ilvl="8" w:tplc="100C001B" w:tentative="1">
      <w:start w:val="1"/>
      <w:numFmt w:val="lowerRoman"/>
      <w:lvlText w:val="%9."/>
      <w:lvlJc w:val="right"/>
      <w:pPr>
        <w:ind w:left="6858" w:hanging="180"/>
      </w:pPr>
    </w:lvl>
  </w:abstractNum>
  <w:num w:numId="1" w16cid:durableId="811479769">
    <w:abstractNumId w:val="3"/>
  </w:num>
  <w:num w:numId="2" w16cid:durableId="845174155">
    <w:abstractNumId w:val="2"/>
  </w:num>
  <w:num w:numId="3" w16cid:durableId="1396590152">
    <w:abstractNumId w:val="1"/>
  </w:num>
  <w:num w:numId="4" w16cid:durableId="630013736">
    <w:abstractNumId w:val="3"/>
  </w:num>
  <w:num w:numId="5" w16cid:durableId="99030265">
    <w:abstractNumId w:val="2"/>
  </w:num>
  <w:num w:numId="6" w16cid:durableId="522204598">
    <w:abstractNumId w:val="1"/>
  </w:num>
  <w:num w:numId="7" w16cid:durableId="1257639404">
    <w:abstractNumId w:val="4"/>
  </w:num>
  <w:num w:numId="8" w16cid:durableId="1427464132">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259"/>
    <w:rsid w:val="000067A6"/>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569FE"/>
    <w:rsid w:val="000641CE"/>
    <w:rsid w:val="00067141"/>
    <w:rsid w:val="00067310"/>
    <w:rsid w:val="00077E35"/>
    <w:rsid w:val="0008669E"/>
    <w:rsid w:val="00090599"/>
    <w:rsid w:val="00096270"/>
    <w:rsid w:val="000A097F"/>
    <w:rsid w:val="000A1501"/>
    <w:rsid w:val="000A2494"/>
    <w:rsid w:val="000A6B7E"/>
    <w:rsid w:val="000C6CDB"/>
    <w:rsid w:val="000D5C25"/>
    <w:rsid w:val="000E378D"/>
    <w:rsid w:val="000E4F06"/>
    <w:rsid w:val="000E5601"/>
    <w:rsid w:val="000F41F2"/>
    <w:rsid w:val="0010373B"/>
    <w:rsid w:val="00117B2A"/>
    <w:rsid w:val="00120C09"/>
    <w:rsid w:val="00125446"/>
    <w:rsid w:val="001262C6"/>
    <w:rsid w:val="00126DCC"/>
    <w:rsid w:val="001358D9"/>
    <w:rsid w:val="00141E26"/>
    <w:rsid w:val="00143EB9"/>
    <w:rsid w:val="00145051"/>
    <w:rsid w:val="0015389C"/>
    <w:rsid w:val="00160540"/>
    <w:rsid w:val="00166C68"/>
    <w:rsid w:val="00174814"/>
    <w:rsid w:val="00181A90"/>
    <w:rsid w:val="00190D5D"/>
    <w:rsid w:val="00192660"/>
    <w:rsid w:val="00192EEB"/>
    <w:rsid w:val="00194484"/>
    <w:rsid w:val="0019559B"/>
    <w:rsid w:val="001A2040"/>
    <w:rsid w:val="001A20FB"/>
    <w:rsid w:val="001A2FE8"/>
    <w:rsid w:val="001A376F"/>
    <w:rsid w:val="001B09BB"/>
    <w:rsid w:val="001C3D8D"/>
    <w:rsid w:val="001C6497"/>
    <w:rsid w:val="001D12EC"/>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659F1"/>
    <w:rsid w:val="00270821"/>
    <w:rsid w:val="00271E41"/>
    <w:rsid w:val="00284C19"/>
    <w:rsid w:val="00286E23"/>
    <w:rsid w:val="002876A1"/>
    <w:rsid w:val="00287CA6"/>
    <w:rsid w:val="00287E79"/>
    <w:rsid w:val="00290049"/>
    <w:rsid w:val="002928F9"/>
    <w:rsid w:val="00294D5B"/>
    <w:rsid w:val="002A2A2C"/>
    <w:rsid w:val="002A5D07"/>
    <w:rsid w:val="002B40F2"/>
    <w:rsid w:val="002D1BED"/>
    <w:rsid w:val="002D25CA"/>
    <w:rsid w:val="002D3DA4"/>
    <w:rsid w:val="002D64CF"/>
    <w:rsid w:val="002E2F5C"/>
    <w:rsid w:val="002F0C48"/>
    <w:rsid w:val="003016B7"/>
    <w:rsid w:val="00305BCD"/>
    <w:rsid w:val="0030754C"/>
    <w:rsid w:val="00317E54"/>
    <w:rsid w:val="00322DF1"/>
    <w:rsid w:val="00324EBF"/>
    <w:rsid w:val="0032556C"/>
    <w:rsid w:val="00330508"/>
    <w:rsid w:val="0033286A"/>
    <w:rsid w:val="00333130"/>
    <w:rsid w:val="0034168A"/>
    <w:rsid w:val="00346E32"/>
    <w:rsid w:val="003515AA"/>
    <w:rsid w:val="00364F13"/>
    <w:rsid w:val="0036776C"/>
    <w:rsid w:val="00372A7A"/>
    <w:rsid w:val="00372D1D"/>
    <w:rsid w:val="00374106"/>
    <w:rsid w:val="003759BF"/>
    <w:rsid w:val="0037679A"/>
    <w:rsid w:val="0038047C"/>
    <w:rsid w:val="00387D3E"/>
    <w:rsid w:val="00390EEF"/>
    <w:rsid w:val="00393B58"/>
    <w:rsid w:val="00394410"/>
    <w:rsid w:val="003976D5"/>
    <w:rsid w:val="003B53B6"/>
    <w:rsid w:val="003C64A9"/>
    <w:rsid w:val="003D346F"/>
    <w:rsid w:val="003D3C77"/>
    <w:rsid w:val="003D6C68"/>
    <w:rsid w:val="003E01D0"/>
    <w:rsid w:val="003E49B9"/>
    <w:rsid w:val="003E5F12"/>
    <w:rsid w:val="003E786C"/>
    <w:rsid w:val="003F2A89"/>
    <w:rsid w:val="003F4433"/>
    <w:rsid w:val="003F4A54"/>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6265"/>
    <w:rsid w:val="004800A5"/>
    <w:rsid w:val="00481132"/>
    <w:rsid w:val="00483E94"/>
    <w:rsid w:val="00490F56"/>
    <w:rsid w:val="00491F39"/>
    <w:rsid w:val="004A49A5"/>
    <w:rsid w:val="004A66A2"/>
    <w:rsid w:val="004B51CD"/>
    <w:rsid w:val="004C54C0"/>
    <w:rsid w:val="004C56B2"/>
    <w:rsid w:val="004D00B2"/>
    <w:rsid w:val="004E4963"/>
    <w:rsid w:val="004E6809"/>
    <w:rsid w:val="004E7F24"/>
    <w:rsid w:val="004F49A4"/>
    <w:rsid w:val="005111B1"/>
    <w:rsid w:val="0051457E"/>
    <w:rsid w:val="005154B1"/>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0F83"/>
    <w:rsid w:val="005813E3"/>
    <w:rsid w:val="00584373"/>
    <w:rsid w:val="00591DB3"/>
    <w:rsid w:val="005939ED"/>
    <w:rsid w:val="005947BC"/>
    <w:rsid w:val="00595E8A"/>
    <w:rsid w:val="005A0268"/>
    <w:rsid w:val="005A6014"/>
    <w:rsid w:val="005B473C"/>
    <w:rsid w:val="005C549A"/>
    <w:rsid w:val="005D7719"/>
    <w:rsid w:val="005E1B9B"/>
    <w:rsid w:val="005E32D1"/>
    <w:rsid w:val="005E5363"/>
    <w:rsid w:val="005E5D1F"/>
    <w:rsid w:val="005F7C4F"/>
    <w:rsid w:val="0061113B"/>
    <w:rsid w:val="00611D43"/>
    <w:rsid w:val="00612D48"/>
    <w:rsid w:val="00613A5E"/>
    <w:rsid w:val="00614FBD"/>
    <w:rsid w:val="00616B45"/>
    <w:rsid w:val="006241C6"/>
    <w:rsid w:val="00627593"/>
    <w:rsid w:val="00630D9B"/>
    <w:rsid w:val="00631953"/>
    <w:rsid w:val="0063208D"/>
    <w:rsid w:val="00643814"/>
    <w:rsid w:val="006439EC"/>
    <w:rsid w:val="00645090"/>
    <w:rsid w:val="00647059"/>
    <w:rsid w:val="00647162"/>
    <w:rsid w:val="0065029A"/>
    <w:rsid w:val="00650770"/>
    <w:rsid w:val="00661667"/>
    <w:rsid w:val="00661E96"/>
    <w:rsid w:val="00665786"/>
    <w:rsid w:val="00671C93"/>
    <w:rsid w:val="00671F00"/>
    <w:rsid w:val="006729C8"/>
    <w:rsid w:val="00675501"/>
    <w:rsid w:val="0068562A"/>
    <w:rsid w:val="006957F9"/>
    <w:rsid w:val="006A6B31"/>
    <w:rsid w:val="006A6C95"/>
    <w:rsid w:val="006A7B29"/>
    <w:rsid w:val="006B0EB2"/>
    <w:rsid w:val="006B0FF8"/>
    <w:rsid w:val="006B4590"/>
    <w:rsid w:val="006C340C"/>
    <w:rsid w:val="006C448A"/>
    <w:rsid w:val="006E492F"/>
    <w:rsid w:val="006F1D0B"/>
    <w:rsid w:val="006F27A8"/>
    <w:rsid w:val="006F3493"/>
    <w:rsid w:val="006F3544"/>
    <w:rsid w:val="006F5A52"/>
    <w:rsid w:val="00702F0F"/>
    <w:rsid w:val="0070347C"/>
    <w:rsid w:val="007102D2"/>
    <w:rsid w:val="00714647"/>
    <w:rsid w:val="00714A66"/>
    <w:rsid w:val="007176C1"/>
    <w:rsid w:val="00720BC0"/>
    <w:rsid w:val="0072116B"/>
    <w:rsid w:val="00725063"/>
    <w:rsid w:val="00732E72"/>
    <w:rsid w:val="00741D90"/>
    <w:rsid w:val="007607B1"/>
    <w:rsid w:val="00765296"/>
    <w:rsid w:val="00766D28"/>
    <w:rsid w:val="007723C2"/>
    <w:rsid w:val="007815B9"/>
    <w:rsid w:val="00785F1F"/>
    <w:rsid w:val="00790B9D"/>
    <w:rsid w:val="00796316"/>
    <w:rsid w:val="007A1C58"/>
    <w:rsid w:val="007A20D2"/>
    <w:rsid w:val="007A599E"/>
    <w:rsid w:val="007A79CD"/>
    <w:rsid w:val="007B0ECA"/>
    <w:rsid w:val="007D2668"/>
    <w:rsid w:val="007D3119"/>
    <w:rsid w:val="007F1867"/>
    <w:rsid w:val="007F1EC4"/>
    <w:rsid w:val="007F55CB"/>
    <w:rsid w:val="007F6597"/>
    <w:rsid w:val="007F768E"/>
    <w:rsid w:val="008021D4"/>
    <w:rsid w:val="008149F9"/>
    <w:rsid w:val="008245B7"/>
    <w:rsid w:val="0082755E"/>
    <w:rsid w:val="00831A18"/>
    <w:rsid w:val="00837345"/>
    <w:rsid w:val="00844750"/>
    <w:rsid w:val="00851A74"/>
    <w:rsid w:val="00853AB8"/>
    <w:rsid w:val="00854C34"/>
    <w:rsid w:val="0085586A"/>
    <w:rsid w:val="008729F8"/>
    <w:rsid w:val="00895DE5"/>
    <w:rsid w:val="008A0FA8"/>
    <w:rsid w:val="008A1EC0"/>
    <w:rsid w:val="008B44C4"/>
    <w:rsid w:val="008B6DFA"/>
    <w:rsid w:val="008C322B"/>
    <w:rsid w:val="008C4B74"/>
    <w:rsid w:val="008D1156"/>
    <w:rsid w:val="008D59DB"/>
    <w:rsid w:val="008E0319"/>
    <w:rsid w:val="008E4DE2"/>
    <w:rsid w:val="008E7CE2"/>
    <w:rsid w:val="008E7FAE"/>
    <w:rsid w:val="00911611"/>
    <w:rsid w:val="00911BF7"/>
    <w:rsid w:val="0091594A"/>
    <w:rsid w:val="009230F1"/>
    <w:rsid w:val="00935490"/>
    <w:rsid w:val="009418DE"/>
    <w:rsid w:val="009516B7"/>
    <w:rsid w:val="0095776B"/>
    <w:rsid w:val="00957CE5"/>
    <w:rsid w:val="009624E2"/>
    <w:rsid w:val="00977EC8"/>
    <w:rsid w:val="00983432"/>
    <w:rsid w:val="009A3048"/>
    <w:rsid w:val="009A6C26"/>
    <w:rsid w:val="009B17AD"/>
    <w:rsid w:val="009B3F8C"/>
    <w:rsid w:val="009B45E0"/>
    <w:rsid w:val="009B540F"/>
    <w:rsid w:val="009D3A8C"/>
    <w:rsid w:val="009E1BA9"/>
    <w:rsid w:val="009E2876"/>
    <w:rsid w:val="009E2F0B"/>
    <w:rsid w:val="009E7956"/>
    <w:rsid w:val="009F072F"/>
    <w:rsid w:val="009F26C1"/>
    <w:rsid w:val="009F3F95"/>
    <w:rsid w:val="00A023FC"/>
    <w:rsid w:val="00A0338D"/>
    <w:rsid w:val="00A05DD1"/>
    <w:rsid w:val="00A077E9"/>
    <w:rsid w:val="00A2492E"/>
    <w:rsid w:val="00A31163"/>
    <w:rsid w:val="00A34593"/>
    <w:rsid w:val="00A364DB"/>
    <w:rsid w:val="00A45E90"/>
    <w:rsid w:val="00A4770F"/>
    <w:rsid w:val="00A50D6B"/>
    <w:rsid w:val="00A51050"/>
    <w:rsid w:val="00A56945"/>
    <w:rsid w:val="00A57027"/>
    <w:rsid w:val="00A5750C"/>
    <w:rsid w:val="00A669DA"/>
    <w:rsid w:val="00A72C35"/>
    <w:rsid w:val="00A752BB"/>
    <w:rsid w:val="00A81F93"/>
    <w:rsid w:val="00A9247E"/>
    <w:rsid w:val="00AA073D"/>
    <w:rsid w:val="00AA7796"/>
    <w:rsid w:val="00AC67A1"/>
    <w:rsid w:val="00AC7977"/>
    <w:rsid w:val="00AC7E56"/>
    <w:rsid w:val="00AE2617"/>
    <w:rsid w:val="00AE352C"/>
    <w:rsid w:val="00AE79AC"/>
    <w:rsid w:val="00AF50C2"/>
    <w:rsid w:val="00AF6F14"/>
    <w:rsid w:val="00B01AAD"/>
    <w:rsid w:val="00B101DB"/>
    <w:rsid w:val="00B10DD9"/>
    <w:rsid w:val="00B12F5D"/>
    <w:rsid w:val="00B21751"/>
    <w:rsid w:val="00B256F0"/>
    <w:rsid w:val="00B31D7D"/>
    <w:rsid w:val="00B32E2D"/>
    <w:rsid w:val="00B43741"/>
    <w:rsid w:val="00B45642"/>
    <w:rsid w:val="00B52F29"/>
    <w:rsid w:val="00B5388D"/>
    <w:rsid w:val="00B5722C"/>
    <w:rsid w:val="00B61990"/>
    <w:rsid w:val="00B6249B"/>
    <w:rsid w:val="00B70CCD"/>
    <w:rsid w:val="00B7180A"/>
    <w:rsid w:val="00B75E66"/>
    <w:rsid w:val="00B773BF"/>
    <w:rsid w:val="00B840C1"/>
    <w:rsid w:val="00B93C7D"/>
    <w:rsid w:val="00BB0DAE"/>
    <w:rsid w:val="00BC3F20"/>
    <w:rsid w:val="00BC4613"/>
    <w:rsid w:val="00BD03A2"/>
    <w:rsid w:val="00BD28B2"/>
    <w:rsid w:val="00BD5A8D"/>
    <w:rsid w:val="00BD7343"/>
    <w:rsid w:val="00BF0556"/>
    <w:rsid w:val="00BF2362"/>
    <w:rsid w:val="00BF37EE"/>
    <w:rsid w:val="00C024A1"/>
    <w:rsid w:val="00C02C42"/>
    <w:rsid w:val="00C031A5"/>
    <w:rsid w:val="00C10FB1"/>
    <w:rsid w:val="00C11282"/>
    <w:rsid w:val="00C12CA3"/>
    <w:rsid w:val="00C14108"/>
    <w:rsid w:val="00C2512C"/>
    <w:rsid w:val="00C261F8"/>
    <w:rsid w:val="00C27662"/>
    <w:rsid w:val="00C33100"/>
    <w:rsid w:val="00C421A0"/>
    <w:rsid w:val="00C451B9"/>
    <w:rsid w:val="00C467A6"/>
    <w:rsid w:val="00C51D9C"/>
    <w:rsid w:val="00C54DA4"/>
    <w:rsid w:val="00C55118"/>
    <w:rsid w:val="00C577D1"/>
    <w:rsid w:val="00C57A2D"/>
    <w:rsid w:val="00C6018C"/>
    <w:rsid w:val="00C66C3B"/>
    <w:rsid w:val="00C67D23"/>
    <w:rsid w:val="00C71827"/>
    <w:rsid w:val="00C81073"/>
    <w:rsid w:val="00C825E5"/>
    <w:rsid w:val="00C872B4"/>
    <w:rsid w:val="00C95EB8"/>
    <w:rsid w:val="00CA5952"/>
    <w:rsid w:val="00CB02C5"/>
    <w:rsid w:val="00CB39CD"/>
    <w:rsid w:val="00CB78C4"/>
    <w:rsid w:val="00CC7CE6"/>
    <w:rsid w:val="00CD044C"/>
    <w:rsid w:val="00CD1A71"/>
    <w:rsid w:val="00CD1FBB"/>
    <w:rsid w:val="00CE033D"/>
    <w:rsid w:val="00CE08E5"/>
    <w:rsid w:val="00D016B5"/>
    <w:rsid w:val="00D034F1"/>
    <w:rsid w:val="00D14F42"/>
    <w:rsid w:val="00D171D4"/>
    <w:rsid w:val="00D26F76"/>
    <w:rsid w:val="00D27D5E"/>
    <w:rsid w:val="00D32B08"/>
    <w:rsid w:val="00D407D1"/>
    <w:rsid w:val="00D43E5F"/>
    <w:rsid w:val="00D51CE6"/>
    <w:rsid w:val="00D639BD"/>
    <w:rsid w:val="00D65777"/>
    <w:rsid w:val="00D66E0D"/>
    <w:rsid w:val="00D71812"/>
    <w:rsid w:val="00D7425A"/>
    <w:rsid w:val="00D74F7E"/>
    <w:rsid w:val="00D7695F"/>
    <w:rsid w:val="00D83B6C"/>
    <w:rsid w:val="00D9039B"/>
    <w:rsid w:val="00D93582"/>
    <w:rsid w:val="00D944F3"/>
    <w:rsid w:val="00DA41A2"/>
    <w:rsid w:val="00DA43A1"/>
    <w:rsid w:val="00DA5E1D"/>
    <w:rsid w:val="00DC4F43"/>
    <w:rsid w:val="00DE6D90"/>
    <w:rsid w:val="00DF002F"/>
    <w:rsid w:val="00DF128E"/>
    <w:rsid w:val="00DF4D0D"/>
    <w:rsid w:val="00E0244D"/>
    <w:rsid w:val="00E026DF"/>
    <w:rsid w:val="00E02F48"/>
    <w:rsid w:val="00E03712"/>
    <w:rsid w:val="00E06B3F"/>
    <w:rsid w:val="00E10A73"/>
    <w:rsid w:val="00E14F27"/>
    <w:rsid w:val="00E171D2"/>
    <w:rsid w:val="00E25534"/>
    <w:rsid w:val="00E26EF3"/>
    <w:rsid w:val="00E319B6"/>
    <w:rsid w:val="00E32145"/>
    <w:rsid w:val="00E32F5A"/>
    <w:rsid w:val="00E37E21"/>
    <w:rsid w:val="00E510F3"/>
    <w:rsid w:val="00E60012"/>
    <w:rsid w:val="00E62CFF"/>
    <w:rsid w:val="00E665EE"/>
    <w:rsid w:val="00E679AE"/>
    <w:rsid w:val="00E71570"/>
    <w:rsid w:val="00E7392D"/>
    <w:rsid w:val="00E73B13"/>
    <w:rsid w:val="00E75259"/>
    <w:rsid w:val="00E75C58"/>
    <w:rsid w:val="00E76819"/>
    <w:rsid w:val="00E81E94"/>
    <w:rsid w:val="00E82607"/>
    <w:rsid w:val="00E82B5B"/>
    <w:rsid w:val="00E84A82"/>
    <w:rsid w:val="00E85025"/>
    <w:rsid w:val="00E9483E"/>
    <w:rsid w:val="00E96710"/>
    <w:rsid w:val="00EA3B1D"/>
    <w:rsid w:val="00EB77B9"/>
    <w:rsid w:val="00EB7D07"/>
    <w:rsid w:val="00ED3A26"/>
    <w:rsid w:val="00EF33E0"/>
    <w:rsid w:val="00EF70BB"/>
    <w:rsid w:val="00EF7D1D"/>
    <w:rsid w:val="00F02FA9"/>
    <w:rsid w:val="00F06660"/>
    <w:rsid w:val="00F115C8"/>
    <w:rsid w:val="00F116EB"/>
    <w:rsid w:val="00F1794E"/>
    <w:rsid w:val="00F17DC0"/>
    <w:rsid w:val="00F20909"/>
    <w:rsid w:val="00F211AF"/>
    <w:rsid w:val="00F25EC3"/>
    <w:rsid w:val="00F31AB9"/>
    <w:rsid w:val="00F32ADB"/>
    <w:rsid w:val="00F32C98"/>
    <w:rsid w:val="00F37E12"/>
    <w:rsid w:val="00F424BD"/>
    <w:rsid w:val="00F44A01"/>
    <w:rsid w:val="00F515AD"/>
    <w:rsid w:val="00F57DD7"/>
    <w:rsid w:val="00F636AD"/>
    <w:rsid w:val="00F70677"/>
    <w:rsid w:val="00F734D9"/>
    <w:rsid w:val="00F73F83"/>
    <w:rsid w:val="00F7416D"/>
    <w:rsid w:val="00F74902"/>
    <w:rsid w:val="00F773FD"/>
    <w:rsid w:val="00F85A4E"/>
    <w:rsid w:val="00F9353A"/>
    <w:rsid w:val="00F94EBB"/>
    <w:rsid w:val="00F965C2"/>
    <w:rsid w:val="00FA1D61"/>
    <w:rsid w:val="00FA27D4"/>
    <w:rsid w:val="00FA3C45"/>
    <w:rsid w:val="00FA5A79"/>
    <w:rsid w:val="00FB0BFE"/>
    <w:rsid w:val="00FB1C8F"/>
    <w:rsid w:val="00FB4300"/>
    <w:rsid w:val="00FB4C51"/>
    <w:rsid w:val="00FB734D"/>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D5FAAAF"/>
  <w15:docId w15:val="{60F065C3-06DD-4560-BB05-0D795530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4F3"/>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tabs>
        <w:tab w:val="left" w:pos="1701"/>
        <w:tab w:val="left" w:pos="2268"/>
        <w:tab w:val="left" w:pos="2835"/>
      </w:tabs>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067141"/>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outlineLvl w:val="2"/>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outlineLvl w:val="1"/>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outlineLvl w:val="0"/>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outlineLvl w:val="5"/>
    </w:pPr>
  </w:style>
  <w:style w:type="paragraph" w:customStyle="1" w:styleId="SMG">
    <w:name w:val="__S_M_G"/>
    <w:basedOn w:val="Normal"/>
    <w:next w:val="Normal"/>
    <w:rsid w:val="00FC4149"/>
    <w:pPr>
      <w:keepNext/>
      <w:keepLines/>
      <w:spacing w:line="420" w:lineRule="exact"/>
      <w:ind w:left="1134" w:right="1134"/>
      <w:outlineLvl w:val="0"/>
    </w:pPr>
    <w:rPr>
      <w:b/>
      <w:sz w:val="40"/>
    </w:rPr>
  </w:style>
  <w:style w:type="paragraph" w:customStyle="1" w:styleId="SLG">
    <w:name w:val="__S_L_G"/>
    <w:basedOn w:val="Normal"/>
    <w:next w:val="Normal"/>
    <w:rsid w:val="00FC4149"/>
    <w:pPr>
      <w:keepNext/>
      <w:keepLines/>
      <w:spacing w:line="580" w:lineRule="exact"/>
      <w:ind w:left="1134" w:right="1134"/>
      <w:outlineLvl w:val="0"/>
    </w:pPr>
    <w:rPr>
      <w:b/>
      <w:sz w:val="57"/>
    </w:rPr>
  </w:style>
  <w:style w:type="paragraph" w:customStyle="1" w:styleId="SSG">
    <w:name w:val="__S_S_G"/>
    <w:basedOn w:val="Normal"/>
    <w:next w:val="Normal"/>
    <w:rsid w:val="00FC4149"/>
    <w:pPr>
      <w:keepNext/>
      <w:keepLines/>
      <w:spacing w:line="300" w:lineRule="exact"/>
      <w:ind w:left="1134" w:right="1134"/>
      <w:outlineLvl w:val="0"/>
    </w:pPr>
    <w:rPr>
      <w:b/>
      <w:sz w:val="28"/>
    </w:rPr>
  </w:style>
  <w:style w:type="paragraph" w:customStyle="1" w:styleId="XLargeG">
    <w:name w:val="__XLarge_G"/>
    <w:basedOn w:val="Normal"/>
    <w:next w:val="Normal"/>
    <w:rsid w:val="00FC4149"/>
    <w:pPr>
      <w:keepNext/>
      <w:keepLines/>
      <w:spacing w:line="420" w:lineRule="exact"/>
      <w:ind w:left="1134" w:right="1134"/>
      <w:outlineLvl w:val="0"/>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left" w:pos="1701"/>
        <w:tab w:val="left" w:pos="2268"/>
        <w:tab w:val="left" w:pos="2835"/>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067141"/>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 w:type="paragraph" w:customStyle="1" w:styleId="STitleLG">
    <w:name w:val="S_Title_L_G"/>
    <w:basedOn w:val="SLG"/>
    <w:uiPriority w:val="2"/>
    <w:qFormat/>
    <w:rsid w:val="00D944F3"/>
    <w:pPr>
      <w:spacing w:after="240"/>
    </w:pPr>
    <w:rPr>
      <w:szCs w:val="57"/>
      <w:lang w:val="fr-FR"/>
    </w:rPr>
  </w:style>
  <w:style w:type="paragraph" w:customStyle="1" w:styleId="STitleMG">
    <w:name w:val="S_Title_M_G"/>
    <w:basedOn w:val="SMG"/>
    <w:uiPriority w:val="2"/>
    <w:qFormat/>
    <w:rsid w:val="00D944F3"/>
    <w:rPr>
      <w:lang w:val="fr-FR"/>
    </w:rPr>
  </w:style>
  <w:style w:type="paragraph" w:customStyle="1" w:styleId="STitleSG">
    <w:name w:val="S_Title_S_G"/>
    <w:basedOn w:val="SSG"/>
    <w:uiPriority w:val="2"/>
    <w:qFormat/>
    <w:rsid w:val="00D944F3"/>
  </w:style>
  <w:style w:type="character" w:styleId="Mentionnonrsolue">
    <w:name w:val="Unresolved Mention"/>
    <w:basedOn w:val="Policepardfaut"/>
    <w:uiPriority w:val="99"/>
    <w:semiHidden/>
    <w:unhideWhenUsed/>
    <w:rsid w:val="005E5363"/>
    <w:rPr>
      <w:color w:val="605E5C"/>
      <w:shd w:val="clear" w:color="auto" w:fill="E1DFDD"/>
    </w:rPr>
  </w:style>
  <w:style w:type="paragraph" w:customStyle="1" w:styleId="ParaNoG">
    <w:name w:val="_ParaNo._G"/>
    <w:basedOn w:val="SingleTxtG"/>
    <w:rsid w:val="005E5363"/>
    <w:pPr>
      <w:numPr>
        <w:numId w:val="8"/>
      </w:numPr>
      <w:tabs>
        <w:tab w:val="clear" w:pos="2835"/>
      </w:tabs>
      <w:kinsoku/>
      <w:overflowPunct/>
      <w:autoSpaceDE/>
      <w:autoSpaceDN/>
      <w:adjustRightInd/>
      <w:snapToGrid/>
    </w:pPr>
    <w:rPr>
      <w:rFonts w:eastAsia="SimSun"/>
      <w:lang w:val="en-GB" w:eastAsia="zh-CN"/>
    </w:rPr>
  </w:style>
  <w:style w:type="paragraph" w:styleId="Rvision">
    <w:name w:val="Revision"/>
    <w:hidden/>
    <w:uiPriority w:val="99"/>
    <w:semiHidden/>
    <w:rsid w:val="005E5363"/>
    <w:rPr>
      <w:rFonts w:eastAsia="SimSun"/>
      <w:lang w:eastAsia="zh-CN"/>
    </w:rPr>
  </w:style>
  <w:style w:type="paragraph" w:customStyle="1" w:styleId="ColorfulShading-Accent11">
    <w:name w:val="Colorful Shading - Accent 11"/>
    <w:hidden/>
    <w:uiPriority w:val="71"/>
    <w:rsid w:val="005E5363"/>
    <w:rPr>
      <w:lang w:eastAsia="en-US"/>
    </w:rPr>
  </w:style>
  <w:style w:type="paragraph" w:styleId="Commentaire">
    <w:name w:val="annotation text"/>
    <w:basedOn w:val="Normal"/>
    <w:link w:val="CommentaireCar"/>
    <w:uiPriority w:val="99"/>
    <w:unhideWhenUsed/>
    <w:rsid w:val="005E5363"/>
    <w:pPr>
      <w:spacing w:line="240" w:lineRule="auto"/>
    </w:pPr>
    <w:rPr>
      <w:lang w:val="en-GB"/>
    </w:rPr>
  </w:style>
  <w:style w:type="character" w:customStyle="1" w:styleId="CommentaireCar">
    <w:name w:val="Commentaire Car"/>
    <w:basedOn w:val="Policepardfaut"/>
    <w:link w:val="Commentaire"/>
    <w:uiPriority w:val="99"/>
    <w:rsid w:val="005E5363"/>
    <w:rPr>
      <w:rFonts w:eastAsiaTheme="minorHAnsi"/>
      <w:lang w:eastAsia="en-US"/>
    </w:rPr>
  </w:style>
  <w:style w:type="character" w:styleId="Marquedecommentaire">
    <w:name w:val="annotation reference"/>
    <w:basedOn w:val="Policepardfaut"/>
    <w:uiPriority w:val="99"/>
    <w:semiHidden/>
    <w:unhideWhenUsed/>
    <w:rsid w:val="005E5363"/>
    <w:rPr>
      <w:sz w:val="16"/>
      <w:szCs w:val="16"/>
    </w:rPr>
  </w:style>
  <w:style w:type="paragraph" w:styleId="Objetducommentaire">
    <w:name w:val="annotation subject"/>
    <w:basedOn w:val="Commentaire"/>
    <w:next w:val="Commentaire"/>
    <w:link w:val="ObjetducommentaireCar"/>
    <w:uiPriority w:val="99"/>
    <w:semiHidden/>
    <w:unhideWhenUsed/>
    <w:rsid w:val="005E5363"/>
    <w:rPr>
      <w:b/>
      <w:bCs/>
    </w:rPr>
  </w:style>
  <w:style w:type="character" w:customStyle="1" w:styleId="ObjetducommentaireCar">
    <w:name w:val="Objet du commentaire Car"/>
    <w:basedOn w:val="CommentaireCar"/>
    <w:link w:val="Objetducommentaire"/>
    <w:uiPriority w:val="99"/>
    <w:semiHidden/>
    <w:rsid w:val="005E5363"/>
    <w:rPr>
      <w:rFonts w:eastAsiaTheme="minorHAns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ocs.un.org/fr/CERD/C/114/1" TargetMode="External"/><Relationship Id="rId117" Type="http://schemas.openxmlformats.org/officeDocument/2006/relationships/hyperlink" Target="https://docs.un.org/en/A/79/23" TargetMode="External"/><Relationship Id="rId21" Type="http://schemas.openxmlformats.org/officeDocument/2006/relationships/footer" Target="footer6.xml"/><Relationship Id="rId42" Type="http://schemas.openxmlformats.org/officeDocument/2006/relationships/hyperlink" Target="https://docs.un.org/fr/CERD/C/IRQ/CO/26-27" TargetMode="External"/><Relationship Id="rId47" Type="http://schemas.openxmlformats.org/officeDocument/2006/relationships/hyperlink" Target="https://docs.un.org/en/CERD/C/BLR/CO/24-25" TargetMode="External"/><Relationship Id="rId63" Type="http://schemas.openxmlformats.org/officeDocument/2006/relationships/hyperlink" Target="https://docs.un.org/en/CERD/C/KEN/CO/8-9" TargetMode="External"/><Relationship Id="rId68" Type="http://schemas.openxmlformats.org/officeDocument/2006/relationships/hyperlink" Target="https://docs.un.org/fr/CERD/C/MUS/CO/24-25" TargetMode="External"/><Relationship Id="rId84" Type="http://schemas.openxmlformats.org/officeDocument/2006/relationships/hyperlink" Target="https://docs.un.org/fr/CERD/C/TJK/FCO/12-13" TargetMode="External"/><Relationship Id="rId89" Type="http://schemas.openxmlformats.org/officeDocument/2006/relationships/hyperlink" Target="https://docs.un.org/en/CERD/C/PRT/FCO/18-19" TargetMode="External"/><Relationship Id="rId112" Type="http://schemas.openxmlformats.org/officeDocument/2006/relationships/hyperlink" Target="https://docs.un.org/en/CERD/C/115/D/67/2018" TargetMode="External"/><Relationship Id="rId16" Type="http://schemas.openxmlformats.org/officeDocument/2006/relationships/header" Target="header4.xml"/><Relationship Id="rId107" Type="http://schemas.openxmlformats.org/officeDocument/2006/relationships/hyperlink" Target="https://docs.un.org/en/CERD/C/MWI/QPR/1" TargetMode="External"/><Relationship Id="rId11" Type="http://schemas.openxmlformats.org/officeDocument/2006/relationships/image" Target="media/image4.png"/><Relationship Id="rId32" Type="http://schemas.openxmlformats.org/officeDocument/2006/relationships/hyperlink" Target="https://docs.un.org/en/A/62/18" TargetMode="External"/><Relationship Id="rId37" Type="http://schemas.openxmlformats.org/officeDocument/2006/relationships/hyperlink" Target="https://docs.un.org/en/CERD/C/113/3/Add.1" TargetMode="External"/><Relationship Id="rId53" Type="http://schemas.openxmlformats.org/officeDocument/2006/relationships/hyperlink" Target="https://docs.un.org/en/CERD/C/VEN/CO/22-24" TargetMode="External"/><Relationship Id="rId58" Type="http://schemas.openxmlformats.org/officeDocument/2006/relationships/hyperlink" Target="https://docs.un.org/fr/CERD/C/KEN/CO/8-9" TargetMode="External"/><Relationship Id="rId74" Type="http://schemas.openxmlformats.org/officeDocument/2006/relationships/hyperlink" Target="https://docs.un.org/en/CERD/C/KOR/CO/20-22" TargetMode="External"/><Relationship Id="rId79" Type="http://schemas.openxmlformats.org/officeDocument/2006/relationships/hyperlink" Target="http://documents.un.org" TargetMode="External"/><Relationship Id="rId102" Type="http://schemas.openxmlformats.org/officeDocument/2006/relationships/hyperlink" Target="https://docs.un.org/fr/A/RES/68/268" TargetMode="External"/><Relationship Id="rId123" Type="http://schemas.openxmlformats.org/officeDocument/2006/relationships/hyperlink" Target="https://docs.un.org/en/CERD/C/SR.3081"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docs.un.org/en/CERD/C/TJK/FCO/12-13" TargetMode="External"/><Relationship Id="rId95" Type="http://schemas.openxmlformats.org/officeDocument/2006/relationships/hyperlink" Target="https://docs.un.org/en/CERD/C/113/3" TargetMode="External"/><Relationship Id="rId19" Type="http://schemas.openxmlformats.org/officeDocument/2006/relationships/header" Target="header6.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s://docs.un.org/fr/CERD/C/115/1" TargetMode="External"/><Relationship Id="rId30" Type="http://schemas.openxmlformats.org/officeDocument/2006/relationships/hyperlink" Target="https://docs.un.org/en/CERD/C/115/1" TargetMode="External"/><Relationship Id="rId35" Type="http://schemas.openxmlformats.org/officeDocument/2006/relationships/hyperlink" Target="https://docs.un.org/fr/CERD/C/113/3/Add.2" TargetMode="External"/><Relationship Id="rId43" Type="http://schemas.openxmlformats.org/officeDocument/2006/relationships/hyperlink" Target="https://docs.un.org/fr/CERD/C/PAK/CO/24-26" TargetMode="External"/><Relationship Id="rId48" Type="http://schemas.openxmlformats.org/officeDocument/2006/relationships/hyperlink" Target="https://docs.un.org/en/CERD/C/BIH/CO/14-15" TargetMode="External"/><Relationship Id="rId56" Type="http://schemas.openxmlformats.org/officeDocument/2006/relationships/hyperlink" Target="https://docs.un.org/fr/CERD/C/ECU/CO/25" TargetMode="External"/><Relationship Id="rId64" Type="http://schemas.openxmlformats.org/officeDocument/2006/relationships/hyperlink" Target="https://docs.un.org/en/CERD/C/MCO/CO/7-9" TargetMode="External"/><Relationship Id="rId69" Type="http://schemas.openxmlformats.org/officeDocument/2006/relationships/hyperlink" Target="https://docs.un.org/fr/CERD/C/KOR/CO/20-22" TargetMode="External"/><Relationship Id="rId77" Type="http://schemas.openxmlformats.org/officeDocument/2006/relationships/hyperlink" Target="http://documents.un.org" TargetMode="External"/><Relationship Id="rId100" Type="http://schemas.openxmlformats.org/officeDocument/2006/relationships/hyperlink" Target="https://docs.un.org/fr/CERD/C/35/Rev.4" TargetMode="External"/><Relationship Id="rId105" Type="http://schemas.openxmlformats.org/officeDocument/2006/relationships/hyperlink" Target="https://docs.un.org/fr/CERD/C/SYC/QPR/6" TargetMode="External"/><Relationship Id="rId113" Type="http://schemas.openxmlformats.org/officeDocument/2006/relationships/hyperlink" Target="https://docs.un.org/en/CERD/C/115/D/76/2021" TargetMode="External"/><Relationship Id="rId118" Type="http://schemas.openxmlformats.org/officeDocument/2006/relationships/hyperlink" Target="https://docs.un.org/en/CERD/C/115/3" TargetMode="External"/><Relationship Id="rId126" Type="http://schemas.openxmlformats.org/officeDocument/2006/relationships/footer" Target="footer8.xml"/><Relationship Id="rId8" Type="http://schemas.openxmlformats.org/officeDocument/2006/relationships/image" Target="media/image1.wmf"/><Relationship Id="rId51" Type="http://schemas.openxmlformats.org/officeDocument/2006/relationships/hyperlink" Target="https://docs.un.org/en/CERD/C/PAK/CO/24-26" TargetMode="External"/><Relationship Id="rId72" Type="http://schemas.openxmlformats.org/officeDocument/2006/relationships/hyperlink" Target="https://docs.un.org/en/CERD/C/KGZ/CO/11-12" TargetMode="External"/><Relationship Id="rId80" Type="http://schemas.openxmlformats.org/officeDocument/2006/relationships/hyperlink" Target="https://docs.un.org/fr/CERD/C/DEU/FCO/23-26" TargetMode="External"/><Relationship Id="rId85" Type="http://schemas.openxmlformats.org/officeDocument/2006/relationships/hyperlink" Target="https://docs.un.org/fr/CERD/C/URY/FCO/24-26" TargetMode="External"/><Relationship Id="rId93" Type="http://schemas.openxmlformats.org/officeDocument/2006/relationships/hyperlink" Target="https://docs.un.org/fr/CERD/C/113/3/Add.1" TargetMode="External"/><Relationship Id="rId98" Type="http://schemas.openxmlformats.org/officeDocument/2006/relationships/hyperlink" Target="https://docs.un.org/fr/CERD/C/113/3" TargetMode="External"/><Relationship Id="rId121" Type="http://schemas.openxmlformats.org/officeDocument/2006/relationships/hyperlink" Target="https://docs.un.org/fr/CERD/C/SR.3081"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s://docs.un.org/fr/CERD/C/113/1" TargetMode="External"/><Relationship Id="rId33" Type="http://schemas.openxmlformats.org/officeDocument/2006/relationships/hyperlink" Target="https://docs.un.org/fr/CERD/C/113/3" TargetMode="External"/><Relationship Id="rId38" Type="http://schemas.openxmlformats.org/officeDocument/2006/relationships/hyperlink" Target="https://docs.un.org/en/CERD/C/113/3/Add.2" TargetMode="External"/><Relationship Id="rId46" Type="http://schemas.openxmlformats.org/officeDocument/2006/relationships/hyperlink" Target="https://docs.un.org/fr/CERD/C/GBR/CO/24-26" TargetMode="External"/><Relationship Id="rId59" Type="http://schemas.openxmlformats.org/officeDocument/2006/relationships/hyperlink" Target="https://docs.un.org/fr/CERD/C/MCO/CO/7-9" TargetMode="External"/><Relationship Id="rId67" Type="http://schemas.openxmlformats.org/officeDocument/2006/relationships/hyperlink" Target="https://docs.un.org/fr/CERD/C/KGZ/CO/11-12" TargetMode="External"/><Relationship Id="rId103" Type="http://schemas.openxmlformats.org/officeDocument/2006/relationships/hyperlink" Target="https://docs.un.org/fr/CERD/C/CIV/QPR/15-17" TargetMode="External"/><Relationship Id="rId108" Type="http://schemas.openxmlformats.org/officeDocument/2006/relationships/hyperlink" Target="https://docs.un.org/en/CERD/C/SYC/QPR/6" TargetMode="External"/><Relationship Id="rId116" Type="http://schemas.openxmlformats.org/officeDocument/2006/relationships/hyperlink" Target="https://docs.un.org/fr/CERD/C/115/3" TargetMode="External"/><Relationship Id="rId124" Type="http://schemas.openxmlformats.org/officeDocument/2006/relationships/hyperlink" Target="https://docs.un.org/en/CERD/C/SR.3082" TargetMode="External"/><Relationship Id="rId20" Type="http://schemas.openxmlformats.org/officeDocument/2006/relationships/footer" Target="footer5.xml"/><Relationship Id="rId41" Type="http://schemas.openxmlformats.org/officeDocument/2006/relationships/hyperlink" Target="https://docs.un.org/fr/CERD/C/BIH/CO/14-15" TargetMode="External"/><Relationship Id="rId54" Type="http://schemas.openxmlformats.org/officeDocument/2006/relationships/hyperlink" Target="https://docs.un.org/fr/CERD/C/SAU/CO/10-11" TargetMode="External"/><Relationship Id="rId62" Type="http://schemas.openxmlformats.org/officeDocument/2006/relationships/hyperlink" Target="https://docs.un.org/en/CERD/C/GRC/CO/23-24" TargetMode="External"/><Relationship Id="rId70" Type="http://schemas.openxmlformats.org/officeDocument/2006/relationships/hyperlink" Target="https://docs.un.org/fr/CERD/C/UKR/CO/24-26" TargetMode="External"/><Relationship Id="rId75" Type="http://schemas.openxmlformats.org/officeDocument/2006/relationships/hyperlink" Target="https://docs.un.org/en/CERD/C/UKR/CO/24-26" TargetMode="External"/><Relationship Id="rId83" Type="http://schemas.openxmlformats.org/officeDocument/2006/relationships/hyperlink" Target="https://docs.un.org/fr/CERD/C/PRT/FCO/18-19" TargetMode="External"/><Relationship Id="rId88" Type="http://schemas.openxmlformats.org/officeDocument/2006/relationships/hyperlink" Target="https://docs.un.org/en/CERD/C/MAR/FCO/19-21" TargetMode="External"/><Relationship Id="rId91" Type="http://schemas.openxmlformats.org/officeDocument/2006/relationships/hyperlink" Target="https://docs.un.org/en/CERD/C/URY/FCO/24-26" TargetMode="External"/><Relationship Id="rId96" Type="http://schemas.openxmlformats.org/officeDocument/2006/relationships/hyperlink" Target="https://docs.un.org/en/CERD/C/113/3/Add.1" TargetMode="External"/><Relationship Id="rId111" Type="http://schemas.openxmlformats.org/officeDocument/2006/relationships/hyperlink" Target="https://docs.un.org/fr/CERD/C/115/D/77/202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s://docs.un.org/en/CERD/C/113/1" TargetMode="External"/><Relationship Id="rId36" Type="http://schemas.openxmlformats.org/officeDocument/2006/relationships/hyperlink" Target="https://docs.un.org/en/CERD/C/113/3" TargetMode="External"/><Relationship Id="rId49" Type="http://schemas.openxmlformats.org/officeDocument/2006/relationships/hyperlink" Target="https://docs.un.org/en/CERD/C/IRN/CO/20-27" TargetMode="External"/><Relationship Id="rId57" Type="http://schemas.openxmlformats.org/officeDocument/2006/relationships/hyperlink" Target="https://docs.un.org/fr/CERD/C/GRC/CO/23-24" TargetMode="External"/><Relationship Id="rId106" Type="http://schemas.openxmlformats.org/officeDocument/2006/relationships/hyperlink" Target="https://docs.un.org/en/CERD/C/CIV/QPR/15-17" TargetMode="External"/><Relationship Id="rId114" Type="http://schemas.openxmlformats.org/officeDocument/2006/relationships/hyperlink" Target="https://docs.un.org/en/CERD/C/115/D/77/2021" TargetMode="External"/><Relationship Id="rId119" Type="http://schemas.openxmlformats.org/officeDocument/2006/relationships/hyperlink" Target="https://docs.un.org/fr/CERD/C/VEN/CO/22-24" TargetMode="External"/><Relationship Id="rId12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hyperlink" Target="https://docs.un.org/fr/A/62/18" TargetMode="External"/><Relationship Id="rId44" Type="http://schemas.openxmlformats.org/officeDocument/2006/relationships/hyperlink" Target="https://docs.un.org/fr/CERD/C/VEN/CO/22-24" TargetMode="External"/><Relationship Id="rId52" Type="http://schemas.openxmlformats.org/officeDocument/2006/relationships/hyperlink" Target="https://docs.un.org/en/CERD/C/GBR/CO/24-26" TargetMode="External"/><Relationship Id="rId60" Type="http://schemas.openxmlformats.org/officeDocument/2006/relationships/hyperlink" Target="https://docs.un.org/en/CERD/C/ARM/CO/12-14" TargetMode="External"/><Relationship Id="rId65" Type="http://schemas.openxmlformats.org/officeDocument/2006/relationships/hyperlink" Target="https://docs.un.org/en/CERD/C/SAU/CO/10-11" TargetMode="External"/><Relationship Id="rId73" Type="http://schemas.openxmlformats.org/officeDocument/2006/relationships/hyperlink" Target="https://docs.un.org/en/CERD/C/MUS/CO/24-25" TargetMode="External"/><Relationship Id="rId78" Type="http://schemas.openxmlformats.org/officeDocument/2006/relationships/hyperlink" Target="https://www.ohchr.org/en/treaty-bodies/cerd" TargetMode="External"/><Relationship Id="rId81" Type="http://schemas.openxmlformats.org/officeDocument/2006/relationships/hyperlink" Target="https://docs.un.org/fr/CERD/C/HRV/FCO/9-14" TargetMode="External"/><Relationship Id="rId86" Type="http://schemas.openxmlformats.org/officeDocument/2006/relationships/hyperlink" Target="https://docs.un.org/en/CERD/C/HRV/FCO/9-14" TargetMode="External"/><Relationship Id="rId94" Type="http://schemas.openxmlformats.org/officeDocument/2006/relationships/hyperlink" Target="https://docs.un.org/fr/CERD/C/113/3/Add.2" TargetMode="External"/><Relationship Id="rId99" Type="http://schemas.openxmlformats.org/officeDocument/2006/relationships/hyperlink" Target="https://docs.un.org/en/CERD/C/113/3" TargetMode="External"/><Relationship Id="rId101" Type="http://schemas.openxmlformats.org/officeDocument/2006/relationships/hyperlink" Target="https://docs.un.org/en/CERD/C/35/Rev.4" TargetMode="External"/><Relationship Id="rId122" Type="http://schemas.openxmlformats.org/officeDocument/2006/relationships/hyperlink" Target="https://docs.un.org/fr/CERD/C/SR.3082"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5.xml"/><Relationship Id="rId39" Type="http://schemas.openxmlformats.org/officeDocument/2006/relationships/hyperlink" Target="https://docs.un.org/fr/A/HRC/RES/55/28" TargetMode="External"/><Relationship Id="rId109" Type="http://schemas.openxmlformats.org/officeDocument/2006/relationships/hyperlink" Target="https://docs.un.org/fr/CERD/C/115/D/67/2018" TargetMode="External"/><Relationship Id="rId34" Type="http://schemas.openxmlformats.org/officeDocument/2006/relationships/hyperlink" Target="https://docs.un.org/fr/CERD/C/113/3/Add.1" TargetMode="External"/><Relationship Id="rId50" Type="http://schemas.openxmlformats.org/officeDocument/2006/relationships/hyperlink" Target="https://docs.un.org/en/CERD/C/IRQ/CO/26-27" TargetMode="External"/><Relationship Id="rId55" Type="http://schemas.openxmlformats.org/officeDocument/2006/relationships/hyperlink" Target="https://docs.un.org/fr/CERD/C/ARM/CO/12-14" TargetMode="External"/><Relationship Id="rId76" Type="http://schemas.openxmlformats.org/officeDocument/2006/relationships/hyperlink" Target="https://www.ohchr.org/fr/treaty-bodies/cerd" TargetMode="External"/><Relationship Id="rId97" Type="http://schemas.openxmlformats.org/officeDocument/2006/relationships/hyperlink" Target="https://docs.un.org/en/CERD/C/113/3/Add.2" TargetMode="External"/><Relationship Id="rId104" Type="http://schemas.openxmlformats.org/officeDocument/2006/relationships/hyperlink" Target="https://docs.un.org/fr/CERD/C/MWI/QPR/1" TargetMode="External"/><Relationship Id="rId120" Type="http://schemas.openxmlformats.org/officeDocument/2006/relationships/hyperlink" Target="https://docs.un.org/en/CERD/C/VEN/CO/22-24" TargetMode="External"/><Relationship Id="rId125" Type="http://schemas.openxmlformats.org/officeDocument/2006/relationships/header" Target="header8.xml"/><Relationship Id="rId7" Type="http://schemas.openxmlformats.org/officeDocument/2006/relationships/endnotes" Target="endnotes.xml"/><Relationship Id="rId71" Type="http://schemas.openxmlformats.org/officeDocument/2006/relationships/hyperlink" Target="https://docs.un.org/en/CERD/C/GAB/CO/10" TargetMode="External"/><Relationship Id="rId92" Type="http://schemas.openxmlformats.org/officeDocument/2006/relationships/hyperlink" Target="https://docs.un.org/fr/CERD/C/113/3" TargetMode="External"/><Relationship Id="rId2" Type="http://schemas.openxmlformats.org/officeDocument/2006/relationships/numbering" Target="numbering.xml"/><Relationship Id="rId29" Type="http://schemas.openxmlformats.org/officeDocument/2006/relationships/hyperlink" Target="https://docs.un.org/en/CERD/C/114/1" TargetMode="External"/><Relationship Id="rId24" Type="http://schemas.openxmlformats.org/officeDocument/2006/relationships/hyperlink" Target="https://docs.un.org/fr/A/RES/47/111" TargetMode="External"/><Relationship Id="rId40" Type="http://schemas.openxmlformats.org/officeDocument/2006/relationships/hyperlink" Target="https://docs.un.org/fr/CERD/C/BLR/CO/24-25" TargetMode="External"/><Relationship Id="rId45" Type="http://schemas.openxmlformats.org/officeDocument/2006/relationships/hyperlink" Target="https://docs.un.org/fr/CERD/C/IRN/CO/20-27" TargetMode="External"/><Relationship Id="rId66" Type="http://schemas.openxmlformats.org/officeDocument/2006/relationships/hyperlink" Target="https://docs.un.org/fr/CERD/C/GAB/CO/10" TargetMode="External"/><Relationship Id="rId87" Type="http://schemas.openxmlformats.org/officeDocument/2006/relationships/hyperlink" Target="https://docs.un.org/en/CERD/C/DEU/FCO/23-26" TargetMode="External"/><Relationship Id="rId110" Type="http://schemas.openxmlformats.org/officeDocument/2006/relationships/hyperlink" Target="https://docs.un.org/fr/CERD/C/115/D/76/2021" TargetMode="External"/><Relationship Id="rId115" Type="http://schemas.openxmlformats.org/officeDocument/2006/relationships/hyperlink" Target="https://docs.un.org/fr/A/79/23" TargetMode="External"/><Relationship Id="rId61" Type="http://schemas.openxmlformats.org/officeDocument/2006/relationships/hyperlink" Target="https://docs.un.org/en/CERD/C/ECU/CO/25" TargetMode="External"/><Relationship Id="rId82" Type="http://schemas.openxmlformats.org/officeDocument/2006/relationships/hyperlink" Target="https://docs.un.org/fr/CERD/C/MAR/FCO/19-21"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fr/treaty-bodies/cerd/decisions-statements-and-letters" TargetMode="External"/><Relationship Id="rId18" Type="http://schemas.openxmlformats.org/officeDocument/2006/relationships/hyperlink" Target="https://docs.un.org/fr/S/PV.9907" TargetMode="External"/><Relationship Id="rId26" Type="http://schemas.openxmlformats.org/officeDocument/2006/relationships/hyperlink" Target="https://tbinternet.ohchr.org/_layouts/15/treatybodyexternal/%20Download.aspx?symbolno=INT%2FCERD%2FALE%2FCAN%2F10041&amp;Lang=en" TargetMode="External"/><Relationship Id="rId39" Type="http://schemas.openxmlformats.org/officeDocument/2006/relationships/hyperlink" Target="https://www.ohchr.org/sites/default/files/documents/hrbodies/cerd/%20earlywarning/letters/cerd-ewuap-letter-115-usa3.pdf" TargetMode="External"/><Relationship Id="rId3" Type="http://schemas.openxmlformats.org/officeDocument/2006/relationships/hyperlink" Target="https://docs.un.org/fr/CERD/C/113/3/Add.1" TargetMode="External"/><Relationship Id="rId21" Type="http://schemas.openxmlformats.org/officeDocument/2006/relationships/hyperlink" Target="https://www.ohchr.org/sites/default/files/documents/hrbodies/%20cerd/earlywarning/letters/cerd-ewuap-letter-115-canada.pdf" TargetMode="External"/><Relationship Id="rId34" Type="http://schemas.openxmlformats.org/officeDocument/2006/relationships/hyperlink" Target="https://www.ohchr.org/sites/default/files/documents/hrbodies/cerd/%20earlywarning/letters/cerd-ewuap-letter-115-japan1.pdf" TargetMode="External"/><Relationship Id="rId42" Type="http://schemas.openxmlformats.org/officeDocument/2006/relationships/hyperlink" Target="https://docs.un.org/fr/A/60/18" TargetMode="External"/><Relationship Id="rId47" Type="http://schemas.openxmlformats.org/officeDocument/2006/relationships/hyperlink" Target="https://docs.un.org/en/A/76/18" TargetMode="External"/><Relationship Id="rId50" Type="http://schemas.openxmlformats.org/officeDocument/2006/relationships/hyperlink" Target="https://treaties.un.org/pages/Treaties.aspx?id=4&amp;subid=A&amp;lang=fr" TargetMode="External"/><Relationship Id="rId7" Type="http://schemas.openxmlformats.org/officeDocument/2006/relationships/hyperlink" Target="https://www.ohchr.org/sites/default/files/documents/hrbodies/cerd/concept-note-cerd-60th-anniversary-en-fr-es.pdf" TargetMode="External"/><Relationship Id="rId12" Type="http://schemas.openxmlformats.org/officeDocument/2006/relationships/hyperlink" Target="https://www.ohchr.org/en/statements-and-speeches/2025/03/sixty-years-progress-risk-time-stop-instrumentalising-racism-and" TargetMode="External"/><Relationship Id="rId17" Type="http://schemas.openxmlformats.org/officeDocument/2006/relationships/hyperlink" Target="https://tbinternet.ohchr.org/_layouts/15/treatybodyexternal/%20Download.aspx?symbolno=INT%2FCERD%2FSWA%2F11196&amp;Lang=en" TargetMode="External"/><Relationship Id="rId25" Type="http://schemas.openxmlformats.org/officeDocument/2006/relationships/hyperlink" Target="https://tbinternet.ohchr.org/_layouts/15/treatybodyexternal/%20Download.aspx?symbolno=INT%2FCERD%2FALE%2FCAN%2F11090&amp;Lang=en" TargetMode="External"/><Relationship Id="rId33" Type="http://schemas.openxmlformats.org/officeDocument/2006/relationships/hyperlink" Target="https://www.ohchr.org/sites/default/files/documents/hrbodies/cerd/%20earlywarning/letters/cerd-ewuap-letter-115-japan2.pdf" TargetMode="External"/><Relationship Id="rId38" Type="http://schemas.openxmlformats.org/officeDocument/2006/relationships/hyperlink" Target="https://www.ohchr.org/sites/default/files/documents/hrbodies/cerd/%20earlywarning/letters/cerd-ewuap-letter-115-tunisia-fr.pdf" TargetMode="External"/><Relationship Id="rId46" Type="http://schemas.openxmlformats.org/officeDocument/2006/relationships/hyperlink" Target="https://docs.un.org/fr/A/77/18" TargetMode="External"/><Relationship Id="rId2" Type="http://schemas.openxmlformats.org/officeDocument/2006/relationships/hyperlink" Target="https://docs.un.org/fr/CERD/C/113/3" TargetMode="External"/><Relationship Id="rId16" Type="http://schemas.openxmlformats.org/officeDocument/2006/relationships/hyperlink" Target="https://tbinternet.ohchr.org/_layouts/15/TreatyBodyExternal/%20Download.aspx?symbolno=INT/CERD/ALE/Ind/8822&amp;Lang=en" TargetMode="External"/><Relationship Id="rId20" Type="http://schemas.openxmlformats.org/officeDocument/2006/relationships/hyperlink" Target="https://tbinternet.ohchr.org/_layouts/15/treatybodyexternal/%20Download.aspx?symbolno=INT%2FCERD%2FALE%2FBGD%2F11087&amp;Lang=en" TargetMode="External"/><Relationship Id="rId29" Type="http://schemas.openxmlformats.org/officeDocument/2006/relationships/hyperlink" Target="https://tbinternet.ohchr.org/_layouts/15/treatybodyexternal/%20Download.aspx?symbolno=INT%2FCERD%2FALE%2FGUY%2F11091&amp;Lang=en" TargetMode="External"/><Relationship Id="rId41" Type="http://schemas.openxmlformats.org/officeDocument/2006/relationships/hyperlink" Target="https://www.ohchr.org/sites/default/files/documents/hrbodies/cerd/%20earlywarning/letters/cerd-ewuap-letter-115-usa2.pdf" TargetMode="External"/><Relationship Id="rId1" Type="http://schemas.openxmlformats.org/officeDocument/2006/relationships/hyperlink" Target="https://docs.un.org/fr/CERD/C/35/Rev.4" TargetMode="External"/><Relationship Id="rId6" Type="http://schemas.openxmlformats.org/officeDocument/2006/relationships/hyperlink" Target="https://docs.un.org/en/CERD/C/113/3/Add.2" TargetMode="External"/><Relationship Id="rId11" Type="http://schemas.openxmlformats.org/officeDocument/2006/relationships/hyperlink" Target="https://www.coe.int/fr/web/european-commission-against-racism-and-intolerance/-/cerd-ecri-joint-statement-international-day-for-the-elimination-of-racial-discrimination" TargetMode="External"/><Relationship Id="rId24" Type="http://schemas.openxmlformats.org/officeDocument/2006/relationships/hyperlink" Target="https://tbinternet.ohchr.org/_layouts/15/treatybodyexternal/%20Download.aspx?symbolno=INT%2FCERD%2FALE%2FCAN%2F11089&amp;Lang=en" TargetMode="External"/><Relationship Id="rId32" Type="http://schemas.openxmlformats.org/officeDocument/2006/relationships/hyperlink" Target="https://www.ohchr.org/sites/default/files/documents/hrbodies/cerd/%20earlywarning/letters/cerd-ewuap-letter-115-jamaica.pdf" TargetMode="External"/><Relationship Id="rId37" Type="http://schemas.openxmlformats.org/officeDocument/2006/relationships/hyperlink" Target="https://tbinternet.ohchr.org/_layouts/15/treatybodyexternal/%20Download.aspx?symbolno=INT%2FCERD%2FALE%2FTUN%2F10042&amp;Lang=en" TargetMode="External"/><Relationship Id="rId40" Type="http://schemas.openxmlformats.org/officeDocument/2006/relationships/hyperlink" Target="https://tbinternet.ohchr.org/_layouts/15/treatybodyexternal/%20Download.aspx?symbolno=INT%2FCERD%2FALE%2FUSA%2F10043&amp;Lang=en" TargetMode="External"/><Relationship Id="rId45" Type="http://schemas.openxmlformats.org/officeDocument/2006/relationships/hyperlink" Target="https://docs.un.org/fr/A/76/18" TargetMode="External"/><Relationship Id="rId53" Type="http://schemas.openxmlformats.org/officeDocument/2006/relationships/hyperlink" Target="https://www.ohchr.org/en/events/events/2025/half-day-general-discussion-proposed-general-recommendation-reparations" TargetMode="External"/><Relationship Id="rId5" Type="http://schemas.openxmlformats.org/officeDocument/2006/relationships/hyperlink" Target="https://docs.un.org/en/CERD/C/113/3/Add.1" TargetMode="External"/><Relationship Id="rId15" Type="http://schemas.openxmlformats.org/officeDocument/2006/relationships/hyperlink" Target="https://tbinternet.ohchr.org/_layouts/15/treatybodyexternal/%20Download.aspx?symbolno=INT%2FCERD%2FSWA%2FIND%2F10005&amp;Lang=en" TargetMode="External"/><Relationship Id="rId23" Type="http://schemas.openxmlformats.org/officeDocument/2006/relationships/hyperlink" Target="https://www.ohchr.org/sites/default/files/documents/hrbodies/cerd/earlywarning/letters/cerd-ewuap-letter-115-usa1.pdf" TargetMode="External"/><Relationship Id="rId28" Type="http://schemas.openxmlformats.org/officeDocument/2006/relationships/hyperlink" Target="https://www.ohchr.org/sites/default/files/documents/hrbodies/cerd/%20earlywarning/letters/cerd-ewuap-letter-115-france.pdf" TargetMode="External"/><Relationship Id="rId36" Type="http://schemas.openxmlformats.org/officeDocument/2006/relationships/hyperlink" Target="https://www.ohchr.org/sites/default/files/documents/hrbodies/cerd/%20earlywarning/letters/cerd-ewuap-letter-115-tanzania.pdf" TargetMode="External"/><Relationship Id="rId49" Type="http://schemas.openxmlformats.org/officeDocument/2006/relationships/hyperlink" Target="https://www.ohchr.org/en/calls-for-input/2025/call-inputs-civil-society-organizations-israel-and-state-palestine" TargetMode="External"/><Relationship Id="rId10" Type="http://schemas.openxmlformats.org/officeDocument/2006/relationships/hyperlink" Target="https://treaties.un.org/pages/Treaties.aspx?id=4&amp;subid=A&amp;lang=fr" TargetMode="External"/><Relationship Id="rId19" Type="http://schemas.openxmlformats.org/officeDocument/2006/relationships/hyperlink" Target="https://www.ohchr.org/sites/default/files/documents/hrbodies/cerd/%20earlywarning/letters/cerd-ewuap-letter-115-australia.pdf" TargetMode="External"/><Relationship Id="rId31" Type="http://schemas.openxmlformats.org/officeDocument/2006/relationships/hyperlink" Target="https://www.ohchr.org/sites/default/files/documents/hrbodies/cerd/%20earlywarning/letters/cerd-ewuap-letter-115-india-1.pdf" TargetMode="External"/><Relationship Id="rId44" Type="http://schemas.openxmlformats.org/officeDocument/2006/relationships/hyperlink" Target="https://docs.un.org/fr/A/74/18" TargetMode="External"/><Relationship Id="rId52" Type="http://schemas.openxmlformats.org/officeDocument/2006/relationships/hyperlink" Target="https://www.ohchr.org/fr/calls-for-input/2025/call-inputs-cerd-general-recommendation-regarding-reparations-historical" TargetMode="External"/><Relationship Id="rId4" Type="http://schemas.openxmlformats.org/officeDocument/2006/relationships/hyperlink" Target="https://docs.un.org/fr/CERD/C/113/3/Add.2" TargetMode="External"/><Relationship Id="rId9" Type="http://schemas.openxmlformats.org/officeDocument/2006/relationships/hyperlink" Target="https://www.ohchr.org/en/events/events/2025/half-day-general-discussion-proposed-general-recommendation-reparations" TargetMode="External"/><Relationship Id="rId14" Type="http://schemas.openxmlformats.org/officeDocument/2006/relationships/hyperlink" Target="https://tbinternet.ohchr.org/_layouts/15/treatybodyexternal/%20Download.aspx?symbolno=INT%2FCERD%2FEWU%2F10086&amp;Lang=en" TargetMode="External"/><Relationship Id="rId22" Type="http://schemas.openxmlformats.org/officeDocument/2006/relationships/hyperlink" Target="https://www.ohchr.org/sites/default/files/documents/hrbodies/%20cerd/earlywarning/letters/cerd-ewuap-letter-115-usa1.pdf" TargetMode="External"/><Relationship Id="rId27" Type="http://schemas.openxmlformats.org/officeDocument/2006/relationships/hyperlink" Target="https://tbinternet.ohchr.org/_layouts/15/treatybodyexternal/%20Download.aspx?symbolno=INT%2FCERD%2FALE%2FCMR%2F11088&amp;Lang=en" TargetMode="External"/><Relationship Id="rId30" Type="http://schemas.openxmlformats.org/officeDocument/2006/relationships/hyperlink" Target="https://www.ohchr.org/sites/default/files/documents/hrbodies/cerd/%20earlywarning/letters/cerd-ewuap-letter-115-india-2.pdf" TargetMode="External"/><Relationship Id="rId35" Type="http://schemas.openxmlformats.org/officeDocument/2006/relationships/hyperlink" Target="https://tbinternet.ohchr.org/_layouts/15/treatybodyexternal/%20Download.aspx?symbolno=INT%2FCERD%2FALE%2FNAM%2F11092&amp;Lang=en" TargetMode="External"/><Relationship Id="rId43" Type="http://schemas.openxmlformats.org/officeDocument/2006/relationships/hyperlink" Target="https://docs.un.org/fr/A/61/18" TargetMode="External"/><Relationship Id="rId48" Type="http://schemas.openxmlformats.org/officeDocument/2006/relationships/hyperlink" Target="https://docs.un.org/en/A/77/18" TargetMode="External"/><Relationship Id="rId8" Type="http://schemas.openxmlformats.org/officeDocument/2006/relationships/hyperlink" Target="https://www.ohchr.org/fr/treaty-bodies/cerd/60th-anniversary-international-convention-elimination-all-forms-racial-discrimination" TargetMode="External"/><Relationship Id="rId51" Type="http://schemas.openxmlformats.org/officeDocument/2006/relationships/hyperlink" Target="https://www.ohchr.org/en/events/events/2025/side-event-fourth-session-permanent-forum-people-african-descent-appropriate-u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Rapport_AG.dotm</Template>
  <TotalTime>1</TotalTime>
  <Pages>34</Pages>
  <Words>13052</Words>
  <Characters>71135</Characters>
  <Application>Microsoft Office Word</Application>
  <DocSecurity>0</DocSecurity>
  <Lines>1270</Lines>
  <Paragraphs>462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A/80/18</vt:lpstr>
      <vt:lpstr>A/…</vt:lpstr>
    </vt:vector>
  </TitlesOfParts>
  <Manager>Corinne</Manager>
  <Company>CSD</Company>
  <LinksUpToDate>false</LinksUpToDate>
  <CharactersWithSpaces>83725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A/80/18</dc:title>
  <dc:subject/>
  <dc:creator>Maud DARICHE</dc:creator>
  <cp:keywords/>
  <cp:lastModifiedBy>Maud DARICHE</cp:lastModifiedBy>
  <cp:revision>3</cp:revision>
  <cp:lastPrinted>2025-10-27T13:43:00Z</cp:lastPrinted>
  <dcterms:created xsi:type="dcterms:W3CDTF">2025-10-27T13:43:00Z</dcterms:created>
  <dcterms:modified xsi:type="dcterms:W3CDTF">2025-10-27T13:44:00Z</dcterms:modified>
</cp:coreProperties>
</file>