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191C2F">
        <w:trPr>
          <w:trHeight w:hRule="exact" w:val="851"/>
        </w:trPr>
        <w:tc>
          <w:tcPr>
            <w:tcW w:w="1280" w:type="dxa"/>
            <w:tcBorders>
              <w:bottom w:val="single" w:sz="4" w:space="0" w:color="auto"/>
            </w:tcBorders>
          </w:tcPr>
          <w:p w:rsidR="00CE1D1C" w:rsidRPr="00F124C6" w:rsidRDefault="00CE1D1C" w:rsidP="00191C2F">
            <w:pPr>
              <w:pStyle w:val="H23GC"/>
            </w:pPr>
          </w:p>
        </w:tc>
        <w:tc>
          <w:tcPr>
            <w:tcW w:w="2273" w:type="dxa"/>
            <w:tcBorders>
              <w:bottom w:val="single" w:sz="4" w:space="0" w:color="auto"/>
            </w:tcBorders>
            <w:vAlign w:val="bottom"/>
          </w:tcPr>
          <w:p w:rsidR="00CE1D1C" w:rsidRPr="0050687F" w:rsidRDefault="00CE1D1C" w:rsidP="00191C2F">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CE1D1C" w:rsidRPr="00191C2F" w:rsidRDefault="00191C2F" w:rsidP="00191C2F">
            <w:pPr>
              <w:spacing w:line="240" w:lineRule="atLeast"/>
              <w:jc w:val="right"/>
              <w:rPr>
                <w:sz w:val="20"/>
                <w:szCs w:val="21"/>
              </w:rPr>
            </w:pPr>
            <w:r>
              <w:rPr>
                <w:sz w:val="40"/>
                <w:szCs w:val="21"/>
              </w:rPr>
              <w:t>CCPR</w:t>
            </w:r>
            <w:r>
              <w:rPr>
                <w:sz w:val="20"/>
                <w:szCs w:val="21"/>
              </w:rPr>
              <w:t>/C/MNE/CO/1</w:t>
            </w:r>
          </w:p>
        </w:tc>
      </w:tr>
      <w:tr w:rsidR="00CE1D1C" w:rsidRPr="00F124C6" w:rsidTr="00191C2F">
        <w:trPr>
          <w:trHeight w:hRule="exact" w:val="2835"/>
        </w:trPr>
        <w:tc>
          <w:tcPr>
            <w:tcW w:w="1280" w:type="dxa"/>
            <w:tcBorders>
              <w:top w:val="single" w:sz="4" w:space="0" w:color="auto"/>
              <w:bottom w:val="single" w:sz="12" w:space="0" w:color="auto"/>
            </w:tcBorders>
          </w:tcPr>
          <w:p w:rsidR="00CE1D1C" w:rsidRPr="00F124C6" w:rsidRDefault="00CE1D1C" w:rsidP="00191C2F">
            <w:pPr>
              <w:spacing w:line="120" w:lineRule="atLeast"/>
              <w:rPr>
                <w:sz w:val="10"/>
                <w:szCs w:val="10"/>
              </w:rPr>
            </w:pPr>
          </w:p>
          <w:p w:rsidR="00CE1D1C" w:rsidRPr="00F124C6" w:rsidRDefault="004F0BA6" w:rsidP="00191C2F">
            <w:pPr>
              <w:spacing w:line="120" w:lineRule="atLeast"/>
              <w:rPr>
                <w:sz w:val="10"/>
                <w:szCs w:val="10"/>
              </w:rPr>
            </w:pPr>
            <w:r w:rsidRPr="004F0BA6">
              <w:rPr>
                <w:noProof/>
                <w:snapToGr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tcPr>
          <w:p w:rsidR="00CE1D1C" w:rsidRDefault="00CE1D1C" w:rsidP="00191C2F">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191C2F" w:rsidP="00191C2F">
            <w:pPr>
              <w:spacing w:before="240" w:line="240" w:lineRule="atLeast"/>
              <w:rPr>
                <w:sz w:val="20"/>
              </w:rPr>
            </w:pPr>
            <w:r>
              <w:rPr>
                <w:sz w:val="20"/>
              </w:rPr>
              <w:t>Distr.: General</w:t>
            </w:r>
          </w:p>
          <w:p w:rsidR="00CE1D1C" w:rsidRPr="00F124C6" w:rsidRDefault="00191C2F" w:rsidP="00191C2F">
            <w:pPr>
              <w:spacing w:line="240" w:lineRule="atLeast"/>
              <w:rPr>
                <w:sz w:val="20"/>
              </w:rPr>
            </w:pPr>
            <w:r>
              <w:rPr>
                <w:sz w:val="20"/>
              </w:rPr>
              <w:t>21 November</w:t>
            </w:r>
            <w:r w:rsidR="00CE1D1C" w:rsidRPr="00F124C6">
              <w:rPr>
                <w:sz w:val="20"/>
              </w:rPr>
              <w:t xml:space="preserve"> </w:t>
            </w:r>
            <w:r>
              <w:rPr>
                <w:sz w:val="20"/>
              </w:rPr>
              <w:t>2</w:t>
            </w:r>
            <w:r w:rsidR="00CE1D1C" w:rsidRPr="00F124C6">
              <w:rPr>
                <w:sz w:val="20"/>
              </w:rPr>
              <w:t>0</w:t>
            </w:r>
            <w:r>
              <w:rPr>
                <w:sz w:val="20"/>
              </w:rPr>
              <w:t>14</w:t>
            </w:r>
          </w:p>
          <w:p w:rsidR="00CE1D1C" w:rsidRPr="00F124C6" w:rsidRDefault="00191C2F" w:rsidP="00191C2F">
            <w:pPr>
              <w:spacing w:line="240" w:lineRule="atLeast"/>
              <w:rPr>
                <w:sz w:val="20"/>
              </w:rPr>
            </w:pPr>
            <w:r>
              <w:rPr>
                <w:sz w:val="20"/>
              </w:rPr>
              <w:t>Chinese</w:t>
            </w:r>
            <w:r w:rsidR="00CE1D1C" w:rsidRPr="00F124C6">
              <w:rPr>
                <w:sz w:val="20"/>
              </w:rPr>
              <w:t xml:space="preserve"> </w:t>
            </w:r>
          </w:p>
          <w:p w:rsidR="00CE1D1C" w:rsidRPr="00F124C6" w:rsidRDefault="00191C2F" w:rsidP="00191C2F">
            <w:pPr>
              <w:spacing w:line="240" w:lineRule="atLeast"/>
            </w:pPr>
            <w:r>
              <w:rPr>
                <w:sz w:val="20"/>
              </w:rPr>
              <w:t>Original: English</w:t>
            </w:r>
          </w:p>
        </w:tc>
      </w:tr>
    </w:tbl>
    <w:p w:rsidR="00191C2F" w:rsidRDefault="00191C2F" w:rsidP="00191C2F">
      <w:pPr>
        <w:spacing w:before="120"/>
        <w:rPr>
          <w:rFonts w:ascii="Time New Roman" w:eastAsia="SimHei" w:hAnsi="Time New Roman" w:hint="eastAsia"/>
          <w:sz w:val="24"/>
          <w:szCs w:val="24"/>
          <w:lang w:val="en-GB"/>
        </w:rPr>
      </w:pPr>
      <w:r w:rsidRPr="00191C2F">
        <w:rPr>
          <w:rFonts w:ascii="Time New Roman" w:eastAsia="SimHei" w:hAnsi="Time New Roman" w:hint="eastAsia"/>
          <w:sz w:val="24"/>
          <w:szCs w:val="24"/>
          <w:lang w:val="en-GB"/>
        </w:rPr>
        <w:t>人权事务委员会</w:t>
      </w:r>
    </w:p>
    <w:p w:rsidR="00191C2F" w:rsidRDefault="00191C2F" w:rsidP="00191C2F">
      <w:pPr>
        <w:pStyle w:val="HChGC"/>
      </w:pPr>
      <w:r>
        <w:tab/>
      </w:r>
      <w:r>
        <w:tab/>
      </w:r>
      <w:r>
        <w:rPr>
          <w:rFonts w:hint="eastAsia"/>
        </w:rPr>
        <w:t>关于</w:t>
      </w:r>
      <w:r w:rsidRPr="002B53BA">
        <w:rPr>
          <w:rFonts w:hint="eastAsia"/>
        </w:rPr>
        <w:t>黑山初次报告</w:t>
      </w:r>
      <w:r>
        <w:rPr>
          <w:rFonts w:hint="eastAsia"/>
        </w:rPr>
        <w:t>的</w:t>
      </w:r>
      <w:r w:rsidRPr="002B53BA">
        <w:rPr>
          <w:rFonts w:hint="eastAsia"/>
        </w:rPr>
        <w:t>结论性意见</w:t>
      </w:r>
      <w:r w:rsidRPr="007A29FD">
        <w:rPr>
          <w:rStyle w:val="FootnoteReference"/>
          <w:rFonts w:eastAsia="SimHei"/>
          <w:position w:val="6"/>
          <w:sz w:val="28"/>
          <w:vertAlign w:val="baseline"/>
        </w:rPr>
        <w:footnoteReference w:customMarkFollows="1" w:id="2"/>
        <w:t>*</w:t>
      </w:r>
    </w:p>
    <w:p w:rsidR="00191C2F" w:rsidRDefault="00191C2F" w:rsidP="00191C2F">
      <w:pPr>
        <w:pStyle w:val="SingleTxtGC"/>
      </w:pPr>
      <w:r>
        <w:rPr>
          <w:rFonts w:hint="eastAsia"/>
        </w:rPr>
        <w:t>1.</w:t>
      </w:r>
      <w:r>
        <w:t xml:space="preserve"> </w:t>
      </w:r>
      <w:r>
        <w:rPr>
          <w:rFonts w:hint="eastAsia"/>
        </w:rPr>
        <w:t xml:space="preserve"> </w:t>
      </w:r>
      <w:r>
        <w:rPr>
          <w:rFonts w:hint="eastAsia"/>
        </w:rPr>
        <w:t>委员会在</w:t>
      </w:r>
      <w:r>
        <w:rPr>
          <w:rFonts w:hint="eastAsia"/>
        </w:rPr>
        <w:t>2014</w:t>
      </w:r>
      <w:r>
        <w:rPr>
          <w:rFonts w:hint="eastAsia"/>
        </w:rPr>
        <w:t>年</w:t>
      </w:r>
      <w:r>
        <w:rPr>
          <w:rFonts w:hint="eastAsia"/>
        </w:rPr>
        <w:t>10</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3108</w:t>
      </w:r>
      <w:r>
        <w:rPr>
          <w:rFonts w:hint="eastAsia"/>
        </w:rPr>
        <w:t>次和第</w:t>
      </w:r>
      <w:r>
        <w:rPr>
          <w:rFonts w:hint="eastAsia"/>
        </w:rPr>
        <w:t>3109</w:t>
      </w:r>
      <w:r>
        <w:rPr>
          <w:rFonts w:hint="eastAsia"/>
        </w:rPr>
        <w:t>次会议</w:t>
      </w:r>
      <w:r>
        <w:rPr>
          <w:rFonts w:hint="eastAsia"/>
        </w:rPr>
        <w:t>(CCPR/C/</w:t>
      </w:r>
      <w:r>
        <w:rPr>
          <w:rStyle w:val="hps"/>
          <w:rFonts w:hint="eastAsia"/>
        </w:rPr>
        <w:t>SR.3108</w:t>
      </w:r>
      <w:r>
        <w:rPr>
          <w:rFonts w:hint="eastAsia"/>
        </w:rPr>
        <w:t>和</w:t>
      </w:r>
      <w:r>
        <w:rPr>
          <w:rFonts w:hint="eastAsia"/>
        </w:rPr>
        <w:t>3109)</w:t>
      </w:r>
      <w:r>
        <w:rPr>
          <w:rFonts w:hint="eastAsia"/>
        </w:rPr>
        <w:t>上审议了黑山的初次报告</w:t>
      </w:r>
      <w:r>
        <w:rPr>
          <w:rFonts w:hint="eastAsia"/>
        </w:rPr>
        <w:t>(CCPR/C/</w:t>
      </w:r>
      <w:r>
        <w:rPr>
          <w:rStyle w:val="hps"/>
          <w:rFonts w:hint="eastAsia"/>
        </w:rPr>
        <w:t>MNE</w:t>
      </w:r>
      <w:r>
        <w:rPr>
          <w:rFonts w:hint="eastAsia"/>
        </w:rPr>
        <w:t>/1)</w:t>
      </w:r>
      <w:r>
        <w:rPr>
          <w:rFonts w:hint="eastAsia"/>
        </w:rPr>
        <w:t>，在</w:t>
      </w:r>
      <w:r>
        <w:rPr>
          <w:rFonts w:hint="eastAsia"/>
        </w:rPr>
        <w:t>2014</w:t>
      </w:r>
      <w:r>
        <w:rPr>
          <w:rFonts w:hint="eastAsia"/>
        </w:rPr>
        <w:t>年</w:t>
      </w:r>
      <w:r>
        <w:rPr>
          <w:rFonts w:hint="eastAsia"/>
        </w:rPr>
        <w:t>10</w:t>
      </w:r>
      <w:r>
        <w:rPr>
          <w:rFonts w:hint="eastAsia"/>
        </w:rPr>
        <w:t>月</w:t>
      </w:r>
      <w:r>
        <w:rPr>
          <w:rFonts w:hint="eastAsia"/>
        </w:rPr>
        <w:t>28</w:t>
      </w:r>
      <w:r>
        <w:rPr>
          <w:rFonts w:hint="eastAsia"/>
        </w:rPr>
        <w:t>日举行的第</w:t>
      </w:r>
      <w:r>
        <w:rPr>
          <w:rFonts w:hint="eastAsia"/>
        </w:rPr>
        <w:t>3127</w:t>
      </w:r>
      <w:r>
        <w:rPr>
          <w:rFonts w:hint="eastAsia"/>
        </w:rPr>
        <w:t>次会议</w:t>
      </w:r>
      <w:r>
        <w:rPr>
          <w:rFonts w:hint="eastAsia"/>
        </w:rPr>
        <w:t>(CCPR/</w:t>
      </w:r>
      <w:r>
        <w:rPr>
          <w:rStyle w:val="hps"/>
          <w:rFonts w:hint="eastAsia"/>
        </w:rPr>
        <w:t>C/SR.3127</w:t>
      </w:r>
      <w:r>
        <w:rPr>
          <w:rFonts w:hint="eastAsia"/>
        </w:rPr>
        <w:t>)</w:t>
      </w:r>
      <w:r>
        <w:rPr>
          <w:rFonts w:hint="eastAsia"/>
        </w:rPr>
        <w:t>上通过了以下结论性意见。</w:t>
      </w:r>
    </w:p>
    <w:p w:rsidR="00191C2F" w:rsidRPr="002B53BA" w:rsidRDefault="00191C2F" w:rsidP="00191C2F">
      <w:pPr>
        <w:pStyle w:val="H1GC"/>
      </w:pPr>
      <w:r>
        <w:tab/>
      </w:r>
      <w:r>
        <w:rPr>
          <w:rFonts w:hint="eastAsia"/>
        </w:rPr>
        <w:t>A</w:t>
      </w:r>
      <w:r w:rsidRPr="002B53BA">
        <w:rPr>
          <w:rFonts w:hint="eastAsia"/>
        </w:rPr>
        <w:t>.</w:t>
      </w:r>
      <w:r>
        <w:tab/>
      </w:r>
      <w:r>
        <w:rPr>
          <w:rFonts w:hint="eastAsia"/>
        </w:rPr>
        <w:t>导言</w:t>
      </w:r>
    </w:p>
    <w:p w:rsidR="00191C2F" w:rsidRDefault="00191C2F" w:rsidP="00191C2F">
      <w:pPr>
        <w:pStyle w:val="SingleTxtGC"/>
      </w:pPr>
      <w:r>
        <w:rPr>
          <w:rFonts w:hint="eastAsia"/>
        </w:rPr>
        <w:t>2.</w:t>
      </w:r>
      <w:r>
        <w:t xml:space="preserve"> </w:t>
      </w:r>
      <w:r>
        <w:rPr>
          <w:rFonts w:hint="eastAsia"/>
        </w:rPr>
        <w:t xml:space="preserve"> </w:t>
      </w:r>
      <w:r>
        <w:rPr>
          <w:rFonts w:hint="eastAsia"/>
        </w:rPr>
        <w:t>委员会欢迎黑山提交初次报告以及报告中所载的信息。它赞赏有机会就《公约》对缔约国生效以来缔约国为执行《公约》采取的措施与缔约国代表团进行建设性对话。委员会感谢缔约国对书面清单作出书面答复</w:t>
      </w:r>
      <w:r>
        <w:rPr>
          <w:rFonts w:hint="eastAsia"/>
        </w:rPr>
        <w:t>(CCPR/C/</w:t>
      </w:r>
      <w:r>
        <w:rPr>
          <w:rStyle w:val="hps"/>
          <w:rFonts w:hint="eastAsia"/>
        </w:rPr>
        <w:t>MNE</w:t>
      </w:r>
      <w:r>
        <w:rPr>
          <w:rFonts w:hint="eastAsia"/>
        </w:rPr>
        <w:t>/</w:t>
      </w:r>
      <w:r>
        <w:t xml:space="preserve"> </w:t>
      </w:r>
      <w:r>
        <w:rPr>
          <w:rFonts w:hint="eastAsia"/>
        </w:rPr>
        <w:t>Q/1/</w:t>
      </w:r>
      <w:r>
        <w:rPr>
          <w:rStyle w:val="hps"/>
          <w:rFonts w:hint="eastAsia"/>
        </w:rPr>
        <w:t>Add.1)</w:t>
      </w:r>
      <w:r>
        <w:rPr>
          <w:rStyle w:val="hps"/>
          <w:rFonts w:hint="eastAsia"/>
        </w:rPr>
        <w:t>，以及代表团后来作出的口头补充和提供的书面补充资料。</w:t>
      </w:r>
    </w:p>
    <w:p w:rsidR="00191C2F" w:rsidRPr="002B53BA" w:rsidRDefault="00191C2F" w:rsidP="00191C2F">
      <w:pPr>
        <w:pStyle w:val="H1GC"/>
      </w:pPr>
      <w:r>
        <w:tab/>
      </w:r>
      <w:r>
        <w:rPr>
          <w:rFonts w:hint="eastAsia"/>
        </w:rPr>
        <w:t>B</w:t>
      </w:r>
      <w:r w:rsidRPr="002B53BA">
        <w:rPr>
          <w:rFonts w:hint="eastAsia"/>
        </w:rPr>
        <w:t>.</w:t>
      </w:r>
      <w:r>
        <w:tab/>
      </w:r>
      <w:r w:rsidRPr="002B53BA">
        <w:rPr>
          <w:rFonts w:hint="eastAsia"/>
        </w:rPr>
        <w:t>积极方面</w:t>
      </w:r>
    </w:p>
    <w:p w:rsidR="00191C2F" w:rsidRDefault="00191C2F" w:rsidP="00191C2F">
      <w:pPr>
        <w:pStyle w:val="SingleTxtGC"/>
      </w:pPr>
      <w:r>
        <w:rPr>
          <w:rFonts w:hint="eastAsia"/>
        </w:rPr>
        <w:t>3.</w:t>
      </w:r>
      <w:r>
        <w:t xml:space="preserve"> </w:t>
      </w:r>
      <w:r>
        <w:rPr>
          <w:rFonts w:hint="eastAsia"/>
        </w:rPr>
        <w:t xml:space="preserve"> </w:t>
      </w:r>
      <w:r>
        <w:rPr>
          <w:rFonts w:hint="eastAsia"/>
        </w:rPr>
        <w:t>委员会欢迎缔约国自《公约》</w:t>
      </w:r>
      <w:r>
        <w:rPr>
          <w:rFonts w:hint="eastAsia"/>
        </w:rPr>
        <w:t>2006</w:t>
      </w:r>
      <w:r>
        <w:rPr>
          <w:rFonts w:hint="eastAsia"/>
        </w:rPr>
        <w:t>年对其生效以来采取的以下立法和体制措施：</w:t>
      </w:r>
    </w:p>
    <w:p w:rsidR="00191C2F" w:rsidRDefault="00191C2F" w:rsidP="00191C2F">
      <w:pPr>
        <w:pStyle w:val="SingleTxtGC"/>
        <w:numPr>
          <w:ilvl w:val="0"/>
          <w:numId w:val="18"/>
        </w:numPr>
      </w:pPr>
      <w:r>
        <w:rPr>
          <w:rFonts w:hint="eastAsia"/>
        </w:rPr>
        <w:t>2014</w:t>
      </w:r>
      <w:r>
        <w:rPr>
          <w:rFonts w:hint="eastAsia"/>
        </w:rPr>
        <w:t>年</w:t>
      </w:r>
      <w:r>
        <w:rPr>
          <w:rFonts w:hint="eastAsia"/>
        </w:rPr>
        <w:t>6</w:t>
      </w:r>
      <w:r>
        <w:rPr>
          <w:rFonts w:hint="eastAsia"/>
        </w:rPr>
        <w:t>月</w:t>
      </w:r>
      <w:r>
        <w:rPr>
          <w:rFonts w:hint="eastAsia"/>
        </w:rPr>
        <w:t>18</w:t>
      </w:r>
      <w:r>
        <w:rPr>
          <w:rFonts w:hint="eastAsia"/>
        </w:rPr>
        <w:t>日通过了《黑山人权和自由保护机构法》的修正法；</w:t>
      </w:r>
    </w:p>
    <w:p w:rsidR="00191C2F" w:rsidRDefault="00191C2F" w:rsidP="00191C2F">
      <w:pPr>
        <w:pStyle w:val="SingleTxtGC"/>
        <w:numPr>
          <w:ilvl w:val="0"/>
          <w:numId w:val="18"/>
        </w:numPr>
      </w:pPr>
      <w:r>
        <w:rPr>
          <w:rFonts w:hint="eastAsia"/>
        </w:rPr>
        <w:t>2014</w:t>
      </w:r>
      <w:r>
        <w:rPr>
          <w:rFonts w:hint="eastAsia"/>
        </w:rPr>
        <w:t>年</w:t>
      </w:r>
      <w:r>
        <w:rPr>
          <w:rFonts w:hint="eastAsia"/>
        </w:rPr>
        <w:t>6</w:t>
      </w:r>
      <w:r>
        <w:rPr>
          <w:rFonts w:hint="eastAsia"/>
        </w:rPr>
        <w:t>月</w:t>
      </w:r>
      <w:r>
        <w:rPr>
          <w:rFonts w:hint="eastAsia"/>
        </w:rPr>
        <w:t>26</w:t>
      </w:r>
      <w:r>
        <w:rPr>
          <w:rFonts w:hint="eastAsia"/>
        </w:rPr>
        <w:t>日通过了《禁止歧视法》的修正法；</w:t>
      </w:r>
    </w:p>
    <w:p w:rsidR="00191C2F" w:rsidRDefault="00191C2F" w:rsidP="00191C2F">
      <w:pPr>
        <w:pStyle w:val="SingleTxtGC"/>
        <w:numPr>
          <w:ilvl w:val="0"/>
          <w:numId w:val="18"/>
        </w:numPr>
      </w:pPr>
      <w:r>
        <w:rPr>
          <w:rFonts w:hint="eastAsia"/>
        </w:rPr>
        <w:t>2014</w:t>
      </w:r>
      <w:r>
        <w:rPr>
          <w:rFonts w:hint="eastAsia"/>
        </w:rPr>
        <w:t>年</w:t>
      </w:r>
      <w:r>
        <w:rPr>
          <w:rFonts w:hint="eastAsia"/>
        </w:rPr>
        <w:t>3</w:t>
      </w:r>
      <w:r>
        <w:rPr>
          <w:rFonts w:hint="eastAsia"/>
        </w:rPr>
        <w:t>月</w:t>
      </w:r>
      <w:r>
        <w:rPr>
          <w:rFonts w:hint="eastAsia"/>
        </w:rPr>
        <w:t>21</w:t>
      </w:r>
      <w:r>
        <w:rPr>
          <w:rFonts w:hint="eastAsia"/>
        </w:rPr>
        <w:t>日通过了《市</w:t>
      </w:r>
      <w:r>
        <w:t>政委员</w:t>
      </w:r>
      <w:r>
        <w:rPr>
          <w:rFonts w:hint="eastAsia"/>
        </w:rPr>
        <w:t>和国会议员选举法》的修正法；</w:t>
      </w:r>
    </w:p>
    <w:p w:rsidR="00191C2F" w:rsidRDefault="00191C2F" w:rsidP="00191C2F">
      <w:pPr>
        <w:pStyle w:val="SingleTxtGC"/>
        <w:numPr>
          <w:ilvl w:val="0"/>
          <w:numId w:val="18"/>
        </w:numPr>
      </w:pPr>
      <w:r>
        <w:rPr>
          <w:rFonts w:hint="eastAsia"/>
        </w:rPr>
        <w:t>2011</w:t>
      </w:r>
      <w:r>
        <w:rPr>
          <w:rFonts w:hint="eastAsia"/>
        </w:rPr>
        <w:t>年</w:t>
      </w:r>
      <w:r>
        <w:rPr>
          <w:rFonts w:hint="eastAsia"/>
        </w:rPr>
        <w:t>4</w:t>
      </w:r>
      <w:r>
        <w:rPr>
          <w:rFonts w:hint="eastAsia"/>
        </w:rPr>
        <w:t>月</w:t>
      </w:r>
      <w:r>
        <w:rPr>
          <w:rFonts w:hint="eastAsia"/>
        </w:rPr>
        <w:t>15</w:t>
      </w:r>
      <w:r>
        <w:rPr>
          <w:rFonts w:hint="eastAsia"/>
        </w:rPr>
        <w:t>日通过了《免费法律援助法》</w:t>
      </w:r>
      <w:r w:rsidR="007A29FD">
        <w:rPr>
          <w:rFonts w:hint="eastAsia"/>
        </w:rPr>
        <w:t>；</w:t>
      </w:r>
    </w:p>
    <w:p w:rsidR="00191C2F" w:rsidRDefault="00191C2F" w:rsidP="00191C2F">
      <w:pPr>
        <w:pStyle w:val="SingleTxtGC"/>
        <w:numPr>
          <w:ilvl w:val="0"/>
          <w:numId w:val="18"/>
        </w:numPr>
      </w:pPr>
      <w:r>
        <w:rPr>
          <w:rFonts w:hint="eastAsia"/>
        </w:rPr>
        <w:t>通过了《提高</w:t>
      </w:r>
      <w:r>
        <w:t>女同性恋、男同性恋、双性恋和变性者</w:t>
      </w:r>
      <w:r>
        <w:rPr>
          <w:rFonts w:hint="eastAsia"/>
        </w:rPr>
        <w:t>生活质量的行动计划和战略</w:t>
      </w:r>
      <w:r>
        <w:rPr>
          <w:rFonts w:hint="eastAsia"/>
        </w:rPr>
        <w:t>(2013-2018</w:t>
      </w:r>
      <w:r>
        <w:rPr>
          <w:rFonts w:hint="eastAsia"/>
        </w:rPr>
        <w:t>年</w:t>
      </w:r>
      <w:r>
        <w:rPr>
          <w:rFonts w:hint="eastAsia"/>
        </w:rPr>
        <w:t>)</w:t>
      </w:r>
      <w:r>
        <w:rPr>
          <w:rFonts w:hint="eastAsia"/>
        </w:rPr>
        <w:t>》；</w:t>
      </w:r>
    </w:p>
    <w:p w:rsidR="00191C2F" w:rsidRDefault="00191C2F" w:rsidP="00191C2F">
      <w:pPr>
        <w:pStyle w:val="SingleTxtGC"/>
        <w:numPr>
          <w:ilvl w:val="0"/>
          <w:numId w:val="18"/>
        </w:numPr>
      </w:pPr>
      <w:r>
        <w:rPr>
          <w:rFonts w:hint="eastAsia"/>
        </w:rPr>
        <w:t>通过了《性别平等行动计划</w:t>
      </w:r>
      <w:r>
        <w:rPr>
          <w:rFonts w:hint="eastAsia"/>
        </w:rPr>
        <w:t>(2013-2017</w:t>
      </w:r>
      <w:r>
        <w:rPr>
          <w:rFonts w:hint="eastAsia"/>
        </w:rPr>
        <w:t>年</w:t>
      </w:r>
      <w:r>
        <w:rPr>
          <w:rFonts w:hint="eastAsia"/>
        </w:rPr>
        <w:t>)</w:t>
      </w:r>
      <w:r>
        <w:rPr>
          <w:rFonts w:hint="eastAsia"/>
        </w:rPr>
        <w:t>》；</w:t>
      </w:r>
    </w:p>
    <w:p w:rsidR="00191C2F" w:rsidRDefault="00191C2F" w:rsidP="00191C2F">
      <w:pPr>
        <w:pStyle w:val="SingleTxtGC"/>
        <w:numPr>
          <w:ilvl w:val="0"/>
          <w:numId w:val="18"/>
        </w:numPr>
      </w:pPr>
      <w:r>
        <w:rPr>
          <w:rFonts w:hint="eastAsia"/>
        </w:rPr>
        <w:t>通过</w:t>
      </w:r>
      <w:r>
        <w:t>了《打击人口</w:t>
      </w:r>
      <w:r>
        <w:rPr>
          <w:rFonts w:hint="eastAsia"/>
        </w:rPr>
        <w:t>贩运活动国家战略</w:t>
      </w:r>
      <w:r>
        <w:rPr>
          <w:rFonts w:hint="eastAsia"/>
        </w:rPr>
        <w:t>(2012-2018</w:t>
      </w:r>
      <w:r>
        <w:rPr>
          <w:rFonts w:hint="eastAsia"/>
        </w:rPr>
        <w:t>年</w:t>
      </w:r>
      <w:r>
        <w:rPr>
          <w:rFonts w:hint="eastAsia"/>
        </w:rPr>
        <w:t>)</w:t>
      </w:r>
      <w:r>
        <w:rPr>
          <w:rFonts w:hint="eastAsia"/>
        </w:rPr>
        <w:t>》。</w:t>
      </w:r>
    </w:p>
    <w:p w:rsidR="00191C2F" w:rsidRDefault="00191C2F" w:rsidP="00191C2F">
      <w:pPr>
        <w:pStyle w:val="SingleTxtGC"/>
        <w:ind w:left="1565"/>
      </w:pPr>
      <w:r>
        <w:rPr>
          <w:rFonts w:hint="eastAsia"/>
        </w:rPr>
        <w:t>4.</w:t>
      </w:r>
      <w:r>
        <w:t xml:space="preserve"> </w:t>
      </w:r>
      <w:r>
        <w:rPr>
          <w:rFonts w:hint="eastAsia"/>
        </w:rPr>
        <w:t xml:space="preserve"> </w:t>
      </w:r>
      <w:r>
        <w:rPr>
          <w:rFonts w:hint="eastAsia"/>
        </w:rPr>
        <w:t>委员会欢迎缔约国批准或加入以下国际文书：</w:t>
      </w:r>
    </w:p>
    <w:p w:rsidR="00191C2F" w:rsidRDefault="00191C2F" w:rsidP="00191C2F">
      <w:pPr>
        <w:pStyle w:val="SingleTxtGC"/>
        <w:numPr>
          <w:ilvl w:val="0"/>
          <w:numId w:val="19"/>
        </w:numPr>
      </w:pPr>
      <w:r>
        <w:rPr>
          <w:rFonts w:hint="eastAsia"/>
        </w:rPr>
        <w:t>《儿童权利公约任择议定书》，</w:t>
      </w:r>
      <w:r>
        <w:rPr>
          <w:rFonts w:hint="eastAsia"/>
        </w:rPr>
        <w:t>2013</w:t>
      </w:r>
      <w:r>
        <w:rPr>
          <w:rFonts w:hint="eastAsia"/>
        </w:rPr>
        <w:t>年；</w:t>
      </w:r>
    </w:p>
    <w:p w:rsidR="00191C2F" w:rsidRDefault="00191C2F" w:rsidP="00191C2F">
      <w:pPr>
        <w:pStyle w:val="SingleTxtGC"/>
        <w:numPr>
          <w:ilvl w:val="0"/>
          <w:numId w:val="19"/>
        </w:numPr>
      </w:pPr>
      <w:r>
        <w:rPr>
          <w:rFonts w:hint="eastAsia"/>
        </w:rPr>
        <w:t>《</w:t>
      </w:r>
      <w:r>
        <w:t>保护所有人免遭强迫失踪国际公约</w:t>
      </w:r>
      <w:r>
        <w:rPr>
          <w:rFonts w:hint="eastAsia"/>
        </w:rPr>
        <w:t>》，</w:t>
      </w:r>
      <w:r>
        <w:rPr>
          <w:rFonts w:hint="eastAsia"/>
        </w:rPr>
        <w:t>2011</w:t>
      </w:r>
      <w:r>
        <w:rPr>
          <w:rFonts w:hint="eastAsia"/>
        </w:rPr>
        <w:t>年；</w:t>
      </w:r>
    </w:p>
    <w:p w:rsidR="00191C2F" w:rsidRDefault="00191C2F" w:rsidP="00191C2F">
      <w:pPr>
        <w:pStyle w:val="SingleTxtGC"/>
        <w:numPr>
          <w:ilvl w:val="0"/>
          <w:numId w:val="19"/>
        </w:numPr>
      </w:pPr>
      <w:r>
        <w:rPr>
          <w:rFonts w:hint="eastAsia"/>
        </w:rPr>
        <w:t>《残疾人权利公约》，</w:t>
      </w:r>
      <w:r>
        <w:rPr>
          <w:rFonts w:hint="eastAsia"/>
        </w:rPr>
        <w:t>2009</w:t>
      </w:r>
      <w:r>
        <w:rPr>
          <w:rFonts w:hint="eastAsia"/>
        </w:rPr>
        <w:t>年；</w:t>
      </w:r>
    </w:p>
    <w:p w:rsidR="00191C2F" w:rsidRDefault="00191C2F" w:rsidP="00191C2F">
      <w:pPr>
        <w:pStyle w:val="SingleTxtGC"/>
        <w:numPr>
          <w:ilvl w:val="0"/>
          <w:numId w:val="19"/>
        </w:numPr>
      </w:pPr>
      <w:r>
        <w:rPr>
          <w:rFonts w:hint="eastAsia"/>
        </w:rPr>
        <w:t>《</w:t>
      </w:r>
      <w:r>
        <w:rPr>
          <w:rStyle w:val="st"/>
        </w:rPr>
        <w:t>儿童权利公约关</w:t>
      </w:r>
      <w:r w:rsidRPr="006E224F">
        <w:rPr>
          <w:rStyle w:val="st"/>
        </w:rPr>
        <w:t>于</w:t>
      </w:r>
      <w:r w:rsidRPr="00191C2F">
        <w:rPr>
          <w:rStyle w:val="Emphasis"/>
          <w:i w:val="0"/>
          <w:iCs w:val="0"/>
        </w:rPr>
        <w:t>儿童卷入武装冲突</w:t>
      </w:r>
      <w:r w:rsidRPr="00664A22">
        <w:rPr>
          <w:rStyle w:val="st"/>
        </w:rPr>
        <w:t>问题</w:t>
      </w:r>
      <w:r>
        <w:rPr>
          <w:rStyle w:val="st"/>
        </w:rPr>
        <w:t>的任择议定书</w:t>
      </w:r>
      <w:r>
        <w:rPr>
          <w:rStyle w:val="st"/>
          <w:rFonts w:hint="eastAsia"/>
        </w:rPr>
        <w:t>》，</w:t>
      </w:r>
      <w:r>
        <w:rPr>
          <w:rFonts w:hint="eastAsia"/>
        </w:rPr>
        <w:t>2007</w:t>
      </w:r>
      <w:r>
        <w:rPr>
          <w:rFonts w:hint="eastAsia"/>
        </w:rPr>
        <w:t>年；</w:t>
      </w:r>
    </w:p>
    <w:p w:rsidR="00191C2F" w:rsidRDefault="00191C2F" w:rsidP="00191C2F">
      <w:pPr>
        <w:pStyle w:val="SingleTxtGC"/>
        <w:numPr>
          <w:ilvl w:val="0"/>
          <w:numId w:val="19"/>
        </w:numPr>
      </w:pPr>
      <w:r>
        <w:rPr>
          <w:rFonts w:hint="eastAsia"/>
        </w:rPr>
        <w:t>《联合国</w:t>
      </w:r>
      <w:r>
        <w:rPr>
          <w:rStyle w:val="1"/>
        </w:rPr>
        <w:t>打击跨国有组织犯罪公约关于预防、禁止和惩治贩运人口特别是妇女和儿童行为的补充议定书</w:t>
      </w:r>
      <w:r>
        <w:rPr>
          <w:rStyle w:val="1"/>
          <w:rFonts w:hint="eastAsia"/>
        </w:rPr>
        <w:t>》，</w:t>
      </w:r>
      <w:r>
        <w:rPr>
          <w:rFonts w:hint="eastAsia"/>
        </w:rPr>
        <w:t>2006</w:t>
      </w:r>
      <w:r>
        <w:rPr>
          <w:rFonts w:hint="eastAsia"/>
        </w:rPr>
        <w:t>年。</w:t>
      </w:r>
    </w:p>
    <w:p w:rsidR="00191C2F" w:rsidRDefault="00191C2F" w:rsidP="00191C2F">
      <w:pPr>
        <w:pStyle w:val="H1GC"/>
      </w:pPr>
      <w:r>
        <w:tab/>
      </w:r>
      <w:r>
        <w:rPr>
          <w:rFonts w:hint="eastAsia"/>
        </w:rPr>
        <w:t>C</w:t>
      </w:r>
      <w:r w:rsidRPr="00457282">
        <w:rPr>
          <w:rFonts w:hint="eastAsia"/>
        </w:rPr>
        <w:t>.</w:t>
      </w:r>
      <w:r>
        <w:tab/>
      </w:r>
      <w:r>
        <w:rPr>
          <w:rFonts w:hint="eastAsia"/>
        </w:rPr>
        <w:t>主要</w:t>
      </w:r>
      <w:r w:rsidRPr="00457282">
        <w:rPr>
          <w:rFonts w:hint="eastAsia"/>
        </w:rPr>
        <w:t>关注问题和建议</w:t>
      </w:r>
    </w:p>
    <w:p w:rsidR="00191C2F" w:rsidRDefault="00191C2F" w:rsidP="00191C2F">
      <w:pPr>
        <w:pStyle w:val="H23GC"/>
      </w:pPr>
      <w:r>
        <w:tab/>
      </w:r>
      <w:r>
        <w:tab/>
      </w:r>
      <w:r>
        <w:rPr>
          <w:rFonts w:hint="eastAsia"/>
        </w:rPr>
        <w:t>《</w:t>
      </w:r>
      <w:r w:rsidRPr="00457282">
        <w:rPr>
          <w:rFonts w:hint="eastAsia"/>
        </w:rPr>
        <w:t>公约</w:t>
      </w:r>
      <w:r>
        <w:rPr>
          <w:rFonts w:hint="eastAsia"/>
        </w:rPr>
        <w:t>》</w:t>
      </w:r>
      <w:r w:rsidRPr="00457282">
        <w:rPr>
          <w:rFonts w:hint="eastAsia"/>
        </w:rPr>
        <w:t>在国内法院</w:t>
      </w:r>
      <w:r>
        <w:rPr>
          <w:rFonts w:hint="eastAsia"/>
        </w:rPr>
        <w:t>的</w:t>
      </w:r>
      <w:r w:rsidRPr="00457282">
        <w:rPr>
          <w:rFonts w:hint="eastAsia"/>
        </w:rPr>
        <w:t>适用</w:t>
      </w:r>
    </w:p>
    <w:p w:rsidR="00191C2F" w:rsidRDefault="00191C2F" w:rsidP="00191C2F">
      <w:pPr>
        <w:pStyle w:val="SingleTxtGC"/>
      </w:pPr>
      <w:r>
        <w:rPr>
          <w:rFonts w:hint="eastAsia"/>
        </w:rPr>
        <w:t>5.</w:t>
      </w:r>
      <w:r>
        <w:t xml:space="preserve"> </w:t>
      </w:r>
      <w:r>
        <w:rPr>
          <w:rFonts w:hint="eastAsia"/>
        </w:rPr>
        <w:t xml:space="preserve"> </w:t>
      </w:r>
      <w:r>
        <w:rPr>
          <w:rFonts w:hint="eastAsia"/>
        </w:rPr>
        <w:t>委员会注意到缔约国报告称，国际人权条约，包括本公约的规定，可以在法庭直接引用。然而，委员会也注意到援引《公约》规定的实例有限。委员会欢迎缔约国司法培训中心举办培训，但也关切司法机关以及整个法律界对《公约》规定的了解不够，《公约》在国内法律系统中的适用不充分</w:t>
      </w:r>
      <w:r>
        <w:rPr>
          <w:rFonts w:hint="eastAsia"/>
        </w:rPr>
        <w:t>(</w:t>
      </w:r>
      <w:r>
        <w:rPr>
          <w:rFonts w:hint="eastAsia"/>
        </w:rPr>
        <w:t>第二条</w:t>
      </w:r>
      <w:r>
        <w:rPr>
          <w:rStyle w:val="hps"/>
          <w:rFonts w:hint="eastAsia"/>
        </w:rPr>
        <w:t>)</w:t>
      </w:r>
      <w:r>
        <w:rPr>
          <w:rStyle w:val="hps"/>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缔约国应采取适当措施</w:t>
      </w:r>
      <w:r>
        <w:rPr>
          <w:rFonts w:ascii="Time New Roman" w:eastAsia="SimHei" w:hAnsi="Time New Roman" w:hint="eastAsia"/>
        </w:rPr>
        <w:t>，</w:t>
      </w:r>
      <w:r w:rsidRPr="00191C2F">
        <w:rPr>
          <w:rFonts w:ascii="Time New Roman" w:eastAsia="SimHei" w:hAnsi="Time New Roman" w:hint="eastAsia"/>
        </w:rPr>
        <w:t>提高法官、律师和检察官的《公约》意识</w:t>
      </w:r>
      <w:r>
        <w:rPr>
          <w:rFonts w:ascii="Time New Roman" w:eastAsia="SimHei" w:hAnsi="Time New Roman" w:hint="eastAsia"/>
        </w:rPr>
        <w:t>，</w:t>
      </w:r>
      <w:r w:rsidRPr="00191C2F">
        <w:rPr>
          <w:rFonts w:ascii="Time New Roman" w:eastAsia="SimHei" w:hAnsi="Time New Roman" w:hint="eastAsia"/>
        </w:rPr>
        <w:t>确保国内法院可以援引《公约》规定。在这方面</w:t>
      </w:r>
      <w:r>
        <w:rPr>
          <w:rFonts w:ascii="Time New Roman" w:eastAsia="SimHei" w:hAnsi="Time New Roman" w:hint="eastAsia"/>
        </w:rPr>
        <w:t>，</w:t>
      </w:r>
      <w:r w:rsidRPr="00191C2F">
        <w:rPr>
          <w:rFonts w:ascii="Time New Roman" w:eastAsia="SimHei" w:hAnsi="Time New Roman" w:hint="eastAsia"/>
        </w:rPr>
        <w:t>缔约国应采取有效措施</w:t>
      </w:r>
      <w:r>
        <w:rPr>
          <w:rFonts w:ascii="Time New Roman" w:eastAsia="SimHei" w:hAnsi="Time New Roman" w:hint="eastAsia"/>
        </w:rPr>
        <w:t>，</w:t>
      </w:r>
      <w:r w:rsidRPr="00191C2F">
        <w:rPr>
          <w:rFonts w:ascii="Time New Roman" w:eastAsia="SimHei" w:hAnsi="Time New Roman" w:hint="eastAsia"/>
        </w:rPr>
        <w:t>在缔约国广泛宣传《公约》。</w:t>
      </w:r>
    </w:p>
    <w:p w:rsidR="00191C2F" w:rsidRDefault="00191C2F" w:rsidP="00191C2F">
      <w:pPr>
        <w:pStyle w:val="H23GC"/>
      </w:pPr>
      <w:r>
        <w:tab/>
      </w:r>
      <w:r>
        <w:tab/>
      </w:r>
      <w:r>
        <w:rPr>
          <w:rFonts w:hint="eastAsia"/>
        </w:rPr>
        <w:t>对侵犯人权的补救措施</w:t>
      </w:r>
    </w:p>
    <w:p w:rsidR="00191C2F" w:rsidRDefault="00191C2F" w:rsidP="00191C2F">
      <w:pPr>
        <w:pStyle w:val="SingleTxtGC"/>
      </w:pPr>
      <w:r>
        <w:rPr>
          <w:rFonts w:hint="eastAsia"/>
        </w:rPr>
        <w:t>6.</w:t>
      </w:r>
      <w:r>
        <w:t xml:space="preserve"> </w:t>
      </w:r>
      <w:r>
        <w:rPr>
          <w:rFonts w:hint="eastAsia"/>
        </w:rPr>
        <w:t xml:space="preserve"> </w:t>
      </w:r>
      <w:r>
        <w:rPr>
          <w:rFonts w:hint="eastAsia"/>
        </w:rPr>
        <w:t>委员会关切地注意到个人就侵犯人权行为，特别是战争罪向国家提出索赔面临各种困难。在这方面，委员会表示关切的是，缔约国关于向战争受害者发放抚恤金的法律规定只对受伤造成至少</w:t>
      </w:r>
      <w:r>
        <w:rPr>
          <w:rFonts w:hint="eastAsia"/>
        </w:rPr>
        <w:t>50%</w:t>
      </w:r>
      <w:r>
        <w:rPr>
          <w:rFonts w:hint="eastAsia"/>
        </w:rPr>
        <w:t>身体残疾的人提供补偿，缔约国不承认失踪人员家属有资格获得补偿</w:t>
      </w:r>
      <w:r>
        <w:rPr>
          <w:rFonts w:hint="eastAsia"/>
        </w:rPr>
        <w:t>(</w:t>
      </w:r>
      <w:r>
        <w:rPr>
          <w:rFonts w:hint="eastAsia"/>
        </w:rPr>
        <w:t>第二条、第六条和第七条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缔约国应确保向所有遭受侵权的受害者及其家属</w:t>
      </w:r>
      <w:r>
        <w:rPr>
          <w:rFonts w:ascii="Time New Roman" w:eastAsia="SimHei" w:hAnsi="Time New Roman" w:hint="eastAsia"/>
        </w:rPr>
        <w:t>，</w:t>
      </w:r>
      <w:r w:rsidRPr="00191C2F">
        <w:rPr>
          <w:rFonts w:ascii="Time New Roman" w:eastAsia="SimHei" w:hAnsi="Time New Roman" w:hint="eastAsia"/>
        </w:rPr>
        <w:t>包括精神虐待受害者提供充分赔偿</w:t>
      </w:r>
      <w:r>
        <w:rPr>
          <w:rFonts w:ascii="Time New Roman" w:eastAsia="SimHei" w:hAnsi="Time New Roman" w:hint="eastAsia"/>
        </w:rPr>
        <w:t>，</w:t>
      </w:r>
      <w:r w:rsidRPr="00191C2F">
        <w:rPr>
          <w:rFonts w:ascii="Time New Roman" w:eastAsia="SimHei" w:hAnsi="Time New Roman" w:hint="eastAsia"/>
        </w:rPr>
        <w:t>如康复措施、公平和足够补偿以及社会救济方案。缔约国还应确保失踪人员亲属获得足够补偿。</w:t>
      </w:r>
    </w:p>
    <w:p w:rsidR="00191C2F" w:rsidRDefault="00191C2F" w:rsidP="00191C2F">
      <w:pPr>
        <w:pStyle w:val="H23GC"/>
      </w:pPr>
      <w:r>
        <w:tab/>
      </w:r>
      <w:r>
        <w:tab/>
      </w:r>
      <w:r w:rsidRPr="002B53BA">
        <w:rPr>
          <w:rFonts w:hint="eastAsia"/>
        </w:rPr>
        <w:t>国家人权机构</w:t>
      </w:r>
    </w:p>
    <w:p w:rsidR="00191C2F" w:rsidRPr="00191C2F" w:rsidRDefault="00191C2F" w:rsidP="00191C2F">
      <w:pPr>
        <w:pStyle w:val="SingleTxtGC"/>
        <w:rPr>
          <w:rFonts w:ascii="Time New Roman" w:hAnsi="Time New Roman" w:hint="eastAsia"/>
        </w:rPr>
      </w:pPr>
      <w:r w:rsidRPr="00191C2F">
        <w:rPr>
          <w:rFonts w:ascii="Time New Roman" w:hAnsi="Time New Roman" w:hint="eastAsia"/>
        </w:rPr>
        <w:t>7.</w:t>
      </w:r>
      <w:r w:rsidRPr="00191C2F">
        <w:rPr>
          <w:rFonts w:ascii="Time New Roman" w:hAnsi="Time New Roman"/>
        </w:rPr>
        <w:t xml:space="preserve"> </w:t>
      </w:r>
      <w:r w:rsidRPr="00191C2F">
        <w:rPr>
          <w:rFonts w:ascii="Time New Roman" w:hAnsi="Time New Roman" w:hint="eastAsia"/>
        </w:rPr>
        <w:t xml:space="preserve"> </w:t>
      </w:r>
      <w:r w:rsidRPr="00191C2F">
        <w:rPr>
          <w:rFonts w:ascii="Time New Roman" w:hAnsi="Time New Roman" w:hint="eastAsia"/>
        </w:rPr>
        <w:t>委员会注意到缔约国通过了修订《黑山人权和自由保护机构法》的新法律，但也关切国家人权机构无法按照</w:t>
      </w:r>
      <w:r w:rsidRPr="00191C2F">
        <w:rPr>
          <w:rFonts w:ascii="Time New Roman" w:hAnsi="Time New Roman"/>
        </w:rPr>
        <w:t>《促进和保护人权国家机构地位原则》</w:t>
      </w:r>
      <w:r w:rsidRPr="00191C2F">
        <w:rPr>
          <w:rFonts w:ascii="Time New Roman" w:hAnsi="Time New Roman"/>
        </w:rPr>
        <w:t>(</w:t>
      </w:r>
      <w:r w:rsidRPr="00191C2F">
        <w:rPr>
          <w:rFonts w:ascii="Time New Roman" w:hAnsi="Time New Roman" w:hint="eastAsia"/>
        </w:rPr>
        <w:t>《巴黎原则》</w:t>
      </w:r>
      <w:r w:rsidRPr="00191C2F">
        <w:rPr>
          <w:rFonts w:ascii="Time New Roman" w:hAnsi="Time New Roman" w:hint="eastAsia"/>
        </w:rPr>
        <w:t>)</w:t>
      </w:r>
      <w:r w:rsidRPr="00191C2F">
        <w:rPr>
          <w:rFonts w:ascii="Time New Roman" w:hAnsi="Time New Roman" w:hint="eastAsia"/>
        </w:rPr>
        <w:t>履行广泛的职责</w:t>
      </w:r>
      <w:r w:rsidRPr="00191C2F">
        <w:rPr>
          <w:rFonts w:ascii="Time New Roman" w:hAnsi="Time New Roman" w:hint="eastAsia"/>
        </w:rPr>
        <w:t>(</w:t>
      </w:r>
      <w:r w:rsidRPr="00191C2F">
        <w:rPr>
          <w:rFonts w:ascii="Time New Roman" w:hAnsi="Time New Roman" w:hint="eastAsia"/>
        </w:rPr>
        <w:t>第二条</w:t>
      </w:r>
      <w:r w:rsidRPr="00191C2F">
        <w:rPr>
          <w:rFonts w:ascii="Time New Roman" w:hAnsi="Time New Roman" w:hint="eastAsia"/>
        </w:rPr>
        <w:t>)</w:t>
      </w:r>
      <w:r w:rsidRPr="00191C2F">
        <w:rPr>
          <w:rFonts w:ascii="Time New Roman" w:hAnsi="Time New Roman"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缔约国应加强国家人权机构的能力</w:t>
      </w:r>
      <w:r>
        <w:rPr>
          <w:rFonts w:ascii="Time New Roman" w:eastAsia="SimHei" w:hAnsi="Time New Roman" w:hint="eastAsia"/>
        </w:rPr>
        <w:t>，</w:t>
      </w:r>
      <w:r w:rsidRPr="00191C2F">
        <w:rPr>
          <w:rFonts w:ascii="Time New Roman" w:eastAsia="SimHei" w:hAnsi="Time New Roman" w:hint="eastAsia"/>
        </w:rPr>
        <w:t>使它们能够按照《巴黎原则</w:t>
      </w:r>
      <w:r>
        <w:rPr>
          <w:rFonts w:ascii="Time New Roman" w:eastAsia="SimHei" w:hAnsi="Time New Roman" w:hint="eastAsia"/>
        </w:rPr>
        <w:t>》</w:t>
      </w:r>
      <w:r w:rsidRPr="00191C2F">
        <w:rPr>
          <w:rFonts w:ascii="Time New Roman" w:eastAsia="SimHei" w:hAnsi="Time New Roman" w:hint="eastAsia"/>
        </w:rPr>
        <w:t>履行广泛的人权职责</w:t>
      </w:r>
      <w:r>
        <w:rPr>
          <w:rFonts w:ascii="Time New Roman" w:eastAsia="SimHei" w:hAnsi="Time New Roman" w:hint="eastAsia"/>
        </w:rPr>
        <w:t>，</w:t>
      </w:r>
      <w:r w:rsidRPr="00191C2F">
        <w:rPr>
          <w:rFonts w:ascii="Time New Roman" w:eastAsia="SimHei" w:hAnsi="Time New Roman" w:hint="eastAsia"/>
        </w:rPr>
        <w:t>并向其提供足够的资源。</w:t>
      </w:r>
    </w:p>
    <w:p w:rsidR="00191C2F" w:rsidRDefault="00191C2F" w:rsidP="00191C2F">
      <w:pPr>
        <w:pStyle w:val="H23GC"/>
      </w:pPr>
      <w:r>
        <w:tab/>
      </w:r>
      <w:r>
        <w:tab/>
      </w:r>
      <w:r>
        <w:rPr>
          <w:rFonts w:hint="eastAsia"/>
        </w:rPr>
        <w:t>以</w:t>
      </w:r>
      <w:r w:rsidRPr="002B53BA">
        <w:rPr>
          <w:rFonts w:hint="eastAsia"/>
        </w:rPr>
        <w:t>性取向和性别认同</w:t>
      </w:r>
      <w:r>
        <w:rPr>
          <w:rFonts w:hint="eastAsia"/>
        </w:rPr>
        <w:t>为由</w:t>
      </w:r>
      <w:r w:rsidRPr="002B53BA">
        <w:rPr>
          <w:rFonts w:hint="eastAsia"/>
        </w:rPr>
        <w:t>的歧视</w:t>
      </w:r>
    </w:p>
    <w:p w:rsidR="00191C2F" w:rsidRDefault="00191C2F" w:rsidP="00191C2F">
      <w:pPr>
        <w:pStyle w:val="SingleTxtGC"/>
      </w:pPr>
      <w:r>
        <w:rPr>
          <w:rFonts w:hint="eastAsia"/>
        </w:rPr>
        <w:t>8.</w:t>
      </w:r>
      <w:r>
        <w:t xml:space="preserve"> </w:t>
      </w:r>
      <w:r>
        <w:rPr>
          <w:rFonts w:hint="eastAsia"/>
        </w:rPr>
        <w:t xml:space="preserve"> </w:t>
      </w:r>
      <w:r>
        <w:rPr>
          <w:rFonts w:hint="eastAsia"/>
        </w:rPr>
        <w:t>委员会欢迎缔约国采取各种法律和体制措施，保护女同性恋、男同性恋、双性恋和变性者的权利，但也关切社会对这些群体充分成见和偏见。在这方面，它尤其关切有报告称女同性恋、男同性恋、双性恋和变性者遭受暴力行为，而对施暴者没有进行有效调查和起诉。委员会尤为关切没有对在布德瓦和波德戈里察“</w:t>
      </w:r>
      <w:r w:rsidRPr="00191C2F">
        <w:rPr>
          <w:rStyle w:val="Emphasis"/>
          <w:i w:val="0"/>
          <w:iCs w:val="0"/>
        </w:rPr>
        <w:t>同性恋</w:t>
      </w:r>
      <w:r>
        <w:rPr>
          <w:rStyle w:val="st"/>
        </w:rPr>
        <w:t>自豪游行</w:t>
      </w:r>
      <w:r>
        <w:rPr>
          <w:rStyle w:val="st"/>
          <w:rFonts w:hint="eastAsia"/>
        </w:rPr>
        <w:t>”</w:t>
      </w:r>
      <w:r>
        <w:rPr>
          <w:rStyle w:val="st"/>
        </w:rPr>
        <w:t>期间</w:t>
      </w:r>
      <w:r>
        <w:rPr>
          <w:rFonts w:hint="eastAsia"/>
        </w:rPr>
        <w:t>发生的侵犯人权事件进行彻底调查</w:t>
      </w:r>
      <w:r>
        <w:rPr>
          <w:rFonts w:hint="eastAsia"/>
        </w:rPr>
        <w:t>(</w:t>
      </w:r>
      <w:r>
        <w:rPr>
          <w:rFonts w:hint="eastAsia"/>
        </w:rPr>
        <w:t>第二条和第二十六条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缔约国应加强努力</w:t>
      </w:r>
      <w:r>
        <w:rPr>
          <w:rFonts w:ascii="Time New Roman" w:eastAsia="SimHei" w:hAnsi="Time New Roman" w:hint="eastAsia"/>
        </w:rPr>
        <w:t>，</w:t>
      </w:r>
      <w:r w:rsidRPr="00191C2F">
        <w:rPr>
          <w:rFonts w:ascii="Time New Roman" w:eastAsia="SimHei" w:hAnsi="Time New Roman" w:hint="eastAsia"/>
        </w:rPr>
        <w:t>消除对女同性恋、男同性恋、双性恋和变性者的成见和偏见</w:t>
      </w:r>
      <w:r>
        <w:rPr>
          <w:rFonts w:ascii="Time New Roman" w:eastAsia="SimHei" w:hAnsi="Time New Roman" w:hint="eastAsia"/>
        </w:rPr>
        <w:t>，</w:t>
      </w:r>
      <w:r w:rsidRPr="00191C2F">
        <w:rPr>
          <w:rFonts w:ascii="Time New Roman" w:eastAsia="SimHei" w:hAnsi="Time New Roman" w:hint="eastAsia"/>
        </w:rPr>
        <w:t>包括在广大市民中间开展宣传活动和对政府官员进行适当培训</w:t>
      </w:r>
      <w:r>
        <w:rPr>
          <w:rFonts w:ascii="Time New Roman" w:eastAsia="SimHei" w:hAnsi="Time New Roman" w:hint="eastAsia"/>
        </w:rPr>
        <w:t>，</w:t>
      </w:r>
      <w:r w:rsidRPr="00191C2F">
        <w:rPr>
          <w:rFonts w:ascii="Time New Roman" w:eastAsia="SimHei" w:hAnsi="Time New Roman" w:hint="eastAsia"/>
        </w:rPr>
        <w:t>以制止社会对这些群体的污名化。缔约国应确保对所有举报暴力侵害女同性恋、男同性恋、双性恋和变性者案件进行有效调查</w:t>
      </w:r>
      <w:r>
        <w:rPr>
          <w:rFonts w:ascii="Time New Roman" w:eastAsia="SimHei" w:hAnsi="Time New Roman" w:hint="eastAsia"/>
        </w:rPr>
        <w:t>，</w:t>
      </w:r>
      <w:r w:rsidRPr="00191C2F">
        <w:rPr>
          <w:rFonts w:ascii="Time New Roman" w:eastAsia="SimHei" w:hAnsi="Time New Roman" w:hint="eastAsia"/>
        </w:rPr>
        <w:t>对以性取向为由的暴力行为进行起诉和处罚。</w:t>
      </w:r>
    </w:p>
    <w:p w:rsidR="00191C2F" w:rsidRDefault="00191C2F" w:rsidP="00191C2F">
      <w:pPr>
        <w:pStyle w:val="H23GC"/>
      </w:pPr>
      <w:r>
        <w:tab/>
      </w:r>
      <w:r>
        <w:tab/>
      </w:r>
      <w:r w:rsidRPr="002B53BA">
        <w:rPr>
          <w:rFonts w:hint="eastAsia"/>
        </w:rPr>
        <w:t>追究过去</w:t>
      </w:r>
      <w:r>
        <w:rPr>
          <w:rFonts w:hint="eastAsia"/>
        </w:rPr>
        <w:t>的</w:t>
      </w:r>
      <w:r w:rsidRPr="002B53BA">
        <w:rPr>
          <w:rFonts w:hint="eastAsia"/>
        </w:rPr>
        <w:t>侵犯人权行为</w:t>
      </w:r>
    </w:p>
    <w:p w:rsidR="00191C2F" w:rsidRDefault="00191C2F" w:rsidP="00191C2F">
      <w:pPr>
        <w:pStyle w:val="SingleTxtGC"/>
      </w:pPr>
      <w:r>
        <w:rPr>
          <w:rFonts w:hint="eastAsia"/>
        </w:rPr>
        <w:t>9.</w:t>
      </w:r>
      <w:r>
        <w:t xml:space="preserve"> </w:t>
      </w:r>
      <w:r>
        <w:rPr>
          <w:rFonts w:hint="eastAsia"/>
        </w:rPr>
        <w:t xml:space="preserve"> </w:t>
      </w:r>
      <w:r>
        <w:rPr>
          <w:rFonts w:hint="eastAsia"/>
        </w:rPr>
        <w:t>委员会表示关切对</w:t>
      </w:r>
      <w:r>
        <w:rPr>
          <w:rFonts w:hint="eastAsia"/>
        </w:rPr>
        <w:t>1990</w:t>
      </w:r>
      <w:r>
        <w:rPr>
          <w:rFonts w:hint="eastAsia"/>
        </w:rPr>
        <w:t>年代武装冲突期间犯下的严重侵犯人权行为一直未予追究。它注意到缔约国当局对此类罪行进行过调查，但感到遗憾的是调查后很少进行起诉，而且判刑较轻，与所犯罪行的严重性不相称。委员会尤其关切</w:t>
      </w:r>
      <w:r>
        <w:rPr>
          <w:rFonts w:hint="eastAsia"/>
        </w:rPr>
        <w:t>Bukovika</w:t>
      </w:r>
      <w:r>
        <w:rPr>
          <w:rFonts w:hint="eastAsia"/>
        </w:rPr>
        <w:t>案的最终判决，判决认为所犯行为按当时的法律构不成犯罪，尽管《公约》第十五条第</w:t>
      </w:r>
      <w:r>
        <w:rPr>
          <w:rFonts w:hint="eastAsia"/>
        </w:rPr>
        <w:t>2</w:t>
      </w:r>
      <w:r>
        <w:rPr>
          <w:rFonts w:hint="eastAsia"/>
        </w:rPr>
        <w:t>款规定了例外情况。委员会还感到遗憾的是，战争期间失踪的</w:t>
      </w:r>
      <w:r>
        <w:rPr>
          <w:rFonts w:hint="eastAsia"/>
        </w:rPr>
        <w:t>61</w:t>
      </w:r>
      <w:r>
        <w:rPr>
          <w:rFonts w:hint="eastAsia"/>
        </w:rPr>
        <w:t>人至今下落不明，案件仍然没有得到解决</w:t>
      </w:r>
      <w:r>
        <w:rPr>
          <w:rFonts w:hint="eastAsia"/>
        </w:rPr>
        <w:t>(</w:t>
      </w:r>
      <w:r>
        <w:rPr>
          <w:rFonts w:hint="eastAsia"/>
        </w:rPr>
        <w:t>第二条、第六条和第七条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委员会回顾</w:t>
      </w:r>
      <w:r>
        <w:rPr>
          <w:rFonts w:ascii="Time New Roman" w:eastAsia="SimHei" w:hAnsi="Time New Roman" w:hint="eastAsia"/>
        </w:rPr>
        <w:t>，</w:t>
      </w:r>
      <w:r w:rsidRPr="00191C2F">
        <w:rPr>
          <w:rFonts w:ascii="Time New Roman" w:eastAsia="SimHei" w:hAnsi="Time New Roman" w:hint="eastAsia"/>
        </w:rPr>
        <w:t>缔约国有义务充分调查涉嫌违反《公约》第六条和第七条的所有案件</w:t>
      </w:r>
      <w:r>
        <w:rPr>
          <w:rFonts w:ascii="Time New Roman" w:eastAsia="SimHei" w:hAnsi="Time New Roman" w:hint="eastAsia"/>
        </w:rPr>
        <w:t>，</w:t>
      </w:r>
      <w:r w:rsidRPr="00191C2F">
        <w:rPr>
          <w:rFonts w:ascii="Time New Roman" w:eastAsia="SimHei" w:hAnsi="Time New Roman" w:hint="eastAsia"/>
        </w:rPr>
        <w:t>第十五条允许缔约国追溯适用刑法规定</w:t>
      </w:r>
      <w:r>
        <w:rPr>
          <w:rFonts w:ascii="Time New Roman" w:eastAsia="SimHei" w:hAnsi="Time New Roman" w:hint="eastAsia"/>
        </w:rPr>
        <w:t>，</w:t>
      </w:r>
      <w:r w:rsidRPr="00191C2F">
        <w:rPr>
          <w:rFonts w:ascii="Time New Roman" w:eastAsia="SimHei" w:hAnsi="Time New Roman" w:hint="eastAsia"/>
        </w:rPr>
        <w:t>对在</w:t>
      </w:r>
      <w:r w:rsidRPr="00191C2F">
        <w:rPr>
          <w:rFonts w:ascii="Time New Roman" w:eastAsia="SimHei" w:hAnsi="Time New Roman"/>
        </w:rPr>
        <w:t>其发生时依照各国公认的一般法律原则</w:t>
      </w:r>
      <w:r w:rsidRPr="00191C2F">
        <w:rPr>
          <w:rFonts w:ascii="Time New Roman" w:eastAsia="SimHei" w:hAnsi="Time New Roman" w:hint="eastAsia"/>
        </w:rPr>
        <w:t>可认定</w:t>
      </w:r>
      <w:r w:rsidRPr="00191C2F">
        <w:rPr>
          <w:rFonts w:ascii="Time New Roman" w:eastAsia="SimHei" w:hAnsi="Time New Roman"/>
        </w:rPr>
        <w:t>为犯罪的侵权行为</w:t>
      </w:r>
      <w:r>
        <w:rPr>
          <w:rFonts w:ascii="Time New Roman" w:eastAsia="SimHei" w:hAnsi="Time New Roman"/>
        </w:rPr>
        <w:t>，</w:t>
      </w:r>
      <w:r w:rsidRPr="00191C2F">
        <w:rPr>
          <w:rFonts w:ascii="Time New Roman" w:eastAsia="SimHei" w:hAnsi="Time New Roman"/>
        </w:rPr>
        <w:t>绳之以法。</w:t>
      </w:r>
      <w:r w:rsidRPr="00191C2F">
        <w:rPr>
          <w:rFonts w:ascii="Time New Roman" w:eastAsia="SimHei" w:hAnsi="Time New Roman" w:hint="eastAsia"/>
        </w:rPr>
        <w:t>缔约国还应立即采取有效措施</w:t>
      </w:r>
      <w:r>
        <w:rPr>
          <w:rFonts w:ascii="Time New Roman" w:eastAsia="SimHei" w:hAnsi="Time New Roman" w:hint="eastAsia"/>
        </w:rPr>
        <w:t>，</w:t>
      </w:r>
      <w:r w:rsidRPr="00191C2F">
        <w:rPr>
          <w:rFonts w:ascii="Time New Roman" w:eastAsia="SimHei" w:hAnsi="Time New Roman" w:hint="eastAsia"/>
        </w:rPr>
        <w:t>调查失踪人员的所有悬而未决案件</w:t>
      </w:r>
      <w:r>
        <w:rPr>
          <w:rFonts w:ascii="Time New Roman" w:eastAsia="SimHei" w:hAnsi="Time New Roman" w:hint="eastAsia"/>
        </w:rPr>
        <w:t>，</w:t>
      </w:r>
      <w:r w:rsidRPr="00191C2F">
        <w:rPr>
          <w:rFonts w:ascii="Time New Roman" w:eastAsia="SimHei" w:hAnsi="Time New Roman" w:hint="eastAsia"/>
        </w:rPr>
        <w:t>对实施者进行法律制裁。缔约国也应确保失踪人员的亲属能够获得受害者下落的信息。</w:t>
      </w:r>
    </w:p>
    <w:p w:rsidR="00191C2F" w:rsidRDefault="00191C2F" w:rsidP="00191C2F">
      <w:pPr>
        <w:pStyle w:val="H23GC"/>
      </w:pPr>
      <w:r>
        <w:tab/>
      </w:r>
      <w:r>
        <w:tab/>
      </w:r>
      <w:r w:rsidRPr="002B53BA">
        <w:rPr>
          <w:rFonts w:hint="eastAsia"/>
        </w:rPr>
        <w:t>不歧视和男女之间平等</w:t>
      </w:r>
    </w:p>
    <w:p w:rsidR="00191C2F" w:rsidRDefault="00191C2F" w:rsidP="00191C2F">
      <w:pPr>
        <w:pStyle w:val="SingleTxtGC"/>
      </w:pPr>
      <w:r>
        <w:rPr>
          <w:rFonts w:hint="eastAsia"/>
        </w:rPr>
        <w:t>10.</w:t>
      </w:r>
      <w:r>
        <w:t xml:space="preserve"> </w:t>
      </w:r>
      <w:r>
        <w:rPr>
          <w:rFonts w:hint="eastAsia"/>
        </w:rPr>
        <w:t xml:space="preserve"> </w:t>
      </w:r>
      <w:r>
        <w:rPr>
          <w:rFonts w:hint="eastAsia"/>
        </w:rPr>
        <w:t>委员会欢迎缔约国通过了《性别平等行动计划</w:t>
      </w:r>
      <w:r>
        <w:rPr>
          <w:rFonts w:hint="eastAsia"/>
        </w:rPr>
        <w:t>(2013-2017</w:t>
      </w:r>
      <w:r>
        <w:rPr>
          <w:rFonts w:hint="eastAsia"/>
        </w:rPr>
        <w:t>年</w:t>
      </w:r>
      <w:r>
        <w:rPr>
          <w:rFonts w:hint="eastAsia"/>
        </w:rPr>
        <w:t>)</w:t>
      </w:r>
      <w:r>
        <w:rPr>
          <w:rFonts w:hint="eastAsia"/>
        </w:rPr>
        <w:t>》，并通过了修订《市政委员和国会议员法选举法》的法律</w:t>
      </w:r>
      <w:r>
        <w:rPr>
          <w:rFonts w:hint="eastAsia"/>
        </w:rPr>
        <w:t>(2014</w:t>
      </w:r>
      <w:r>
        <w:rPr>
          <w:rFonts w:hint="eastAsia"/>
        </w:rPr>
        <w:t>年</w:t>
      </w:r>
      <w:r>
        <w:rPr>
          <w:rFonts w:hint="eastAsia"/>
        </w:rPr>
        <w:t>3</w:t>
      </w:r>
      <w:r>
        <w:rPr>
          <w:rFonts w:hint="eastAsia"/>
        </w:rPr>
        <w:t>月</w:t>
      </w:r>
      <w:r>
        <w:rPr>
          <w:rFonts w:hint="eastAsia"/>
        </w:rPr>
        <w:t>21</w:t>
      </w:r>
      <w:r>
        <w:rPr>
          <w:rFonts w:hint="eastAsia"/>
        </w:rPr>
        <w:t>日</w:t>
      </w:r>
      <w:r>
        <w:rPr>
          <w:rFonts w:hint="eastAsia"/>
        </w:rPr>
        <w:t>)</w:t>
      </w:r>
      <w:r>
        <w:rPr>
          <w:rFonts w:hint="eastAsia"/>
        </w:rPr>
        <w:t>，但也关切地注意到，女性在公共领域包括司法机关的高级和决策职位中任职人数仍然不足</w:t>
      </w:r>
      <w:r>
        <w:rPr>
          <w:rFonts w:hint="eastAsia"/>
        </w:rPr>
        <w:t>(</w:t>
      </w:r>
      <w:r>
        <w:rPr>
          <w:rFonts w:hint="eastAsia"/>
        </w:rPr>
        <w:t>第二条、第三条和第二十六条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缔约国应加强努力</w:t>
      </w:r>
      <w:r>
        <w:rPr>
          <w:rFonts w:ascii="Time New Roman" w:eastAsia="SimHei" w:hAnsi="Time New Roman" w:hint="eastAsia"/>
        </w:rPr>
        <w:t>，</w:t>
      </w:r>
      <w:r w:rsidRPr="00191C2F">
        <w:rPr>
          <w:rFonts w:ascii="Time New Roman" w:eastAsia="SimHei" w:hAnsi="Time New Roman" w:hint="eastAsia"/>
        </w:rPr>
        <w:t>增加妇女在公共部门的参与</w:t>
      </w:r>
      <w:r>
        <w:rPr>
          <w:rFonts w:ascii="Time New Roman" w:eastAsia="SimHei" w:hAnsi="Time New Roman" w:hint="eastAsia"/>
        </w:rPr>
        <w:t>，</w:t>
      </w:r>
      <w:r w:rsidRPr="00191C2F">
        <w:rPr>
          <w:rFonts w:ascii="Time New Roman" w:eastAsia="SimHei" w:hAnsi="Time New Roman" w:hint="eastAsia"/>
        </w:rPr>
        <w:t>必要时采取适当的临时特别措施</w:t>
      </w:r>
      <w:r>
        <w:rPr>
          <w:rFonts w:ascii="Time New Roman" w:eastAsia="SimHei" w:hAnsi="Time New Roman" w:hint="eastAsia"/>
        </w:rPr>
        <w:t>，</w:t>
      </w:r>
      <w:r w:rsidRPr="00191C2F">
        <w:rPr>
          <w:rFonts w:ascii="Time New Roman" w:eastAsia="SimHei" w:hAnsi="Time New Roman" w:hint="eastAsia"/>
        </w:rPr>
        <w:t>以落实《公约》规定。</w:t>
      </w:r>
    </w:p>
    <w:p w:rsidR="00191C2F" w:rsidRDefault="00191C2F" w:rsidP="00191C2F">
      <w:pPr>
        <w:pStyle w:val="H23GC"/>
      </w:pPr>
      <w:r>
        <w:tab/>
      </w:r>
      <w:r>
        <w:tab/>
      </w:r>
      <w:r w:rsidRPr="002B53BA">
        <w:rPr>
          <w:rFonts w:hint="eastAsia"/>
        </w:rPr>
        <w:t>对妇女的暴力</w:t>
      </w:r>
    </w:p>
    <w:p w:rsidR="00191C2F" w:rsidRDefault="00191C2F" w:rsidP="00191C2F">
      <w:pPr>
        <w:pStyle w:val="SingleTxtGC"/>
      </w:pPr>
      <w:r>
        <w:rPr>
          <w:rFonts w:hint="eastAsia"/>
        </w:rPr>
        <w:t>11.</w:t>
      </w:r>
      <w:r>
        <w:t xml:space="preserve"> </w:t>
      </w:r>
      <w:r>
        <w:rPr>
          <w:rFonts w:hint="eastAsia"/>
        </w:rPr>
        <w:t xml:space="preserve"> </w:t>
      </w:r>
      <w:r>
        <w:rPr>
          <w:rFonts w:hint="eastAsia"/>
        </w:rPr>
        <w:t>委员会注意到</w:t>
      </w:r>
      <w:r>
        <w:rPr>
          <w:rFonts w:hint="eastAsia"/>
        </w:rPr>
        <w:t>2013</w:t>
      </w:r>
      <w:r>
        <w:rPr>
          <w:rFonts w:hint="eastAsia"/>
        </w:rPr>
        <w:t>年《刑法》修正案</w:t>
      </w:r>
      <w:r>
        <w:t>推出</w:t>
      </w:r>
      <w:r>
        <w:rPr>
          <w:rFonts w:hint="eastAsia"/>
        </w:rPr>
        <w:t>了新的保护妇女不受家庭暴力的安全措施，但也关切不断有报告称缔约国存在基于性别的暴力、性骚扰和侵害妇女和儿童的暴力。委员会尤为关切有报告称缺少调查和起诉，对罪犯的处罚较轻。最后，委员会关切为家庭暴力受害者提供的庇护场所数量不够</w:t>
      </w:r>
      <w:r>
        <w:rPr>
          <w:rFonts w:hint="eastAsia"/>
        </w:rPr>
        <w:t>(</w:t>
      </w:r>
      <w:r>
        <w:rPr>
          <w:rFonts w:hint="eastAsia"/>
        </w:rPr>
        <w:t>第三条、第七条和第二十四条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缔约国应采取综合性办法</w:t>
      </w:r>
      <w:r>
        <w:rPr>
          <w:rFonts w:ascii="Time New Roman" w:eastAsia="SimHei" w:hAnsi="Time New Roman" w:hint="eastAsia"/>
        </w:rPr>
        <w:t>，</w:t>
      </w:r>
      <w:r w:rsidRPr="00191C2F">
        <w:rPr>
          <w:rFonts w:ascii="Time New Roman" w:eastAsia="SimHei" w:hAnsi="Time New Roman" w:hint="eastAsia"/>
        </w:rPr>
        <w:t>防止和处理一切形式和表现的性别暴力。在这方面</w:t>
      </w:r>
      <w:r>
        <w:rPr>
          <w:rFonts w:ascii="Time New Roman" w:eastAsia="SimHei" w:hAnsi="Time New Roman" w:hint="eastAsia"/>
        </w:rPr>
        <w:t>，</w:t>
      </w:r>
      <w:r w:rsidRPr="00191C2F">
        <w:rPr>
          <w:rFonts w:ascii="Time New Roman" w:eastAsia="SimHei" w:hAnsi="Time New Roman" w:hint="eastAsia"/>
        </w:rPr>
        <w:t>应该加强对警察、司法机关、检察机关、社区代表以及妇女和男子的培训</w:t>
      </w:r>
      <w:r>
        <w:rPr>
          <w:rFonts w:ascii="Time New Roman" w:eastAsia="SimHei" w:hAnsi="Time New Roman" w:hint="eastAsia"/>
        </w:rPr>
        <w:t>，</w:t>
      </w:r>
      <w:r w:rsidRPr="00191C2F">
        <w:rPr>
          <w:rFonts w:ascii="Time New Roman" w:eastAsia="SimHei" w:hAnsi="Time New Roman" w:hint="eastAsia"/>
        </w:rPr>
        <w:t>使他们认识到家庭暴力的严重危害和对受害者生活造成的有害影响。缔约国应确保对家庭暴力案件进行彻底调查</w:t>
      </w:r>
      <w:r>
        <w:rPr>
          <w:rFonts w:ascii="Time New Roman" w:eastAsia="SimHei" w:hAnsi="Time New Roman" w:hint="eastAsia"/>
        </w:rPr>
        <w:t>，</w:t>
      </w:r>
      <w:r w:rsidRPr="00191C2F">
        <w:rPr>
          <w:rFonts w:ascii="Time New Roman" w:eastAsia="SimHei" w:hAnsi="Time New Roman" w:hint="eastAsia"/>
        </w:rPr>
        <w:t>对施暴者进行起诉</w:t>
      </w:r>
      <w:r>
        <w:rPr>
          <w:rFonts w:ascii="Time New Roman" w:eastAsia="SimHei" w:hAnsi="Time New Roman" w:hint="eastAsia"/>
        </w:rPr>
        <w:t>，</w:t>
      </w:r>
      <w:r w:rsidRPr="00191C2F">
        <w:rPr>
          <w:rFonts w:ascii="Time New Roman" w:eastAsia="SimHei" w:hAnsi="Time New Roman" w:hint="eastAsia"/>
        </w:rPr>
        <w:t>如果被认定有罪</w:t>
      </w:r>
      <w:r>
        <w:rPr>
          <w:rFonts w:ascii="Time New Roman" w:eastAsia="SimHei" w:hAnsi="Time New Roman" w:hint="eastAsia"/>
        </w:rPr>
        <w:t>，</w:t>
      </w:r>
      <w:r w:rsidRPr="00191C2F">
        <w:rPr>
          <w:rFonts w:ascii="Time New Roman" w:eastAsia="SimHei" w:hAnsi="Time New Roman" w:hint="eastAsia"/>
        </w:rPr>
        <w:t>给予适当处罚</w:t>
      </w:r>
      <w:r>
        <w:rPr>
          <w:rFonts w:ascii="Time New Roman" w:eastAsia="SimHei" w:hAnsi="Time New Roman" w:hint="eastAsia"/>
        </w:rPr>
        <w:t>，</w:t>
      </w:r>
      <w:r w:rsidRPr="00191C2F">
        <w:rPr>
          <w:rFonts w:ascii="Time New Roman" w:eastAsia="SimHei" w:hAnsi="Time New Roman" w:hint="eastAsia"/>
        </w:rPr>
        <w:t>并向受害者提供适当赔偿。委员会也应确保提供适当资源</w:t>
      </w:r>
      <w:r>
        <w:rPr>
          <w:rFonts w:ascii="Time New Roman" w:eastAsia="SimHei" w:hAnsi="Time New Roman" w:hint="eastAsia"/>
        </w:rPr>
        <w:t>，</w:t>
      </w:r>
      <w:r w:rsidRPr="00191C2F">
        <w:rPr>
          <w:rFonts w:ascii="Time New Roman" w:eastAsia="SimHei" w:hAnsi="Time New Roman" w:hint="eastAsia"/>
        </w:rPr>
        <w:t>建造足够数量的庇护场所。</w:t>
      </w:r>
    </w:p>
    <w:p w:rsidR="00191C2F" w:rsidRDefault="00191C2F" w:rsidP="00191C2F">
      <w:pPr>
        <w:pStyle w:val="H23GC"/>
      </w:pPr>
      <w:r>
        <w:tab/>
      </w:r>
      <w:r>
        <w:tab/>
      </w:r>
      <w:r>
        <w:rPr>
          <w:rFonts w:hint="eastAsia"/>
        </w:rPr>
        <w:t>禁止</w:t>
      </w:r>
      <w:r w:rsidRPr="002B53BA">
        <w:rPr>
          <w:rFonts w:hint="eastAsia"/>
        </w:rPr>
        <w:t>酷刑和虐待</w:t>
      </w:r>
    </w:p>
    <w:p w:rsidR="00191C2F" w:rsidRDefault="00191C2F" w:rsidP="00191C2F">
      <w:pPr>
        <w:pStyle w:val="SingleTxtGC"/>
      </w:pPr>
      <w:r>
        <w:rPr>
          <w:rFonts w:hint="eastAsia"/>
        </w:rPr>
        <w:t>12.</w:t>
      </w:r>
      <w:r>
        <w:t xml:space="preserve"> </w:t>
      </w:r>
      <w:r>
        <w:rPr>
          <w:rFonts w:hint="eastAsia"/>
        </w:rPr>
        <w:t xml:space="preserve"> </w:t>
      </w:r>
      <w:r>
        <w:rPr>
          <w:rFonts w:hint="eastAsia"/>
        </w:rPr>
        <w:t>缔约国欢迎缔约国采取各种措施，打击和防止执法人员实施酷刑和虐待，但关切有报告称拘留中心发生大量虐待行为，而且对此类案件的起诉甚少</w:t>
      </w:r>
      <w:r>
        <w:rPr>
          <w:rFonts w:hint="eastAsia"/>
        </w:rPr>
        <w:t>(</w:t>
      </w:r>
      <w:r>
        <w:rPr>
          <w:rFonts w:hint="eastAsia"/>
        </w:rPr>
        <w:t>第七条和第十条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缔约国应建立并加强现有的处理虐待案件机制。在这方面</w:t>
      </w:r>
      <w:r>
        <w:rPr>
          <w:rFonts w:ascii="Time New Roman" w:eastAsia="SimHei" w:hAnsi="Time New Roman" w:hint="eastAsia"/>
        </w:rPr>
        <w:t>，</w:t>
      </w:r>
      <w:r w:rsidRPr="00191C2F">
        <w:rPr>
          <w:rFonts w:ascii="Time New Roman" w:eastAsia="SimHei" w:hAnsi="Time New Roman" w:hint="eastAsia"/>
        </w:rPr>
        <w:t>缔约国应确保对执法人员进行调查酷刑和虐待案件的培训</w:t>
      </w:r>
      <w:r>
        <w:rPr>
          <w:rFonts w:ascii="Time New Roman" w:eastAsia="SimHei" w:hAnsi="Time New Roman" w:hint="eastAsia"/>
        </w:rPr>
        <w:t>，</w:t>
      </w:r>
      <w:r w:rsidRPr="00191C2F">
        <w:rPr>
          <w:rFonts w:ascii="Time New Roman" w:eastAsia="SimHei" w:hAnsi="Time New Roman" w:hint="eastAsia"/>
        </w:rPr>
        <w:t>将《</w:t>
      </w:r>
      <w:r w:rsidRPr="00191C2F">
        <w:rPr>
          <w:rFonts w:ascii="Time New Roman" w:eastAsia="SimHei" w:hAnsi="Time New Roman"/>
        </w:rPr>
        <w:t>有效调查和记录酷刑和其他残忍、不人道或有辱人格待遇或处罚手册》</w:t>
      </w:r>
      <w:r>
        <w:rPr>
          <w:rFonts w:ascii="Time New Roman" w:eastAsia="SimHei" w:hAnsi="Time New Roman"/>
        </w:rPr>
        <w:t>(</w:t>
      </w:r>
      <w:r w:rsidRPr="00191C2F">
        <w:rPr>
          <w:rFonts w:ascii="Time New Roman" w:eastAsia="SimHei" w:hAnsi="Time New Roman"/>
        </w:rPr>
        <w:t>《伊斯坦布尔议定书》</w:t>
      </w:r>
      <w:r>
        <w:rPr>
          <w:rFonts w:ascii="Time New Roman" w:eastAsia="SimHei" w:hAnsi="Time New Roman" w:hint="eastAsia"/>
        </w:rPr>
        <w:t>)</w:t>
      </w:r>
      <w:r w:rsidRPr="00191C2F">
        <w:rPr>
          <w:rFonts w:ascii="Time New Roman" w:eastAsia="SimHei" w:hAnsi="Time New Roman"/>
        </w:rPr>
        <w:t>纳入执法人员的所</w:t>
      </w:r>
      <w:r w:rsidRPr="00191C2F">
        <w:rPr>
          <w:rFonts w:ascii="Time New Roman" w:eastAsia="SimHei" w:hAnsi="Time New Roman" w:hint="eastAsia"/>
        </w:rPr>
        <w:t>有培训课程。缔约国应确保对虐待指控进行有效调查</w:t>
      </w:r>
      <w:r>
        <w:rPr>
          <w:rFonts w:ascii="Time New Roman" w:eastAsia="SimHei" w:hAnsi="Time New Roman" w:hint="eastAsia"/>
        </w:rPr>
        <w:t>，</w:t>
      </w:r>
      <w:r w:rsidRPr="00191C2F">
        <w:rPr>
          <w:rFonts w:ascii="Time New Roman" w:eastAsia="SimHei" w:hAnsi="Time New Roman" w:hint="eastAsia"/>
        </w:rPr>
        <w:t>对涉嫌犯罪者进行起诉</w:t>
      </w:r>
      <w:r>
        <w:rPr>
          <w:rFonts w:ascii="Time New Roman" w:eastAsia="SimHei" w:hAnsi="Time New Roman" w:hint="eastAsia"/>
        </w:rPr>
        <w:t>，</w:t>
      </w:r>
      <w:r w:rsidRPr="00191C2F">
        <w:rPr>
          <w:rFonts w:ascii="Time New Roman" w:eastAsia="SimHei" w:hAnsi="Time New Roman" w:hint="eastAsia"/>
        </w:rPr>
        <w:t>如果被认定有罪</w:t>
      </w:r>
      <w:r>
        <w:rPr>
          <w:rFonts w:ascii="Time New Roman" w:eastAsia="SimHei" w:hAnsi="Time New Roman" w:hint="eastAsia"/>
        </w:rPr>
        <w:t>，</w:t>
      </w:r>
      <w:r w:rsidRPr="00191C2F">
        <w:rPr>
          <w:rFonts w:ascii="Time New Roman" w:eastAsia="SimHei" w:hAnsi="Time New Roman" w:hint="eastAsia"/>
        </w:rPr>
        <w:t>按犯罪严重程度予以相应处罚</w:t>
      </w:r>
      <w:r>
        <w:rPr>
          <w:rFonts w:ascii="Time New Roman" w:eastAsia="SimHei" w:hAnsi="Time New Roman" w:hint="eastAsia"/>
        </w:rPr>
        <w:t>，</w:t>
      </w:r>
      <w:r w:rsidRPr="00191C2F">
        <w:rPr>
          <w:rFonts w:ascii="Time New Roman" w:eastAsia="SimHei" w:hAnsi="Time New Roman" w:hint="eastAsia"/>
        </w:rPr>
        <w:t>并确保给予受害者充分赔偿。</w:t>
      </w:r>
    </w:p>
    <w:p w:rsidR="00191C2F" w:rsidRDefault="00191C2F" w:rsidP="00191C2F">
      <w:pPr>
        <w:pStyle w:val="H23GC"/>
      </w:pPr>
      <w:r>
        <w:tab/>
      </w:r>
      <w:r>
        <w:tab/>
      </w:r>
      <w:r w:rsidRPr="002B53BA">
        <w:rPr>
          <w:rFonts w:hint="eastAsia"/>
        </w:rPr>
        <w:t>体罚</w:t>
      </w:r>
    </w:p>
    <w:p w:rsidR="00191C2F" w:rsidRDefault="00191C2F" w:rsidP="00191C2F">
      <w:pPr>
        <w:pStyle w:val="SingleTxtGC"/>
      </w:pPr>
      <w:r>
        <w:rPr>
          <w:rFonts w:hint="eastAsia"/>
        </w:rPr>
        <w:t>13.</w:t>
      </w:r>
      <w:r>
        <w:t xml:space="preserve"> </w:t>
      </w:r>
      <w:r>
        <w:rPr>
          <w:rFonts w:hint="eastAsia"/>
        </w:rPr>
        <w:t xml:space="preserve"> </w:t>
      </w:r>
      <w:r>
        <w:rPr>
          <w:rFonts w:hint="eastAsia"/>
        </w:rPr>
        <w:t>委员会注意到法律禁止学校和其他机构环境对儿童施加暴力和体罚，但也关切体罚仍是令人关切问题，尤其是在家庭，家长和监护人历来视其为一种惩戒措施，继续接受和实行</w:t>
      </w:r>
      <w:r>
        <w:rPr>
          <w:rFonts w:hint="eastAsia"/>
        </w:rPr>
        <w:t>(</w:t>
      </w:r>
      <w:r>
        <w:rPr>
          <w:rFonts w:hint="eastAsia"/>
        </w:rPr>
        <w:t>第七条和第二十四条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缔约国应采取实际步骤</w:t>
      </w:r>
      <w:r>
        <w:rPr>
          <w:rFonts w:ascii="Time New Roman" w:eastAsia="SimHei" w:hAnsi="Time New Roman" w:hint="eastAsia"/>
        </w:rPr>
        <w:t>，</w:t>
      </w:r>
      <w:r w:rsidRPr="00191C2F">
        <w:rPr>
          <w:rFonts w:ascii="Time New Roman" w:eastAsia="SimHei" w:hAnsi="Time New Roman" w:hint="eastAsia"/>
        </w:rPr>
        <w:t>包括视情况采取立法措施</w:t>
      </w:r>
      <w:r>
        <w:rPr>
          <w:rFonts w:ascii="Time New Roman" w:eastAsia="SimHei" w:hAnsi="Time New Roman" w:hint="eastAsia"/>
        </w:rPr>
        <w:t>，</w:t>
      </w:r>
      <w:r w:rsidRPr="00191C2F">
        <w:rPr>
          <w:rFonts w:ascii="Time New Roman" w:eastAsia="SimHei" w:hAnsi="Time New Roman" w:hint="eastAsia"/>
        </w:rPr>
        <w:t>杜绝所有环境下的体罚。应鼓励以非暴力形式的纪律替代体罚</w:t>
      </w:r>
      <w:r>
        <w:rPr>
          <w:rFonts w:ascii="Time New Roman" w:eastAsia="SimHei" w:hAnsi="Time New Roman" w:hint="eastAsia"/>
        </w:rPr>
        <w:t>，</w:t>
      </w:r>
      <w:r w:rsidRPr="00191C2F">
        <w:rPr>
          <w:rFonts w:ascii="Time New Roman" w:eastAsia="SimHei" w:hAnsi="Time New Roman" w:hint="eastAsia"/>
        </w:rPr>
        <w:t>并进行公开宣传活动</w:t>
      </w:r>
      <w:r>
        <w:rPr>
          <w:rFonts w:ascii="Time New Roman" w:eastAsia="SimHei" w:hAnsi="Time New Roman" w:hint="eastAsia"/>
        </w:rPr>
        <w:t>，</w:t>
      </w:r>
      <w:r w:rsidRPr="00191C2F">
        <w:rPr>
          <w:rFonts w:ascii="Time New Roman" w:eastAsia="SimHei" w:hAnsi="Time New Roman" w:hint="eastAsia"/>
        </w:rPr>
        <w:t>提高人们对体罚有害影响的意识。</w:t>
      </w:r>
    </w:p>
    <w:p w:rsidR="00191C2F" w:rsidRDefault="00191C2F" w:rsidP="00191C2F">
      <w:pPr>
        <w:pStyle w:val="H23GC"/>
      </w:pPr>
      <w:r>
        <w:tab/>
      </w:r>
      <w:r>
        <w:tab/>
      </w:r>
      <w:r w:rsidRPr="002B53BA">
        <w:rPr>
          <w:rFonts w:hint="eastAsia"/>
        </w:rPr>
        <w:t>贩</w:t>
      </w:r>
      <w:r>
        <w:rPr>
          <w:rFonts w:hint="eastAsia"/>
        </w:rPr>
        <w:t>运</w:t>
      </w:r>
      <w:r w:rsidRPr="002B53BA">
        <w:rPr>
          <w:rFonts w:hint="eastAsia"/>
        </w:rPr>
        <w:t>人口</w:t>
      </w:r>
    </w:p>
    <w:p w:rsidR="00191C2F" w:rsidRDefault="00191C2F" w:rsidP="00191C2F">
      <w:pPr>
        <w:pStyle w:val="SingleTxtGC"/>
      </w:pPr>
      <w:r>
        <w:rPr>
          <w:rFonts w:hint="eastAsia"/>
        </w:rPr>
        <w:t xml:space="preserve">14. </w:t>
      </w:r>
      <w:r>
        <w:t xml:space="preserve"> </w:t>
      </w:r>
      <w:r>
        <w:rPr>
          <w:rFonts w:hint="eastAsia"/>
        </w:rPr>
        <w:t>委员会注意到缔约国在打击贩运人口方面取得的进展，但也关切贩运人口活动仍然猖獗，尤其是贩运罗姆、阿什卡利和埃及女童和妇女的活动盛行。委员会还关切对这类案件鲜有起诉，对人贩的处罚过轻</w:t>
      </w:r>
      <w:r>
        <w:rPr>
          <w:rFonts w:hint="eastAsia"/>
        </w:rPr>
        <w:t>(</w:t>
      </w:r>
      <w:r>
        <w:rPr>
          <w:rFonts w:hint="eastAsia"/>
        </w:rPr>
        <w:t>第八条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缔约国应大力执行打击贩运人口的公共政策</w:t>
      </w:r>
      <w:r>
        <w:rPr>
          <w:rFonts w:ascii="Time New Roman" w:eastAsia="SimHei" w:hAnsi="Time New Roman" w:hint="eastAsia"/>
        </w:rPr>
        <w:t>，</w:t>
      </w:r>
      <w:r w:rsidRPr="00191C2F">
        <w:rPr>
          <w:rFonts w:ascii="Time New Roman" w:eastAsia="SimHei" w:hAnsi="Time New Roman" w:hint="eastAsia"/>
        </w:rPr>
        <w:t>尤其是采取措施打击贩运罗姆、阿什卡利和埃及女童和妇女活动。缔约国应继续努力提高人们的意识</w:t>
      </w:r>
      <w:r>
        <w:rPr>
          <w:rFonts w:ascii="Time New Roman" w:eastAsia="SimHei" w:hAnsi="Time New Roman" w:hint="eastAsia"/>
        </w:rPr>
        <w:t>，</w:t>
      </w:r>
      <w:r w:rsidRPr="00191C2F">
        <w:rPr>
          <w:rFonts w:ascii="Time New Roman" w:eastAsia="SimHei" w:hAnsi="Time New Roman" w:hint="eastAsia"/>
        </w:rPr>
        <w:t>打击贩运人口活动</w:t>
      </w:r>
      <w:r>
        <w:rPr>
          <w:rFonts w:ascii="Time New Roman" w:eastAsia="SimHei" w:hAnsi="Time New Roman" w:hint="eastAsia"/>
        </w:rPr>
        <w:t>，</w:t>
      </w:r>
      <w:r w:rsidRPr="00191C2F">
        <w:rPr>
          <w:rFonts w:ascii="Time New Roman" w:eastAsia="SimHei" w:hAnsi="Time New Roman" w:hint="eastAsia"/>
        </w:rPr>
        <w:t>包括在区域层面和与周边国家合作开展此类活动。缔约国还应该对警察、边防人员、法官、律师和其他有关人员进行培训</w:t>
      </w:r>
      <w:r>
        <w:rPr>
          <w:rFonts w:ascii="Time New Roman" w:eastAsia="SimHei" w:hAnsi="Time New Roman" w:hint="eastAsia"/>
        </w:rPr>
        <w:t>，</w:t>
      </w:r>
      <w:r w:rsidRPr="00191C2F">
        <w:rPr>
          <w:rFonts w:ascii="Time New Roman" w:eastAsia="SimHei" w:hAnsi="Time New Roman" w:hint="eastAsia"/>
        </w:rPr>
        <w:t>提高他们对贩运人口现象和受害者权利的认识。缔约国也应该确保对所有涉嫌参与贩运人口活动的个人进行起诉</w:t>
      </w:r>
      <w:r>
        <w:rPr>
          <w:rFonts w:ascii="Time New Roman" w:eastAsia="SimHei" w:hAnsi="Time New Roman" w:hint="eastAsia"/>
        </w:rPr>
        <w:t>，</w:t>
      </w:r>
      <w:r w:rsidRPr="00191C2F">
        <w:rPr>
          <w:rFonts w:ascii="Time New Roman" w:eastAsia="SimHei" w:hAnsi="Time New Roman" w:hint="eastAsia"/>
        </w:rPr>
        <w:t>并按所犯罪行的严重程度给予处罚</w:t>
      </w:r>
      <w:r>
        <w:rPr>
          <w:rFonts w:ascii="Time New Roman" w:eastAsia="SimHei" w:hAnsi="Time New Roman" w:hint="eastAsia"/>
        </w:rPr>
        <w:t>，</w:t>
      </w:r>
      <w:r w:rsidRPr="00191C2F">
        <w:rPr>
          <w:rFonts w:ascii="Time New Roman" w:eastAsia="SimHei" w:hAnsi="Time New Roman" w:hint="eastAsia"/>
        </w:rPr>
        <w:t>协助受害者康复。</w:t>
      </w:r>
    </w:p>
    <w:p w:rsidR="00191C2F" w:rsidRDefault="00191C2F" w:rsidP="00191C2F">
      <w:pPr>
        <w:pStyle w:val="H23GC"/>
      </w:pPr>
      <w:r>
        <w:tab/>
      </w:r>
      <w:r>
        <w:tab/>
      </w:r>
      <w:r w:rsidRPr="002B53BA">
        <w:rPr>
          <w:rFonts w:hint="eastAsia"/>
        </w:rPr>
        <w:t>司法</w:t>
      </w:r>
    </w:p>
    <w:p w:rsidR="00191C2F" w:rsidRDefault="00191C2F" w:rsidP="00191C2F">
      <w:pPr>
        <w:pStyle w:val="SingleTxtGC"/>
      </w:pPr>
      <w:r>
        <w:rPr>
          <w:rFonts w:hint="eastAsia"/>
        </w:rPr>
        <w:t>15.</w:t>
      </w:r>
      <w:r>
        <w:t xml:space="preserve"> </w:t>
      </w:r>
      <w:r>
        <w:rPr>
          <w:rFonts w:hint="eastAsia"/>
        </w:rPr>
        <w:t xml:space="preserve"> </w:t>
      </w:r>
      <w:r>
        <w:rPr>
          <w:rFonts w:hint="eastAsia"/>
        </w:rPr>
        <w:t>委员会欢迎缔约国努力加强司法独立，但也对政治干预司法的指控表示关切。委员会尤其关切法官的任免程序，特别是轻罪法庭法官的任免程序；也关切对司法机关拨款的程序</w:t>
      </w:r>
      <w:r>
        <w:rPr>
          <w:rStyle w:val="hps"/>
          <w:rFonts w:hint="eastAsia"/>
        </w:rPr>
        <w:t>(</w:t>
      </w:r>
      <w:r>
        <w:rPr>
          <w:rFonts w:hint="eastAsia"/>
        </w:rPr>
        <w:t>第十四条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缔约国应采取措施，加强司法独立，确保法官任免按照能力和独立性的客观标准进行。缔约国也应确保预算分配程序不干预司法机构的独立性。</w:t>
      </w:r>
    </w:p>
    <w:p w:rsidR="00191C2F" w:rsidRDefault="00191C2F" w:rsidP="00191C2F">
      <w:pPr>
        <w:pStyle w:val="H23GC"/>
      </w:pPr>
      <w:r>
        <w:tab/>
      </w:r>
      <w:r>
        <w:tab/>
      </w:r>
      <w:r w:rsidRPr="002B53BA">
        <w:rPr>
          <w:rFonts w:hint="eastAsia"/>
        </w:rPr>
        <w:t>免费法律援助</w:t>
      </w:r>
    </w:p>
    <w:p w:rsidR="00191C2F" w:rsidRDefault="00191C2F" w:rsidP="00191C2F">
      <w:pPr>
        <w:pStyle w:val="SingleTxtGC"/>
      </w:pPr>
      <w:r>
        <w:rPr>
          <w:rFonts w:hint="eastAsia"/>
        </w:rPr>
        <w:t>16.</w:t>
      </w:r>
      <w:r>
        <w:t xml:space="preserve"> </w:t>
      </w:r>
      <w:r>
        <w:rPr>
          <w:rFonts w:hint="eastAsia"/>
        </w:rPr>
        <w:t xml:space="preserve"> </w:t>
      </w:r>
      <w:r>
        <w:rPr>
          <w:rFonts w:hint="eastAsia"/>
        </w:rPr>
        <w:t>委员会注意到缔约国通过了</w:t>
      </w:r>
      <w:r>
        <w:t>《</w:t>
      </w:r>
      <w:r>
        <w:rPr>
          <w:rFonts w:hint="eastAsia"/>
        </w:rPr>
        <w:t>免费法律援助法</w:t>
      </w:r>
      <w:r>
        <w:t>》和</w:t>
      </w:r>
      <w:r>
        <w:rPr>
          <w:rFonts w:hint="eastAsia"/>
        </w:rPr>
        <w:t>正在进行改革，但对所提供的法律援助质量和最弱势群体获得</w:t>
      </w:r>
      <w:r>
        <w:t>法律援助问题表示关切</w:t>
      </w:r>
      <w:r>
        <w:rPr>
          <w:rFonts w:hint="eastAsia"/>
        </w:rPr>
        <w:t>(</w:t>
      </w:r>
      <w:r>
        <w:rPr>
          <w:rFonts w:hint="eastAsia"/>
        </w:rPr>
        <w:t>第十</w:t>
      </w:r>
      <w:r>
        <w:t>四</w:t>
      </w:r>
      <w:r>
        <w:rPr>
          <w:rFonts w:hint="eastAsia"/>
        </w:rPr>
        <w:t>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缔约国应审查其免费法律援助制度，规定</w:t>
      </w:r>
      <w:r w:rsidRPr="00191C2F">
        <w:rPr>
          <w:rFonts w:ascii="Time New Roman" w:eastAsia="SimHei" w:hAnsi="Time New Roman"/>
        </w:rPr>
        <w:t>在</w:t>
      </w:r>
      <w:r w:rsidRPr="00191C2F">
        <w:rPr>
          <w:rFonts w:ascii="Time New Roman" w:eastAsia="SimHei" w:hAnsi="Time New Roman" w:hint="eastAsia"/>
        </w:rPr>
        <w:t>司法利益需要情况下对</w:t>
      </w:r>
      <w:r w:rsidRPr="00191C2F">
        <w:rPr>
          <w:rFonts w:ascii="Time New Roman" w:eastAsia="SimHei" w:hAnsi="Time New Roman"/>
        </w:rPr>
        <w:t>所有案件提供</w:t>
      </w:r>
      <w:r w:rsidRPr="00191C2F">
        <w:rPr>
          <w:rFonts w:ascii="Time New Roman" w:eastAsia="SimHei" w:hAnsi="Time New Roman" w:hint="eastAsia"/>
        </w:rPr>
        <w:t>免费法律援助。还应该向免费法律援助机构提供足够资源，使它们能够充分发挥作用，并建立有关机制监督所提供的法律援助质量。</w:t>
      </w:r>
    </w:p>
    <w:p w:rsidR="00191C2F" w:rsidRDefault="00191C2F" w:rsidP="00191C2F">
      <w:pPr>
        <w:pStyle w:val="H23GC"/>
      </w:pPr>
      <w:r>
        <w:tab/>
      </w:r>
      <w:r>
        <w:tab/>
      </w:r>
      <w:r w:rsidRPr="002B53BA">
        <w:rPr>
          <w:rFonts w:hint="eastAsia"/>
        </w:rPr>
        <w:t>少数民族</w:t>
      </w:r>
      <w:r>
        <w:rPr>
          <w:rFonts w:hint="eastAsia"/>
        </w:rPr>
        <w:t>权利</w:t>
      </w:r>
      <w:r>
        <w:t>、</w:t>
      </w:r>
      <w:r w:rsidRPr="002B53BA">
        <w:rPr>
          <w:rFonts w:hint="eastAsia"/>
        </w:rPr>
        <w:t>出生登记</w:t>
      </w:r>
      <w:r>
        <w:rPr>
          <w:rFonts w:hint="eastAsia"/>
        </w:rPr>
        <w:t>、</w:t>
      </w:r>
      <w:r w:rsidRPr="002B53BA">
        <w:rPr>
          <w:rFonts w:hint="eastAsia"/>
        </w:rPr>
        <w:t>难民和境内流离失所者</w:t>
      </w:r>
      <w:r>
        <w:rPr>
          <w:rFonts w:hint="eastAsia"/>
        </w:rPr>
        <w:t>以</w:t>
      </w:r>
      <w:r>
        <w:t>及</w:t>
      </w:r>
      <w:r w:rsidRPr="002B53BA">
        <w:rPr>
          <w:rFonts w:hint="eastAsia"/>
        </w:rPr>
        <w:t>早婚</w:t>
      </w:r>
    </w:p>
    <w:p w:rsidR="00191C2F" w:rsidRDefault="00191C2F" w:rsidP="00191C2F">
      <w:pPr>
        <w:pStyle w:val="SingleTxtGC"/>
      </w:pPr>
      <w:r>
        <w:rPr>
          <w:rFonts w:hint="eastAsia"/>
        </w:rPr>
        <w:t>17.</w:t>
      </w:r>
      <w:r>
        <w:t xml:space="preserve"> </w:t>
      </w:r>
      <w:r>
        <w:rPr>
          <w:rFonts w:hint="eastAsia"/>
        </w:rPr>
        <w:t xml:space="preserve"> </w:t>
      </w:r>
      <w:r>
        <w:rPr>
          <w:rFonts w:hint="eastAsia"/>
        </w:rPr>
        <w:t>委员会欢迎缔约国努力解决出生登记问题，但关切经常不向罗姆、阿什卡利和埃及儿童发放</w:t>
      </w:r>
      <w:r>
        <w:t>出生证</w:t>
      </w:r>
      <w:r>
        <w:rPr>
          <w:rFonts w:hint="eastAsia"/>
        </w:rPr>
        <w:t>。委员会注意到对《无争讼程序法</w:t>
      </w:r>
      <w:r>
        <w:t>》进行</w:t>
      </w:r>
      <w:r>
        <w:rPr>
          <w:rFonts w:hint="eastAsia"/>
        </w:rPr>
        <w:t>修订</w:t>
      </w:r>
      <w:r>
        <w:t>的法律草案</w:t>
      </w:r>
      <w:r>
        <w:rPr>
          <w:rFonts w:hint="eastAsia"/>
        </w:rPr>
        <w:t>，但感到遗憾的是缔约国缺少识别无出生登记和</w:t>
      </w:r>
      <w:r>
        <w:rPr>
          <w:rFonts w:hint="eastAsia"/>
        </w:rPr>
        <w:t>/</w:t>
      </w:r>
      <w:r>
        <w:rPr>
          <w:rFonts w:hint="eastAsia"/>
        </w:rPr>
        <w:t>或身份证儿童并为他们补发有关证件的全面战略</w:t>
      </w:r>
      <w:r>
        <w:rPr>
          <w:rFonts w:hint="eastAsia"/>
        </w:rPr>
        <w:t>(</w:t>
      </w:r>
      <w:r>
        <w:rPr>
          <w:rFonts w:hint="eastAsia"/>
        </w:rPr>
        <w:t>第十</w:t>
      </w:r>
      <w:r>
        <w:t>六</w:t>
      </w:r>
      <w:r>
        <w:rPr>
          <w:rFonts w:hint="eastAsia"/>
        </w:rPr>
        <w:t>条和第二</w:t>
      </w:r>
      <w:r>
        <w:t>十四条</w:t>
      </w:r>
      <w:r>
        <w:rPr>
          <w:rStyle w:val="hps"/>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缔约国应加强努力，改进出生登记和发</w:t>
      </w:r>
      <w:r w:rsidRPr="00191C2F">
        <w:rPr>
          <w:rFonts w:ascii="Time New Roman" w:eastAsia="SimHei" w:hAnsi="Time New Roman"/>
        </w:rPr>
        <w:t>放</w:t>
      </w:r>
      <w:r w:rsidRPr="00191C2F">
        <w:rPr>
          <w:rFonts w:ascii="Time New Roman" w:eastAsia="SimHei" w:hAnsi="Time New Roman" w:hint="eastAsia"/>
        </w:rPr>
        <w:t>出生证工作，尤其是改进对罗姆、阿什卡利和埃及儿童的出生登记和发放出生证工作。为此，应采取适当的干预措施，如提高意识，改变观念，认识到进行出生登记或获得出生证明的必要性。缔约国还应尽快采取措施，识别没有出生登记和</w:t>
      </w:r>
      <w:r w:rsidRPr="00191C2F">
        <w:rPr>
          <w:rFonts w:ascii="Time New Roman" w:eastAsia="SimHei" w:hAnsi="Time New Roman" w:hint="eastAsia"/>
        </w:rPr>
        <w:t>/</w:t>
      </w:r>
      <w:r w:rsidRPr="00191C2F">
        <w:rPr>
          <w:rFonts w:ascii="Time New Roman" w:eastAsia="SimHei" w:hAnsi="Time New Roman" w:hint="eastAsia"/>
        </w:rPr>
        <w:t>或身份证明的儿童，并为这些儿童进行出生登记和补发出生证明。</w:t>
      </w:r>
    </w:p>
    <w:p w:rsidR="00191C2F" w:rsidRDefault="00191C2F" w:rsidP="00191C2F">
      <w:pPr>
        <w:pStyle w:val="SingleTxtGC"/>
      </w:pPr>
      <w:r>
        <w:rPr>
          <w:rFonts w:hint="eastAsia"/>
        </w:rPr>
        <w:t>18.</w:t>
      </w:r>
      <w:r>
        <w:t xml:space="preserve"> </w:t>
      </w:r>
      <w:r>
        <w:rPr>
          <w:rFonts w:hint="eastAsia"/>
        </w:rPr>
        <w:t xml:space="preserve"> </w:t>
      </w:r>
      <w:r>
        <w:rPr>
          <w:rFonts w:hint="eastAsia"/>
        </w:rPr>
        <w:t>委员会关切缔约国没有在流离失所者和难民，特别是罗姆人、阿什卡利人和埃及人获得官方证件方面提供足够支持，使他们能够按照经修订的《外国人法》申请永久居留身份。委员会还关切罗姆人、阿什卡利人和埃及人难民营缺少基础设施和基本服务。委员会尤其关切的是，尽管</w:t>
      </w:r>
      <w:r>
        <w:rPr>
          <w:rFonts w:hint="eastAsia"/>
        </w:rPr>
        <w:t>2012</w:t>
      </w:r>
      <w:r>
        <w:rPr>
          <w:rFonts w:hint="eastAsia"/>
        </w:rPr>
        <w:t>年通过了向罗姆人、阿什卡利人和埃及人提供住房的战略，但为</w:t>
      </w:r>
      <w:r>
        <w:rPr>
          <w:rFonts w:hint="eastAsia"/>
        </w:rPr>
        <w:t>Konik</w:t>
      </w:r>
      <w:r>
        <w:rPr>
          <w:rFonts w:hint="eastAsia"/>
        </w:rPr>
        <w:t>难民营居民建造住房的工程迟迟没有开工</w:t>
      </w:r>
      <w:r>
        <w:rPr>
          <w:rFonts w:hint="eastAsia"/>
        </w:rPr>
        <w:t>(</w:t>
      </w:r>
      <w:r>
        <w:rPr>
          <w:rFonts w:hint="eastAsia"/>
        </w:rPr>
        <w:t>第二条、第十二条和第二十六条</w:t>
      </w:r>
      <w:r>
        <w:rPr>
          <w:rStyle w:val="hps"/>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继续努力，方便流离失所者和难民利用获得永久居留身份的程序，并确保这些群体能够平等享有缔约国的社会和经济机会。缔约国还应该与生活在难民营的罗姆人、阿什卡利人和埃及人协商，采取和实施可持续发展战略，改善他们的生活条件和基本服务。委员会提醒缔约国，任何搬迁活动都必须非歧视进行，必须符合国际人权标准，包括有关个人对有效补救措施享有充分知情和征询意见权，并提供适当的替代住房。</w:t>
      </w:r>
    </w:p>
    <w:p w:rsidR="00191C2F" w:rsidRDefault="00191C2F" w:rsidP="00191C2F">
      <w:pPr>
        <w:pStyle w:val="SingleTxtGC"/>
      </w:pPr>
      <w:r>
        <w:rPr>
          <w:rFonts w:hint="eastAsia"/>
        </w:rPr>
        <w:t>19.</w:t>
      </w:r>
      <w:r>
        <w:t xml:space="preserve"> </w:t>
      </w:r>
      <w:r>
        <w:rPr>
          <w:rFonts w:hint="eastAsia"/>
        </w:rPr>
        <w:t xml:space="preserve"> </w:t>
      </w:r>
      <w:r>
        <w:rPr>
          <w:rFonts w:hint="eastAsia"/>
        </w:rPr>
        <w:t>委员会欢迎缔约国努力解决对罗姆人、阿什卡利人和埃及人的事实上歧视，但也关切这些族群在获得住房、就业、教育、社会服务和参与政治生活等方面仍然遭受歧视。委员会还关切缔约国继续存在童工，特别是在罗姆、阿什卡利和埃及族群中存在童工，他们往往从事有害和遭受剥削的劳动，特别是乞讨</w:t>
      </w:r>
      <w:r>
        <w:rPr>
          <w:rFonts w:hint="eastAsia"/>
        </w:rPr>
        <w:t>(</w:t>
      </w:r>
      <w:r>
        <w:rPr>
          <w:rFonts w:hint="eastAsia"/>
        </w:rPr>
        <w:t>第二条、第八条、第二十四条、第二十五条、第二十六条和第二十七条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立即采取措施，与人权和自由保护机构、公民社会组织，以及罗姆人、阿什卡利人和埃及人社区协商，改善他们获得住房、医疗、就业以及参与公共事务的权利。缔约国应加倍努力，消除童工，并确保对违法行为进行有效调查，对责任者进行起诉和处罚。缔约国还应该采取可持续发展战略，向有可能受到此类做法侵害的家庭提供支持，加强提高意识活动。</w:t>
      </w:r>
    </w:p>
    <w:p w:rsidR="00191C2F" w:rsidRDefault="00191C2F" w:rsidP="00191C2F">
      <w:pPr>
        <w:pStyle w:val="SingleTxtGC"/>
      </w:pPr>
      <w:r>
        <w:rPr>
          <w:rFonts w:hint="eastAsia"/>
        </w:rPr>
        <w:t>20.</w:t>
      </w:r>
      <w:r>
        <w:t xml:space="preserve"> </w:t>
      </w:r>
      <w:r>
        <w:rPr>
          <w:rFonts w:hint="eastAsia"/>
        </w:rPr>
        <w:t xml:space="preserve"> </w:t>
      </w:r>
      <w:r>
        <w:rPr>
          <w:rFonts w:hint="eastAsia"/>
        </w:rPr>
        <w:t>委员会关切有报告称缔约国继续存在早婚现象，特别是在罗姆人、阿什卡利人和埃及人社区</w:t>
      </w:r>
      <w:r>
        <w:rPr>
          <w:rFonts w:hint="eastAsia"/>
        </w:rPr>
        <w:t>(</w:t>
      </w:r>
      <w:r>
        <w:rPr>
          <w:rFonts w:hint="eastAsia"/>
        </w:rPr>
        <w:t>第二条、第三条、第二十四条和第二十六条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缔约国应采取进一步措施，杜绝早婚，实施提高社区意识战略，着重讲述早婚的危害，特别是在罗姆人、阿什卡利人和埃及人社区开展这类活动。缔约国还应收集早婚数据，在下一次定期报告中提供给委员会。</w:t>
      </w:r>
    </w:p>
    <w:p w:rsidR="00191C2F" w:rsidRDefault="00191C2F" w:rsidP="00191C2F">
      <w:pPr>
        <w:pStyle w:val="H23GC"/>
      </w:pPr>
      <w:r>
        <w:tab/>
      </w:r>
      <w:r>
        <w:tab/>
      </w:r>
      <w:r w:rsidRPr="00D47D6A">
        <w:t>见解</w:t>
      </w:r>
      <w:r w:rsidRPr="00D47D6A">
        <w:rPr>
          <w:rFonts w:hint="eastAsia"/>
        </w:rPr>
        <w:t>和</w:t>
      </w:r>
      <w:r w:rsidRPr="00D47D6A">
        <w:t>言</w:t>
      </w:r>
      <w:r w:rsidRPr="00D47D6A">
        <w:rPr>
          <w:rFonts w:hint="eastAsia"/>
        </w:rPr>
        <w:t>论自由</w:t>
      </w:r>
    </w:p>
    <w:p w:rsidR="00191C2F" w:rsidRDefault="00191C2F" w:rsidP="00191C2F">
      <w:pPr>
        <w:pStyle w:val="SingleTxtGC"/>
      </w:pPr>
      <w:r>
        <w:rPr>
          <w:rFonts w:hint="eastAsia"/>
        </w:rPr>
        <w:t>21.</w:t>
      </w:r>
      <w:r>
        <w:t xml:space="preserve"> </w:t>
      </w:r>
      <w:r>
        <w:rPr>
          <w:rFonts w:hint="eastAsia"/>
        </w:rPr>
        <w:t xml:space="preserve"> </w:t>
      </w:r>
      <w:r>
        <w:rPr>
          <w:rFonts w:hint="eastAsia"/>
        </w:rPr>
        <w:t>委员会关切多次收到恐吓和暴力侵害新闻工作者的举报，尤其是针对调查有组织犯罪或有组织犯罪与当局之间联系的新闻工作者的恐吓和暴力事件。委员会还关切对多起袭击新闻工作者事件没有进行调查和起诉。委员会还表示关切的是，尽管国家打算对缔约国主要报刊之一《</w:t>
      </w:r>
      <w:r>
        <w:rPr>
          <w:rFonts w:hint="eastAsia"/>
        </w:rPr>
        <w:t>Pobjeda</w:t>
      </w:r>
      <w:r>
        <w:rPr>
          <w:rFonts w:hint="eastAsia"/>
        </w:rPr>
        <w:t>》实行私有化，但政府仍然拥有和资助这家报纸，并经常利用《</w:t>
      </w:r>
      <w:r>
        <w:rPr>
          <w:rFonts w:hint="eastAsia"/>
        </w:rPr>
        <w:t>Pobjeba</w:t>
      </w:r>
      <w:r>
        <w:rPr>
          <w:rFonts w:hint="eastAsia"/>
        </w:rPr>
        <w:t>》的社评批评其他新闻工作者</w:t>
      </w:r>
      <w:r>
        <w:rPr>
          <w:rFonts w:hint="eastAsia"/>
        </w:rPr>
        <w:t>(</w:t>
      </w:r>
      <w:r>
        <w:rPr>
          <w:rFonts w:hint="eastAsia"/>
        </w:rPr>
        <w:t>第六条、第七条和第十九条</w:t>
      </w:r>
      <w:r>
        <w:rPr>
          <w:rFonts w:hint="eastAsia"/>
        </w:rPr>
        <w:t>)</w:t>
      </w:r>
      <w:r>
        <w:rPr>
          <w:rFonts w:hint="eastAsia"/>
        </w:rPr>
        <w:t>。</w:t>
      </w:r>
    </w:p>
    <w:p w:rsidR="00191C2F" w:rsidRPr="00191C2F" w:rsidRDefault="00191C2F" w:rsidP="00191C2F">
      <w:pPr>
        <w:pStyle w:val="SingleTxtGC"/>
        <w:rPr>
          <w:rFonts w:ascii="Time New Roman" w:eastAsia="SimHei" w:hAnsi="Time New Roman" w:hint="eastAsia"/>
        </w:rPr>
      </w:pPr>
      <w:r w:rsidRPr="00191C2F">
        <w:rPr>
          <w:rFonts w:ascii="Time New Roman" w:eastAsia="SimHei" w:hAnsi="Time New Roman" w:hint="eastAsia"/>
        </w:rPr>
        <w:t>回顾其关于言论和表达自由的第</w:t>
      </w:r>
      <w:r w:rsidRPr="00191C2F">
        <w:rPr>
          <w:rFonts w:ascii="Time New Roman" w:eastAsia="SimHei" w:hAnsi="Time New Roman" w:hint="eastAsia"/>
        </w:rPr>
        <w:t>34</w:t>
      </w:r>
      <w:r w:rsidRPr="00191C2F">
        <w:rPr>
          <w:rFonts w:ascii="Time New Roman" w:eastAsia="SimHei" w:hAnsi="Time New Roman" w:hint="eastAsia"/>
        </w:rPr>
        <w:t>号一般性意见</w:t>
      </w:r>
      <w:r w:rsidRPr="00191C2F">
        <w:rPr>
          <w:rFonts w:ascii="Time New Roman" w:eastAsia="SimHei" w:hAnsi="Time New Roman" w:hint="eastAsia"/>
        </w:rPr>
        <w:t>(2011</w:t>
      </w:r>
      <w:r w:rsidRPr="00191C2F">
        <w:rPr>
          <w:rFonts w:ascii="Time New Roman" w:eastAsia="SimHei" w:hAnsi="Time New Roman" w:hint="eastAsia"/>
        </w:rPr>
        <w:t>年</w:t>
      </w:r>
      <w:r w:rsidRPr="00191C2F">
        <w:rPr>
          <w:rFonts w:ascii="Time New Roman" w:eastAsia="SimHei" w:hAnsi="Time New Roman" w:hint="eastAsia"/>
        </w:rPr>
        <w:t>)</w:t>
      </w:r>
      <w:r w:rsidRPr="00191C2F">
        <w:rPr>
          <w:rFonts w:ascii="Time New Roman" w:eastAsia="SimHei" w:hAnsi="Time New Roman" w:hint="eastAsia"/>
        </w:rPr>
        <w:t>，委员会建议缔约国采取有效措施，充分保证一切形式的见解和言论自由权利。在这方面，根据一般性意见第</w:t>
      </w:r>
      <w:r w:rsidRPr="00191C2F">
        <w:rPr>
          <w:rFonts w:ascii="Time New Roman" w:eastAsia="SimHei" w:hAnsi="Time New Roman" w:hint="eastAsia"/>
        </w:rPr>
        <w:t>34</w:t>
      </w:r>
      <w:r w:rsidRPr="00191C2F">
        <w:rPr>
          <w:rFonts w:ascii="Time New Roman" w:eastAsia="SimHei" w:hAnsi="Time New Roman" w:hint="eastAsia"/>
        </w:rPr>
        <w:t>号，</w:t>
      </w:r>
      <w:r w:rsidRPr="00191C2F">
        <w:rPr>
          <w:rStyle w:val="atn"/>
          <w:rFonts w:ascii="Time New Roman" w:eastAsia="SimHei" w:hAnsi="Time New Roman" w:hint="eastAsia"/>
        </w:rPr>
        <w:t>“</w:t>
      </w:r>
      <w:r w:rsidRPr="00191C2F">
        <w:rPr>
          <w:rFonts w:ascii="Time New Roman" w:eastAsia="SimHei" w:hAnsi="Time New Roman" w:cs="SimSun"/>
        </w:rPr>
        <w:t>必须注意确保政府补贴媒体机构的制度以及刊登政府广告做法不会被用于妨碍言论自由</w:t>
      </w:r>
      <w:r w:rsidRPr="00191C2F">
        <w:rPr>
          <w:rStyle w:val="atn"/>
          <w:rFonts w:ascii="Time New Roman" w:eastAsia="SimHei" w:hAnsi="Time New Roman" w:hint="eastAsia"/>
        </w:rPr>
        <w:t>”</w:t>
      </w:r>
      <w:r w:rsidRPr="00191C2F">
        <w:rPr>
          <w:rFonts w:ascii="Time New Roman" w:eastAsia="SimHei" w:hAnsi="Time New Roman" w:hint="eastAsia"/>
        </w:rPr>
        <w:t>。缔约国应进一步保护新闻工作者和媒体不遭受任何形式的暴力和新闻审查。此外，缔约国应调查袭击新闻工作者和媒体事件，并对袭击者绳之以法。</w:t>
      </w:r>
    </w:p>
    <w:p w:rsidR="00191C2F" w:rsidRDefault="00191C2F" w:rsidP="00191C2F">
      <w:pPr>
        <w:pStyle w:val="H23GC"/>
      </w:pPr>
      <w:r>
        <w:tab/>
      </w:r>
      <w:r>
        <w:tab/>
      </w:r>
      <w:r>
        <w:rPr>
          <w:rFonts w:hint="eastAsia"/>
        </w:rPr>
        <w:t>对</w:t>
      </w:r>
      <w:r>
        <w:t>《</w:t>
      </w:r>
      <w:r w:rsidRPr="00457282">
        <w:rPr>
          <w:rFonts w:hint="eastAsia"/>
        </w:rPr>
        <w:t>公约</w:t>
      </w:r>
      <w:r>
        <w:rPr>
          <w:rFonts w:hint="eastAsia"/>
        </w:rPr>
        <w:t>》</w:t>
      </w:r>
      <w:r w:rsidRPr="00457282">
        <w:rPr>
          <w:rFonts w:hint="eastAsia"/>
        </w:rPr>
        <w:t>和</w:t>
      </w:r>
      <w:r>
        <w:t>《</w:t>
      </w:r>
      <w:r>
        <w:rPr>
          <w:rFonts w:hint="eastAsia"/>
        </w:rPr>
        <w:t>任</w:t>
      </w:r>
      <w:r w:rsidRPr="00457282">
        <w:rPr>
          <w:rFonts w:hint="eastAsia"/>
        </w:rPr>
        <w:t>择议定书</w:t>
      </w:r>
      <w:r>
        <w:t>》的</w:t>
      </w:r>
      <w:r>
        <w:rPr>
          <w:rFonts w:hint="eastAsia"/>
        </w:rPr>
        <w:t>宣传</w:t>
      </w:r>
    </w:p>
    <w:p w:rsidR="00191C2F" w:rsidRDefault="00191C2F" w:rsidP="00191C2F">
      <w:pPr>
        <w:pStyle w:val="SingleTxtGC"/>
      </w:pPr>
      <w:r>
        <w:rPr>
          <w:rFonts w:hint="eastAsia"/>
        </w:rPr>
        <w:t>22.</w:t>
      </w:r>
      <w:r>
        <w:t xml:space="preserve"> </w:t>
      </w:r>
      <w:r>
        <w:rPr>
          <w:rFonts w:hint="eastAsia"/>
        </w:rPr>
        <w:t xml:space="preserve"> </w:t>
      </w:r>
      <w:r>
        <w:rPr>
          <w:rFonts w:hint="eastAsia"/>
        </w:rPr>
        <w:t>缔约国应广泛宣传《公约》</w:t>
      </w:r>
      <w:r>
        <w:t>、</w:t>
      </w:r>
      <w:r>
        <w:rPr>
          <w:rFonts w:hint="eastAsia"/>
        </w:rPr>
        <w:t>其两项</w:t>
      </w:r>
      <w:r>
        <w:t>《</w:t>
      </w:r>
      <w:r>
        <w:rPr>
          <w:rFonts w:hint="eastAsia"/>
        </w:rPr>
        <w:t>任择议定书》、缔约国</w:t>
      </w:r>
      <w:r>
        <w:t>的</w:t>
      </w:r>
      <w:r>
        <w:rPr>
          <w:rFonts w:hint="eastAsia"/>
        </w:rPr>
        <w:t>初次定期报告、对</w:t>
      </w:r>
      <w:r>
        <w:t>委员会拟订的问题清单的</w:t>
      </w:r>
      <w:r>
        <w:rPr>
          <w:rFonts w:hint="eastAsia"/>
        </w:rPr>
        <w:t>书面答复，以及本结论性</w:t>
      </w:r>
      <w:r>
        <w:t>意见，</w:t>
      </w:r>
      <w:r>
        <w:rPr>
          <w:rFonts w:hint="eastAsia"/>
        </w:rPr>
        <w:t>以提高司法、立法和行政部门、民间社会和在该国开展活动的非政府组织以及广大公众的意识。委员会还建议缔约国</w:t>
      </w:r>
      <w:r>
        <w:t>将</w:t>
      </w:r>
      <w:r>
        <w:rPr>
          <w:rFonts w:hint="eastAsia"/>
        </w:rPr>
        <w:t>本报告和结论性意见翻译成缔约国的其他官方语言。委员会还要求缔约国在编写第二次定期报告时，与民间社会和非政府组织广泛协商。</w:t>
      </w:r>
    </w:p>
    <w:p w:rsidR="00191C2F" w:rsidRDefault="00191C2F" w:rsidP="00191C2F">
      <w:pPr>
        <w:pStyle w:val="SingleTxtGC"/>
      </w:pPr>
      <w:r>
        <w:rPr>
          <w:rFonts w:hint="eastAsia"/>
        </w:rPr>
        <w:t>23.</w:t>
      </w:r>
      <w:r>
        <w:t xml:space="preserve"> </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w:t>
      </w:r>
      <w:r>
        <w:t>有</w:t>
      </w:r>
      <w:r>
        <w:rPr>
          <w:rFonts w:hint="eastAsia"/>
        </w:rPr>
        <w:t>关资料</w:t>
      </w:r>
      <w:r>
        <w:t>，说明</w:t>
      </w:r>
      <w:r>
        <w:rPr>
          <w:rFonts w:hint="eastAsia"/>
        </w:rPr>
        <w:t>其落实上文第</w:t>
      </w:r>
      <w:r>
        <w:rPr>
          <w:rFonts w:hint="eastAsia"/>
        </w:rPr>
        <w:t>7</w:t>
      </w:r>
      <w:r>
        <w:rPr>
          <w:rFonts w:hint="eastAsia"/>
        </w:rPr>
        <w:t>段</w:t>
      </w:r>
      <w:r>
        <w:t>、</w:t>
      </w:r>
      <w:r>
        <w:rPr>
          <w:rFonts w:hint="eastAsia"/>
        </w:rPr>
        <w:t>第</w:t>
      </w:r>
      <w:r>
        <w:rPr>
          <w:rFonts w:hint="eastAsia"/>
        </w:rPr>
        <w:t>9</w:t>
      </w:r>
      <w:r>
        <w:rPr>
          <w:rFonts w:hint="eastAsia"/>
        </w:rPr>
        <w:t>段和</w:t>
      </w:r>
      <w:r>
        <w:t>第</w:t>
      </w:r>
      <w:r>
        <w:rPr>
          <w:rFonts w:hint="eastAsia"/>
        </w:rPr>
        <w:t>18</w:t>
      </w:r>
      <w:r>
        <w:t>段所</w:t>
      </w:r>
      <w:r>
        <w:rPr>
          <w:rFonts w:hint="eastAsia"/>
        </w:rPr>
        <w:t>载委员会建议的情况。</w:t>
      </w:r>
    </w:p>
    <w:p w:rsidR="00191C2F" w:rsidRDefault="00191C2F" w:rsidP="00191C2F">
      <w:pPr>
        <w:pStyle w:val="SingleTxtGC"/>
      </w:pPr>
      <w:r>
        <w:rPr>
          <w:rFonts w:hint="eastAsia"/>
        </w:rPr>
        <w:t>24.</w:t>
      </w:r>
      <w:r>
        <w:t xml:space="preserve"> </w:t>
      </w:r>
      <w:r>
        <w:rPr>
          <w:rFonts w:hint="eastAsia"/>
        </w:rPr>
        <w:t xml:space="preserve"> </w:t>
      </w:r>
      <w:r>
        <w:rPr>
          <w:rFonts w:hint="eastAsia"/>
        </w:rPr>
        <w:t>委员会要求缔约国在应</w:t>
      </w:r>
      <w:r>
        <w:t>于</w:t>
      </w:r>
      <w:r>
        <w:rPr>
          <w:rFonts w:hint="eastAsia"/>
        </w:rPr>
        <w:t>2020</w:t>
      </w:r>
      <w:r>
        <w:rPr>
          <w:rFonts w:hint="eastAsia"/>
        </w:rPr>
        <w:t>年</w:t>
      </w:r>
      <w:r>
        <w:rPr>
          <w:rFonts w:hint="eastAsia"/>
        </w:rPr>
        <w:t>10</w:t>
      </w:r>
      <w:r>
        <w:rPr>
          <w:rFonts w:hint="eastAsia"/>
        </w:rPr>
        <w:t>月</w:t>
      </w:r>
      <w:r>
        <w:rPr>
          <w:rFonts w:hint="eastAsia"/>
        </w:rPr>
        <w:t>31</w:t>
      </w:r>
      <w:r>
        <w:rPr>
          <w:rFonts w:hint="eastAsia"/>
        </w:rPr>
        <w:t>日提交</w:t>
      </w:r>
      <w:r>
        <w:t>的</w:t>
      </w:r>
      <w:r>
        <w:rPr>
          <w:rFonts w:hint="eastAsia"/>
        </w:rPr>
        <w:t>下一次定期报告中提供具体的最新资料，说明其落实所有建议和</w:t>
      </w:r>
      <w:r>
        <w:t>整个</w:t>
      </w:r>
      <w:r>
        <w:rPr>
          <w:rFonts w:hint="eastAsia"/>
        </w:rPr>
        <w:t>《</w:t>
      </w:r>
      <w:r>
        <w:t>公约》</w:t>
      </w:r>
      <w:r>
        <w:rPr>
          <w:rFonts w:hint="eastAsia"/>
        </w:rPr>
        <w:t>的</w:t>
      </w:r>
      <w:r>
        <w:t>情况</w:t>
      </w:r>
      <w:r>
        <w:rPr>
          <w:rFonts w:hint="eastAsia"/>
        </w:rPr>
        <w:t>。委员会还要求缔约国在编写下一次定期报告时广泛征询民间社会和在该国开展活动的非政府组织的意见。</w:t>
      </w:r>
    </w:p>
    <w:p w:rsidR="00191C2F" w:rsidRDefault="00191C2F" w:rsidP="00191C2F">
      <w:pPr>
        <w:pStyle w:val="SingleTxtGC"/>
      </w:pPr>
    </w:p>
    <w:p w:rsidR="00191C2F" w:rsidRPr="002D6A9C" w:rsidRDefault="00191C2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1C2F" w:rsidRPr="00CC53BE" w:rsidRDefault="00191C2F" w:rsidP="00191C2F">
      <w:pPr>
        <w:pStyle w:val="SingleTxtGC"/>
      </w:pPr>
    </w:p>
    <w:sectPr w:rsidR="00191C2F" w:rsidRPr="00CC53BE" w:rsidSect="00191C2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E69" w:rsidRPr="004F0BA6" w:rsidRDefault="00B75E69" w:rsidP="000D319F">
      <w:pPr>
        <w:pStyle w:val="Footer"/>
        <w:spacing w:after="240"/>
        <w:ind w:left="907"/>
        <w:rPr>
          <w:rFonts w:eastAsia="SimSun"/>
          <w:sz w:val="21"/>
          <w:szCs w:val="21"/>
          <w:lang w:val="en-US"/>
        </w:rPr>
      </w:pPr>
    </w:p>
    <w:p w:rsidR="00B75E69" w:rsidRPr="000D319F" w:rsidRDefault="00B75E69"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75E69" w:rsidRPr="000D319F" w:rsidRDefault="00B75E69" w:rsidP="000D319F">
      <w:pPr>
        <w:pStyle w:val="Footer"/>
      </w:pPr>
    </w:p>
  </w:endnote>
  <w:endnote w:type="continuationNotice" w:id="1">
    <w:p w:rsidR="00B75E69" w:rsidRDefault="00B75E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2F" w:rsidRPr="00191C2F" w:rsidRDefault="00191C2F" w:rsidP="00191C2F">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4F0BA6">
      <w:rPr>
        <w:rStyle w:val="PageNumber"/>
        <w:noProof/>
      </w:rPr>
      <w:t>6</w:t>
    </w:r>
    <w:r>
      <w:rPr>
        <w:rStyle w:val="PageNumber"/>
      </w:rPr>
      <w:fldChar w:fldCharType="end"/>
    </w:r>
    <w:r>
      <w:rPr>
        <w:rStyle w:val="PageNumber"/>
      </w:rPr>
      <w:tab/>
    </w:r>
    <w:r w:rsidRPr="00191C2F">
      <w:rPr>
        <w:rStyle w:val="PageNumber"/>
        <w:b w:val="0"/>
        <w:snapToGrid w:val="0"/>
        <w:sz w:val="16"/>
      </w:rPr>
      <w:t>GE.14-22560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2F" w:rsidRPr="00191C2F" w:rsidRDefault="00191C2F" w:rsidP="00191C2F">
    <w:pPr>
      <w:pStyle w:val="Footer"/>
      <w:tabs>
        <w:tab w:val="clear" w:pos="431"/>
        <w:tab w:val="right" w:pos="9638"/>
      </w:tabs>
      <w:rPr>
        <w:rStyle w:val="PageNumber"/>
      </w:rPr>
    </w:pPr>
    <w:r>
      <w:t>GE.14-22560</w:t>
    </w:r>
    <w:r>
      <w:tab/>
    </w:r>
    <w:r>
      <w:rPr>
        <w:rStyle w:val="PageNumber"/>
      </w:rPr>
      <w:fldChar w:fldCharType="begin"/>
    </w:r>
    <w:r>
      <w:rPr>
        <w:rStyle w:val="PageNumber"/>
      </w:rPr>
      <w:instrText xml:space="preserve"> PAGE  \* MERGEFORMAT </w:instrText>
    </w:r>
    <w:r>
      <w:rPr>
        <w:rStyle w:val="PageNumber"/>
      </w:rPr>
      <w:fldChar w:fldCharType="separate"/>
    </w:r>
    <w:r w:rsidR="004F0BA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2F" w:rsidRDefault="00191C2F" w:rsidP="00B75E1F">
    <w:pPr>
      <w:pStyle w:val="Footer"/>
      <w:tabs>
        <w:tab w:val="left" w:pos="1701"/>
        <w:tab w:val="left" w:pos="2552"/>
        <w:tab w:val="left" w:pos="8448"/>
      </w:tabs>
      <w:spacing w:before="360"/>
      <w:rPr>
        <w:b/>
        <w:sz w:val="21"/>
        <w:lang w:eastAsia="zh-CN"/>
      </w:rPr>
    </w:pPr>
    <w:r>
      <w:rPr>
        <w:sz w:val="20"/>
        <w:lang w:eastAsia="zh-CN"/>
      </w:rPr>
      <w:t>GE.14-22560</w:t>
    </w:r>
    <w:r w:rsidRPr="00EE277A">
      <w:rPr>
        <w:sz w:val="20"/>
        <w:lang w:eastAsia="zh-CN"/>
      </w:rPr>
      <w:t xml:space="preserve"> (C)</w:t>
    </w:r>
    <w:r>
      <w:rPr>
        <w:sz w:val="20"/>
        <w:lang w:eastAsia="zh-CN"/>
      </w:rPr>
      <w:tab/>
      <w:t>0</w:t>
    </w:r>
    <w:r w:rsidR="00B75E1F" w:rsidRPr="00B75E1F">
      <w:rPr>
        <w:rFonts w:hint="eastAsia"/>
        <w:sz w:val="20"/>
        <w:lang w:eastAsia="zh-CN"/>
      </w:rPr>
      <w:t>812</w:t>
    </w:r>
    <w:r>
      <w:rPr>
        <w:sz w:val="20"/>
        <w:lang w:eastAsia="zh-CN"/>
      </w:rPr>
      <w:t>14</w:t>
    </w:r>
    <w:r>
      <w:rPr>
        <w:sz w:val="20"/>
        <w:lang w:eastAsia="zh-CN"/>
      </w:rPr>
      <w:tab/>
    </w:r>
    <w:r w:rsidR="00B75E1F" w:rsidRPr="004F0BA6">
      <w:rPr>
        <w:rFonts w:eastAsia="SimSun" w:hint="eastAsia"/>
        <w:sz w:val="20"/>
        <w:lang w:eastAsia="zh-CN"/>
      </w:rPr>
      <w:t>1012</w:t>
    </w:r>
    <w:r>
      <w:rPr>
        <w:sz w:val="20"/>
        <w:lang w:eastAsia="zh-CN"/>
      </w:rPr>
      <w:t>14</w:t>
    </w:r>
  </w:p>
  <w:p w:rsidR="00191C2F" w:rsidRPr="00487939" w:rsidRDefault="00191C2F" w:rsidP="00191C2F">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F0B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2049" type="#_x0000_t75" alt="http://undocs.org/m2/QRCode.ashx?DS=CCPR/C/MNE/CO/1&amp;Size=2 &amp;Lang=C" style="position:absolute;margin-left:-.95pt;margin-top:-24.45pt;width:50.25pt;height:50.25pt;z-index:1;visibility:visible;mso-position-horizontal:right;mso-position-horizontal-relative:text;mso-position-vertical-relative:text">
          <v:imagedata r:id="rId1" o:title="1&amp;Size=2 &amp;Lang=C"/>
        </v:shape>
      </w:pict>
    </w:r>
    <w:r>
      <w:rPr>
        <w:b/>
        <w:sz w:val="21"/>
      </w:rPr>
      <w:tab/>
    </w:r>
    <w:r w:rsidR="004F0BA6" w:rsidRPr="004F0BA6">
      <w:rPr>
        <w:b/>
        <w:noProof/>
        <w:snapToGrid/>
        <w:sz w:val="21"/>
        <w:lang w:val="en-US" w:eastAsia="zh-CN"/>
      </w:rPr>
      <w:pict>
        <v:shape id="图片 2" o:spid="_x0000_i1026" type="#_x0000_t75" alt="recycle_Chinese" style="width:48.75pt;height:18pt;visibility:visible">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E69" w:rsidRPr="000157B1" w:rsidRDefault="00B75E6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75E69" w:rsidRPr="000157B1" w:rsidRDefault="00B75E6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75E69" w:rsidRDefault="00B75E69"/>
  </w:footnote>
  <w:footnote w:id="2">
    <w:p w:rsidR="00191C2F" w:rsidRPr="00191C2F" w:rsidRDefault="00191C2F" w:rsidP="00191C2F">
      <w:pPr>
        <w:pStyle w:val="FootnoteText"/>
        <w:tabs>
          <w:tab w:val="clear" w:pos="431"/>
          <w:tab w:val="clear" w:pos="1021"/>
          <w:tab w:val="right" w:pos="1020"/>
        </w:tabs>
      </w:pPr>
      <w:r w:rsidRPr="00191C2F">
        <w:rPr>
          <w:rStyle w:val="FootnoteReference"/>
          <w:rFonts w:eastAsia="SimSun"/>
          <w:vertAlign w:val="baseline"/>
        </w:rPr>
        <w:tab/>
        <w:t>*</w:t>
      </w:r>
      <w:r w:rsidRPr="00191C2F">
        <w:tab/>
      </w:r>
      <w:r w:rsidRPr="00191C2F">
        <w:rPr>
          <w:rFonts w:hint="eastAsia"/>
        </w:rPr>
        <w:t>委员会第一一二届会议通过</w:t>
      </w:r>
      <w:r w:rsidRPr="00191C2F">
        <w:rPr>
          <w:rFonts w:hint="eastAsia"/>
        </w:rPr>
        <w:t>(2014</w:t>
      </w:r>
      <w:r w:rsidRPr="00191C2F">
        <w:rPr>
          <w:rFonts w:hint="eastAsia"/>
        </w:rPr>
        <w:t>年</w:t>
      </w:r>
      <w:r w:rsidRPr="00191C2F">
        <w:rPr>
          <w:rFonts w:hint="eastAsia"/>
        </w:rPr>
        <w:t>10</w:t>
      </w:r>
      <w:r w:rsidRPr="00191C2F">
        <w:rPr>
          <w:rFonts w:hint="eastAsia"/>
        </w:rPr>
        <w:t>月</w:t>
      </w:r>
      <w:r w:rsidRPr="00191C2F">
        <w:rPr>
          <w:rFonts w:hint="eastAsia"/>
        </w:rPr>
        <w:t>7</w:t>
      </w:r>
      <w:r w:rsidRPr="00191C2F">
        <w:rPr>
          <w:rFonts w:hint="eastAsia"/>
        </w:rPr>
        <w:t>日到</w:t>
      </w:r>
      <w:r w:rsidRPr="00191C2F">
        <w:rPr>
          <w:rFonts w:hint="eastAsia"/>
        </w:rPr>
        <w:t>31</w:t>
      </w:r>
      <w:r w:rsidRPr="00191C2F">
        <w:rPr>
          <w:rFonts w:hint="eastAsia"/>
        </w:rPr>
        <w:t>日</w:t>
      </w:r>
      <w:r w:rsidRPr="00191C2F">
        <w:rPr>
          <w:rFonts w:hint="eastAsia"/>
        </w:rPr>
        <w:t>)</w:t>
      </w:r>
      <w:r w:rsidRPr="00191C2F">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2F" w:rsidRDefault="00191C2F" w:rsidP="00191C2F">
    <w:pPr>
      <w:pStyle w:val="Header"/>
    </w:pPr>
    <w:r>
      <w:t>CCPR/C/MNE/CO/1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2F" w:rsidRPr="00202A30" w:rsidRDefault="00191C2F" w:rsidP="00191C2F">
    <w:pPr>
      <w:pStyle w:val="Header"/>
      <w:jc w:val="right"/>
    </w:pPr>
    <w:r>
      <w:t>CCPR/C/MNE/CO/1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8C12AE"/>
    <w:lvl w:ilvl="0">
      <w:start w:val="1"/>
      <w:numFmt w:val="decimal"/>
      <w:lvlText w:val="%1."/>
      <w:lvlJc w:val="left"/>
      <w:pPr>
        <w:tabs>
          <w:tab w:val="num" w:pos="2040"/>
        </w:tabs>
        <w:ind w:left="2040" w:hanging="360"/>
      </w:pPr>
    </w:lvl>
  </w:abstractNum>
  <w:abstractNum w:abstractNumId="1">
    <w:nsid w:val="FFFFFF7D"/>
    <w:multiLevelType w:val="singleLevel"/>
    <w:tmpl w:val="E654A74A"/>
    <w:lvl w:ilvl="0">
      <w:start w:val="1"/>
      <w:numFmt w:val="decimal"/>
      <w:lvlText w:val="%1."/>
      <w:lvlJc w:val="left"/>
      <w:pPr>
        <w:tabs>
          <w:tab w:val="num" w:pos="1620"/>
        </w:tabs>
        <w:ind w:left="1620" w:hanging="360"/>
      </w:pPr>
    </w:lvl>
  </w:abstractNum>
  <w:abstractNum w:abstractNumId="2">
    <w:nsid w:val="FFFFFF7E"/>
    <w:multiLevelType w:val="singleLevel"/>
    <w:tmpl w:val="FFECC5EA"/>
    <w:lvl w:ilvl="0">
      <w:start w:val="1"/>
      <w:numFmt w:val="decimal"/>
      <w:lvlText w:val="%1."/>
      <w:lvlJc w:val="left"/>
      <w:pPr>
        <w:tabs>
          <w:tab w:val="num" w:pos="1200"/>
        </w:tabs>
        <w:ind w:left="1200" w:hanging="360"/>
      </w:pPr>
    </w:lvl>
  </w:abstractNum>
  <w:abstractNum w:abstractNumId="3">
    <w:nsid w:val="FFFFFF7F"/>
    <w:multiLevelType w:val="singleLevel"/>
    <w:tmpl w:val="ED08F494"/>
    <w:lvl w:ilvl="0">
      <w:start w:val="1"/>
      <w:numFmt w:val="decimal"/>
      <w:lvlText w:val="%1."/>
      <w:lvlJc w:val="left"/>
      <w:pPr>
        <w:tabs>
          <w:tab w:val="num" w:pos="780"/>
        </w:tabs>
        <w:ind w:left="780" w:hanging="360"/>
      </w:pPr>
    </w:lvl>
  </w:abstractNum>
  <w:abstractNum w:abstractNumId="4">
    <w:nsid w:val="FFFFFF80"/>
    <w:multiLevelType w:val="singleLevel"/>
    <w:tmpl w:val="AA9C937A"/>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5A42E4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076C2D0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58C86A0"/>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E0177E"/>
    <w:lvl w:ilvl="0">
      <w:start w:val="1"/>
      <w:numFmt w:val="bullet"/>
      <w:lvlText w:val=""/>
      <w:lvlJc w:val="left"/>
      <w:pPr>
        <w:tabs>
          <w:tab w:val="num" w:pos="360"/>
        </w:tabs>
        <w:ind w:left="360" w:hanging="360"/>
      </w:pPr>
      <w:rPr>
        <w:rFonts w:ascii="Wingdings" w:hAnsi="Wingdings" w:hint="default"/>
      </w:rPr>
    </w:lvl>
  </w:abstractNum>
  <w:abstractNum w:abstractNumId="1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257F38F3"/>
    <w:multiLevelType w:val="hybridMultilevel"/>
    <w:tmpl w:val="137CF702"/>
    <w:lvl w:ilvl="0" w:tplc="ECC631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B670E03"/>
    <w:multiLevelType w:val="hybridMultilevel"/>
    <w:tmpl w:val="55948C28"/>
    <w:lvl w:ilvl="0" w:tplc="7602B94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EF30F66"/>
    <w:multiLevelType w:val="hybridMultilevel"/>
    <w:tmpl w:val="024A16A0"/>
    <w:lvl w:ilvl="0" w:tplc="7286E7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5"/>
  </w:num>
  <w:num w:numId="3">
    <w:abstractNumId w:val="11"/>
  </w:num>
  <w:num w:numId="4">
    <w:abstractNumId w:val="8"/>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3"/>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oNotTrackMoves/>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017"/>
    <w:rsid w:val="00011483"/>
    <w:rsid w:val="000D319F"/>
    <w:rsid w:val="000E4D0E"/>
    <w:rsid w:val="00144B69"/>
    <w:rsid w:val="00153E86"/>
    <w:rsid w:val="00172E04"/>
    <w:rsid w:val="00191C2F"/>
    <w:rsid w:val="001B1BD1"/>
    <w:rsid w:val="001C3EF2"/>
    <w:rsid w:val="001D17F6"/>
    <w:rsid w:val="00204B42"/>
    <w:rsid w:val="0021265F"/>
    <w:rsid w:val="002231C3"/>
    <w:rsid w:val="0024417F"/>
    <w:rsid w:val="00250F8D"/>
    <w:rsid w:val="002E1C97"/>
    <w:rsid w:val="002F5834"/>
    <w:rsid w:val="003006AB"/>
    <w:rsid w:val="00326EBF"/>
    <w:rsid w:val="00327FE4"/>
    <w:rsid w:val="003333CC"/>
    <w:rsid w:val="00427F63"/>
    <w:rsid w:val="00434D38"/>
    <w:rsid w:val="00494EB8"/>
    <w:rsid w:val="004C4A0A"/>
    <w:rsid w:val="004F0BA6"/>
    <w:rsid w:val="00501220"/>
    <w:rsid w:val="005E403A"/>
    <w:rsid w:val="00604D91"/>
    <w:rsid w:val="00680656"/>
    <w:rsid w:val="006B1119"/>
    <w:rsid w:val="006D37EB"/>
    <w:rsid w:val="006E3E46"/>
    <w:rsid w:val="006E71B1"/>
    <w:rsid w:val="006F1404"/>
    <w:rsid w:val="00701D4B"/>
    <w:rsid w:val="0070593B"/>
    <w:rsid w:val="00705D89"/>
    <w:rsid w:val="00731A42"/>
    <w:rsid w:val="00767E69"/>
    <w:rsid w:val="0077079A"/>
    <w:rsid w:val="00771504"/>
    <w:rsid w:val="007A29FD"/>
    <w:rsid w:val="007A5599"/>
    <w:rsid w:val="00856233"/>
    <w:rsid w:val="00860F27"/>
    <w:rsid w:val="008B0560"/>
    <w:rsid w:val="008B2BFA"/>
    <w:rsid w:val="008D31F4"/>
    <w:rsid w:val="008E6A3F"/>
    <w:rsid w:val="00923557"/>
    <w:rsid w:val="00936F03"/>
    <w:rsid w:val="00943B69"/>
    <w:rsid w:val="00944CB3"/>
    <w:rsid w:val="00986624"/>
    <w:rsid w:val="009A18E8"/>
    <w:rsid w:val="009B09D7"/>
    <w:rsid w:val="009D35ED"/>
    <w:rsid w:val="00A03CB6"/>
    <w:rsid w:val="00A1364C"/>
    <w:rsid w:val="00A21076"/>
    <w:rsid w:val="00A31BA8"/>
    <w:rsid w:val="00A3739A"/>
    <w:rsid w:val="00A52DAF"/>
    <w:rsid w:val="00A84072"/>
    <w:rsid w:val="00B16570"/>
    <w:rsid w:val="00B23B03"/>
    <w:rsid w:val="00B43EB7"/>
    <w:rsid w:val="00B53320"/>
    <w:rsid w:val="00B75E1F"/>
    <w:rsid w:val="00B75E69"/>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0017"/>
    <w:rsid w:val="00E33B38"/>
    <w:rsid w:val="00E47FE5"/>
    <w:rsid w:val="00E574AF"/>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153E86"/>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153E86"/>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semiHidden/>
    <w:rsid w:val="00153E86"/>
    <w:rPr>
      <w:rFonts w:ascii="Times New Roman" w:eastAsia="Times New Roman" w:hAnsi="Times New Roman" w:cs="Times New Roman"/>
      <w:b/>
      <w:bCs/>
      <w:color w:val="4F81BD"/>
    </w:rPr>
  </w:style>
  <w:style w:type="character" w:customStyle="1" w:styleId="Heading4Char">
    <w:name w:val="Heading 4 Char"/>
    <w:link w:val="Heading4"/>
    <w:uiPriority w:val="9"/>
    <w:semiHidden/>
    <w:rsid w:val="00153E86"/>
    <w:rPr>
      <w:rFonts w:ascii="Times New Roman" w:eastAsia="Times New Roman" w:hAnsi="Times New Roman" w:cs="Times New Roman"/>
      <w:b/>
      <w:bCs/>
      <w:i/>
      <w:iCs/>
      <w:color w:val="4F81BD"/>
    </w:rPr>
  </w:style>
  <w:style w:type="character" w:customStyle="1" w:styleId="Heading5Char">
    <w:name w:val="Heading 5 Char"/>
    <w:link w:val="Heading5"/>
    <w:uiPriority w:val="9"/>
    <w:semiHidden/>
    <w:rsid w:val="00153E86"/>
    <w:rPr>
      <w:rFonts w:ascii="Times New Roman" w:eastAsia="Times New Roman" w:hAnsi="Times New Roman" w:cs="Times New Roman"/>
      <w:color w:val="243F60"/>
    </w:rPr>
  </w:style>
  <w:style w:type="character" w:customStyle="1" w:styleId="Heading6Char">
    <w:name w:val="Heading 6 Char"/>
    <w:link w:val="Heading6"/>
    <w:uiPriority w:val="9"/>
    <w:semiHidden/>
    <w:rsid w:val="00153E86"/>
    <w:rPr>
      <w:rFonts w:ascii="Times New Roman" w:eastAsia="Times New Roman" w:hAnsi="Times New Roman" w:cs="Times New Roman"/>
      <w:i/>
      <w:iCs/>
      <w:color w:val="243F60"/>
    </w:rPr>
  </w:style>
  <w:style w:type="character" w:customStyle="1" w:styleId="Heading7Char">
    <w:name w:val="Heading 7 Char"/>
    <w:link w:val="Heading7"/>
    <w:uiPriority w:val="9"/>
    <w:semiHidden/>
    <w:rsid w:val="00153E86"/>
    <w:rPr>
      <w:rFonts w:ascii="Times New Roman" w:eastAsia="Times New Roman" w:hAnsi="Times New Roman" w:cs="Times New Roman"/>
      <w:i/>
      <w:iCs/>
      <w:color w:val="404040"/>
    </w:rPr>
  </w:style>
  <w:style w:type="character" w:customStyle="1" w:styleId="Heading8Char">
    <w:name w:val="Heading 8 Char"/>
    <w:link w:val="Heading8"/>
    <w:uiPriority w:val="9"/>
    <w:semiHidden/>
    <w:rsid w:val="00153E86"/>
    <w:rPr>
      <w:rFonts w:ascii="Times New Roman" w:eastAsia="Times New Roman" w:hAnsi="Times New Roman" w:cs="Times New Roman"/>
      <w:color w:val="4F81BD"/>
      <w:sz w:val="20"/>
      <w:szCs w:val="20"/>
    </w:rPr>
  </w:style>
  <w:style w:type="character" w:customStyle="1" w:styleId="Heading9Char">
    <w:name w:val="Heading 9 Char"/>
    <w:link w:val="Heading9"/>
    <w:uiPriority w:val="9"/>
    <w:semiHidden/>
    <w:rsid w:val="00153E86"/>
    <w:rPr>
      <w:rFonts w:ascii="Times New Roman" w:eastAsia="Times New Roman" w:hAnsi="Times New Roman" w:cs="Times New Roman"/>
      <w:i/>
      <w:iCs/>
      <w:color w:val="404040"/>
      <w:sz w:val="20"/>
      <w:szCs w:val="20"/>
    </w:rPr>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FootnoteTextChar">
    <w:name w:val="Footnote Text Char"/>
    <w:link w:val="FootnoteText"/>
    <w:rsid w:val="00C70852"/>
    <w:rPr>
      <w:snapToGrid w:val="0"/>
      <w:sz w:val="18"/>
      <w:szCs w:val="18"/>
    </w:rPr>
  </w:style>
  <w:style w:type="character" w:styleId="FootnoteReference">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2">
    <w:name w:val="目录段页次"/>
    <w:basedOn w:val="Normal"/>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3">
    <w:name w:val="目录页次"/>
    <w:basedOn w:val="Normal"/>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4">
    <w:name w:val="缩进正文"/>
    <w:basedOn w:val="Normal"/>
    <w:qFormat/>
    <w:rsid w:val="00427F63"/>
    <w:pPr>
      <w:tabs>
        <w:tab w:val="left" w:pos="1134"/>
        <w:tab w:val="left" w:pos="1565"/>
        <w:tab w:val="left" w:pos="1996"/>
        <w:tab w:val="left" w:pos="2427"/>
      </w:tabs>
      <w:ind w:left="1565" w:right="1134"/>
    </w:pPr>
    <w:rPr>
      <w:szCs w:val="21"/>
    </w:rPr>
  </w:style>
  <w:style w:type="paragraph" w:styleId="EndnoteText">
    <w:name w:val="endnote text"/>
    <w:basedOn w:val="FootnoteText"/>
    <w:link w:val="EndnoteTextChar"/>
    <w:qFormat/>
    <w:rsid w:val="008B0560"/>
  </w:style>
  <w:style w:type="character" w:customStyle="1" w:styleId="EndnoteTextChar">
    <w:name w:val="Endnote Text Char"/>
    <w:link w:val="EndnoteText"/>
    <w:rsid w:val="008B0560"/>
    <w:rPr>
      <w:rFonts w:ascii="Times New Roman" w:eastAsia="SimSun" w:hAnsi="Times New Roman" w:cs="Times New Roman"/>
      <w:snapToGrid w:val="0"/>
      <w:kern w:val="0"/>
      <w:sz w:val="18"/>
      <w:szCs w:val="20"/>
    </w:rPr>
  </w:style>
  <w:style w:type="character" w:styleId="EndnoteReference">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uiPriority w:val="99"/>
    <w:qFormat/>
    <w:rsid w:val="00A31BA8"/>
    <w:pPr>
      <w:overflowPunct/>
      <w:spacing w:line="240" w:lineRule="auto"/>
      <w:jc w:val="left"/>
    </w:pPr>
    <w:rPr>
      <w:rFonts w:eastAsia="Times New Roman"/>
      <w:sz w:val="16"/>
      <w:szCs w:val="16"/>
      <w:lang w:val="en-GB" w:eastAsia="en-US"/>
    </w:rPr>
  </w:style>
  <w:style w:type="character" w:customStyle="1" w:styleId="FooterChar">
    <w:name w:val="Footer Char"/>
    <w:link w:val="Footer"/>
    <w:uiPriority w:val="99"/>
    <w:rsid w:val="00A31BA8"/>
    <w:rPr>
      <w:rFonts w:eastAsia="Times New Roman"/>
      <w:snapToGrid w:val="0"/>
      <w:sz w:val="16"/>
      <w:szCs w:val="16"/>
      <w:lang w:val="en-GB" w:eastAsia="en-US"/>
    </w:rPr>
  </w:style>
  <w:style w:type="character" w:styleId="PageNumber">
    <w:name w:val="page number"/>
    <w:qFormat/>
    <w:rsid w:val="00A31BA8"/>
    <w:rPr>
      <w:rFonts w:ascii="Times New Roman" w:hAnsi="Times New Roman"/>
      <w:b/>
      <w:i w:val="0"/>
      <w:snapToGrid w:val="0"/>
      <w:spacing w:val="0"/>
      <w:kern w:val="0"/>
      <w:sz w:val="18"/>
    </w:rPr>
  </w:style>
  <w:style w:type="paragraph" w:styleId="Header">
    <w:name w:val="header"/>
    <w:basedOn w:val="Normal"/>
    <w:link w:val="HeaderChar"/>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link w:val="Header"/>
    <w:rsid w:val="00A31BA8"/>
    <w:rPr>
      <w:rFonts w:eastAsia="Times New Roman"/>
      <w:b/>
      <w:snapToGrid w:val="0"/>
      <w:sz w:val="18"/>
      <w:szCs w:val="18"/>
      <w:lang w:val="en-GB" w:eastAsia="en-US"/>
    </w:rPr>
  </w:style>
  <w:style w:type="paragraph" w:styleId="Caption">
    <w:name w:val="caption"/>
    <w:basedOn w:val="Normal"/>
    <w:next w:val="Normal"/>
    <w:uiPriority w:val="35"/>
    <w:semiHidden/>
    <w:qFormat/>
    <w:rsid w:val="008B0560"/>
    <w:pPr>
      <w:spacing w:after="200"/>
    </w:pPr>
    <w:rPr>
      <w:rFonts w:ascii="Calibri" w:hAnsi="Calibri"/>
      <w:b/>
      <w:bCs/>
      <w:snapToGrid/>
      <w:color w:val="4F81BD"/>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uiPriority w:val="99"/>
    <w:semiHidden/>
    <w:rsid w:val="00680656"/>
    <w:rPr>
      <w:color w:val="808080"/>
    </w:rPr>
  </w:style>
  <w:style w:type="table" w:styleId="TableGrid">
    <w:name w:val="Table Grid"/>
    <w:basedOn w:val="TableNormal"/>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191C2F"/>
    <w:rPr>
      <w:color w:val="0000FF"/>
      <w:u w:val="none"/>
    </w:rPr>
  </w:style>
  <w:style w:type="paragraph" w:styleId="MacroText">
    <w:name w:val="macro"/>
    <w:link w:val="MacroTextChar"/>
    <w:semiHidden/>
    <w:rsid w:val="00191C2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character" w:customStyle="1" w:styleId="MacroTextChar">
    <w:name w:val="Macro Text Char"/>
    <w:link w:val="MacroText"/>
    <w:semiHidden/>
    <w:rsid w:val="00191C2F"/>
    <w:rPr>
      <w:kern w:val="24"/>
      <w:sz w:val="24"/>
    </w:rPr>
  </w:style>
  <w:style w:type="character" w:customStyle="1" w:styleId="hps">
    <w:name w:val="hps"/>
    <w:basedOn w:val="DefaultParagraphFont"/>
    <w:rsid w:val="00191C2F"/>
  </w:style>
  <w:style w:type="character" w:customStyle="1" w:styleId="atn">
    <w:name w:val="atn"/>
    <w:basedOn w:val="DefaultParagraphFont"/>
    <w:rsid w:val="00191C2F"/>
  </w:style>
  <w:style w:type="character" w:customStyle="1" w:styleId="1">
    <w:name w:val="标题1"/>
    <w:basedOn w:val="DefaultParagraphFont"/>
    <w:rsid w:val="00191C2F"/>
  </w:style>
  <w:style w:type="character" w:customStyle="1" w:styleId="st">
    <w:name w:val="st"/>
    <w:basedOn w:val="DefaultParagraphFont"/>
    <w:rsid w:val="00191C2F"/>
  </w:style>
  <w:style w:type="character" w:styleId="Emphasis">
    <w:name w:val="Emphasis"/>
    <w:uiPriority w:val="20"/>
    <w:qFormat/>
    <w:rsid w:val="00191C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870</Words>
  <Characters>4964</Characters>
  <Application>Microsoft Office Word</Application>
  <DocSecurity>4</DocSecurity>
  <Lines>41</Lines>
  <Paragraphs>11</Paragraphs>
  <ScaleCrop>false</ScaleCrop>
  <Company>DCM</Company>
  <LinksUpToDate>false</LinksUpToDate>
  <CharactersWithSpaces>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1422560</dc:title>
  <dc:subject>CCPR/C/MNE/CO/1</dc:subject>
  <dc:creator>Yangx</dc:creator>
  <cp:keywords/>
  <cp:lastModifiedBy>Kong L.</cp:lastModifiedBy>
  <cp:revision>2</cp:revision>
  <cp:lastPrinted>2014-12-10T14:48:00Z</cp:lastPrinted>
  <dcterms:created xsi:type="dcterms:W3CDTF">2014-12-10T14:48:00Z</dcterms:created>
  <dcterms:modified xsi:type="dcterms:W3CDTF">2014-12-10T14:48:00Z</dcterms:modified>
</cp:coreProperties>
</file>