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816936" w:rsidRPr="00F124C6" w:rsidTr="00E82775">
        <w:trPr>
          <w:trHeight w:hRule="exact" w:val="851"/>
        </w:trPr>
        <w:tc>
          <w:tcPr>
            <w:tcW w:w="1280" w:type="dxa"/>
            <w:tcBorders>
              <w:bottom w:val="single" w:sz="4" w:space="0" w:color="auto"/>
            </w:tcBorders>
          </w:tcPr>
          <w:p w:rsidR="00816936" w:rsidRPr="00F124C6" w:rsidRDefault="00816936" w:rsidP="00E82775">
            <w:pPr>
              <w:pStyle w:val="H23GC"/>
            </w:pPr>
          </w:p>
        </w:tc>
        <w:tc>
          <w:tcPr>
            <w:tcW w:w="2273" w:type="dxa"/>
            <w:tcBorders>
              <w:bottom w:val="single" w:sz="4" w:space="0" w:color="auto"/>
            </w:tcBorders>
            <w:vAlign w:val="bottom"/>
          </w:tcPr>
          <w:p w:rsidR="00816936" w:rsidRPr="0050687F" w:rsidRDefault="00816936" w:rsidP="00E82775">
            <w:pPr>
              <w:spacing w:after="80" w:line="300" w:lineRule="exact"/>
              <w:rPr>
                <w:rFonts w:ascii="Time New Roman" w:eastAsia="黑体" w:hAnsi="Time New Roman" w:hint="eastAsia"/>
                <w:sz w:val="28"/>
              </w:rPr>
            </w:pPr>
            <w:r w:rsidRPr="0050687F">
              <w:rPr>
                <w:rFonts w:ascii="宋体" w:eastAsia="黑体" w:hAnsi="宋体" w:cs="宋体" w:hint="eastAsia"/>
                <w:sz w:val="28"/>
              </w:rPr>
              <w:t>联</w:t>
            </w:r>
            <w:r w:rsidRPr="0050687F">
              <w:rPr>
                <w:rFonts w:ascii="Time New Roman" w:eastAsia="黑体" w:hAnsi="Time New Roman" w:hint="eastAsia"/>
                <w:sz w:val="28"/>
              </w:rPr>
              <w:t xml:space="preserve"> </w:t>
            </w:r>
            <w:r w:rsidRPr="0050687F">
              <w:rPr>
                <w:rFonts w:ascii="宋体" w:eastAsia="黑体" w:hAnsi="宋体" w:cs="宋体" w:hint="eastAsia"/>
                <w:sz w:val="28"/>
              </w:rPr>
              <w:t>合</w:t>
            </w:r>
            <w:r w:rsidRPr="0050687F">
              <w:rPr>
                <w:rFonts w:ascii="Time New Roman" w:eastAsia="黑体" w:hAnsi="Time New Roman" w:hint="eastAsia"/>
                <w:sz w:val="28"/>
              </w:rPr>
              <w:t xml:space="preserve"> </w:t>
            </w:r>
            <w:r w:rsidRPr="0050687F">
              <w:rPr>
                <w:rFonts w:ascii="宋体" w:eastAsia="黑体" w:hAnsi="宋体" w:cs="宋体" w:hint="eastAsia"/>
                <w:sz w:val="28"/>
              </w:rPr>
              <w:t>国</w:t>
            </w:r>
          </w:p>
        </w:tc>
        <w:tc>
          <w:tcPr>
            <w:tcW w:w="6086" w:type="dxa"/>
            <w:gridSpan w:val="2"/>
            <w:tcBorders>
              <w:bottom w:val="single" w:sz="4" w:space="0" w:color="auto"/>
            </w:tcBorders>
            <w:vAlign w:val="bottom"/>
          </w:tcPr>
          <w:p w:rsidR="00816936" w:rsidRPr="007201CE" w:rsidRDefault="007201CE" w:rsidP="00E82775">
            <w:pPr>
              <w:spacing w:line="240" w:lineRule="atLeast"/>
              <w:jc w:val="right"/>
              <w:rPr>
                <w:sz w:val="20"/>
                <w:szCs w:val="21"/>
              </w:rPr>
            </w:pPr>
            <w:r w:rsidRPr="007201CE">
              <w:rPr>
                <w:sz w:val="40"/>
                <w:szCs w:val="21"/>
              </w:rPr>
              <w:t>CRPD</w:t>
            </w:r>
            <w:r>
              <w:rPr>
                <w:sz w:val="20"/>
                <w:szCs w:val="21"/>
              </w:rPr>
              <w:t>/C/ECU/CO/1</w:t>
            </w:r>
          </w:p>
        </w:tc>
      </w:tr>
      <w:tr w:rsidR="00816936" w:rsidRPr="00F124C6" w:rsidTr="00E82775">
        <w:trPr>
          <w:trHeight w:hRule="exact" w:val="2835"/>
        </w:trPr>
        <w:tc>
          <w:tcPr>
            <w:tcW w:w="1280" w:type="dxa"/>
            <w:tcBorders>
              <w:top w:val="single" w:sz="4" w:space="0" w:color="auto"/>
              <w:bottom w:val="single" w:sz="12" w:space="0" w:color="auto"/>
            </w:tcBorders>
          </w:tcPr>
          <w:p w:rsidR="00816936" w:rsidRPr="00F124C6" w:rsidRDefault="00816936" w:rsidP="00E82775">
            <w:pPr>
              <w:spacing w:line="120" w:lineRule="atLeast"/>
              <w:rPr>
                <w:sz w:val="10"/>
                <w:szCs w:val="10"/>
              </w:rPr>
            </w:pPr>
          </w:p>
          <w:p w:rsidR="00816936" w:rsidRPr="00F124C6" w:rsidRDefault="00816936" w:rsidP="00E82775">
            <w:pPr>
              <w:spacing w:line="120" w:lineRule="atLeast"/>
              <w:rPr>
                <w:sz w:val="10"/>
                <w:szCs w:val="10"/>
              </w:rPr>
            </w:pPr>
            <w:r>
              <w:rPr>
                <w:rFonts w:hint="eastAsia"/>
                <w:noProof/>
                <w:snapToGrid/>
              </w:rPr>
              <w:drawing>
                <wp:inline distT="0" distB="0" distL="0" distR="0" wp14:anchorId="46A552BD" wp14:editId="4F63E437">
                  <wp:extent cx="715010" cy="592455"/>
                  <wp:effectExtent l="0" t="0" r="8890" b="0"/>
                  <wp:docPr id="4" name="图片 4"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816936" w:rsidRPr="00FC7FE9" w:rsidRDefault="00816936" w:rsidP="00E82775">
            <w:pPr>
              <w:spacing w:before="160" w:line="240" w:lineRule="auto"/>
              <w:rPr>
                <w:rFonts w:eastAsia="黑体"/>
                <w:spacing w:val="10"/>
                <w:sz w:val="36"/>
                <w:szCs w:val="36"/>
              </w:rPr>
            </w:pPr>
            <w:r w:rsidRPr="00FC7FE9">
              <w:rPr>
                <w:rFonts w:eastAsia="黑体" w:hint="eastAsia"/>
                <w:spacing w:val="10"/>
                <w:sz w:val="36"/>
                <w:szCs w:val="36"/>
              </w:rPr>
              <w:t>残疾人权利公约</w:t>
            </w:r>
          </w:p>
        </w:tc>
        <w:tc>
          <w:tcPr>
            <w:tcW w:w="2819" w:type="dxa"/>
            <w:tcBorders>
              <w:top w:val="single" w:sz="4" w:space="0" w:color="auto"/>
              <w:bottom w:val="single" w:sz="12" w:space="0" w:color="auto"/>
            </w:tcBorders>
          </w:tcPr>
          <w:p w:rsidR="00816936" w:rsidRPr="0004600B" w:rsidRDefault="007201CE" w:rsidP="00E82775">
            <w:pPr>
              <w:spacing w:before="240" w:line="240" w:lineRule="atLeast"/>
              <w:rPr>
                <w:sz w:val="20"/>
              </w:rPr>
            </w:pPr>
            <w:r>
              <w:rPr>
                <w:sz w:val="20"/>
              </w:rPr>
              <w:t xml:space="preserve">Distr.: </w:t>
            </w:r>
            <w:r w:rsidR="00816936" w:rsidRPr="00D50CCD">
              <w:rPr>
                <w:sz w:val="20"/>
              </w:rPr>
              <w:t>General</w:t>
            </w:r>
          </w:p>
          <w:p w:rsidR="00816936" w:rsidRPr="00F124C6" w:rsidRDefault="007201CE" w:rsidP="00E82775">
            <w:pPr>
              <w:spacing w:line="240" w:lineRule="atLeast"/>
              <w:rPr>
                <w:sz w:val="20"/>
              </w:rPr>
            </w:pPr>
            <w:r>
              <w:rPr>
                <w:sz w:val="20"/>
              </w:rPr>
              <w:t xml:space="preserve">27 </w:t>
            </w:r>
            <w:r w:rsidRPr="007201CE">
              <w:rPr>
                <w:sz w:val="20"/>
              </w:rPr>
              <w:t>October</w:t>
            </w:r>
            <w:r w:rsidR="00B44B82">
              <w:rPr>
                <w:sz w:val="20"/>
              </w:rPr>
              <w:t xml:space="preserve"> 201</w:t>
            </w:r>
            <w:r>
              <w:rPr>
                <w:sz w:val="20"/>
              </w:rPr>
              <w:t>4</w:t>
            </w:r>
          </w:p>
          <w:p w:rsidR="00816936" w:rsidRPr="00F124C6" w:rsidRDefault="00816936" w:rsidP="00E82775">
            <w:pPr>
              <w:spacing w:line="240" w:lineRule="atLeast"/>
              <w:rPr>
                <w:sz w:val="20"/>
              </w:rPr>
            </w:pPr>
            <w:r w:rsidRPr="00F124C6">
              <w:rPr>
                <w:sz w:val="20"/>
              </w:rPr>
              <w:t xml:space="preserve">Chinese </w:t>
            </w:r>
          </w:p>
          <w:p w:rsidR="00816936" w:rsidRPr="00F124C6" w:rsidRDefault="007201CE" w:rsidP="007201CE">
            <w:pPr>
              <w:spacing w:line="240" w:lineRule="atLeast"/>
            </w:pPr>
            <w:r>
              <w:rPr>
                <w:sz w:val="20"/>
              </w:rPr>
              <w:t xml:space="preserve">Original: </w:t>
            </w:r>
            <w:r w:rsidRPr="007201CE">
              <w:rPr>
                <w:sz w:val="20"/>
              </w:rPr>
              <w:t>Spanish</w:t>
            </w:r>
          </w:p>
        </w:tc>
      </w:tr>
    </w:tbl>
    <w:p w:rsidR="00816936" w:rsidRDefault="00816936" w:rsidP="00816936">
      <w:pPr>
        <w:spacing w:before="120"/>
        <w:rPr>
          <w:rFonts w:eastAsia="黑体"/>
          <w:sz w:val="24"/>
          <w:szCs w:val="24"/>
          <w:lang w:val="fr-CH"/>
        </w:rPr>
      </w:pPr>
      <w:r>
        <w:rPr>
          <w:rFonts w:eastAsia="黑体" w:hint="eastAsia"/>
          <w:sz w:val="24"/>
          <w:szCs w:val="24"/>
          <w:lang w:val="fr-CH"/>
        </w:rPr>
        <w:t>残疾人权利委员会</w:t>
      </w:r>
    </w:p>
    <w:p w:rsidR="007201CE" w:rsidRDefault="007201CE" w:rsidP="007201CE">
      <w:pPr>
        <w:pStyle w:val="SingleTxtGC"/>
        <w:ind w:left="0"/>
        <w:rPr>
          <w:lang w:val="fr-CH"/>
        </w:rPr>
      </w:pPr>
    </w:p>
    <w:p w:rsidR="007201CE" w:rsidRPr="00364E35" w:rsidRDefault="007201CE" w:rsidP="007201CE">
      <w:pPr>
        <w:pStyle w:val="HChGC"/>
      </w:pPr>
      <w:r w:rsidRPr="00364E35">
        <w:tab/>
      </w:r>
      <w:r w:rsidRPr="00364E35">
        <w:tab/>
      </w:r>
      <w:r>
        <w:rPr>
          <w:rFonts w:hint="eastAsia"/>
        </w:rPr>
        <w:t>关于厄瓜多尔初次报告的结论性意见</w:t>
      </w:r>
      <w:r w:rsidRPr="007201CE">
        <w:rPr>
          <w:rStyle w:val="a7"/>
          <w:rFonts w:eastAsia="宋体"/>
          <w:bCs/>
          <w:sz w:val="28"/>
          <w:vertAlign w:val="baseline"/>
        </w:rPr>
        <w:footnoteReference w:customMarkFollows="1" w:id="2"/>
        <w:t>*</w:t>
      </w:r>
    </w:p>
    <w:p w:rsidR="007201CE" w:rsidRPr="00364E35" w:rsidRDefault="007201CE" w:rsidP="007201CE">
      <w:pPr>
        <w:pStyle w:val="HChGC"/>
      </w:pPr>
      <w:r>
        <w:tab/>
      </w:r>
      <w:r>
        <w:rPr>
          <w:rFonts w:hint="eastAsia"/>
        </w:rPr>
        <w:t>一</w:t>
      </w:r>
      <w:r w:rsidRPr="00364E35">
        <w:t>.</w:t>
      </w:r>
      <w:r w:rsidRPr="00364E35">
        <w:tab/>
      </w:r>
      <w:r>
        <w:rPr>
          <w:rFonts w:hint="eastAsia"/>
        </w:rPr>
        <w:t>导言</w:t>
      </w:r>
      <w:bookmarkStart w:id="0" w:name="_GoBack"/>
      <w:bookmarkEnd w:id="0"/>
    </w:p>
    <w:p w:rsidR="007201CE" w:rsidRPr="00364E35" w:rsidRDefault="007201CE" w:rsidP="007201CE">
      <w:pPr>
        <w:pStyle w:val="SingleTxtGC"/>
      </w:pPr>
      <w:r w:rsidRPr="00364E35">
        <w:t>1.</w:t>
      </w:r>
      <w:r w:rsidRPr="00364E35">
        <w:tab/>
      </w:r>
      <w:r>
        <w:rPr>
          <w:rFonts w:hint="eastAsia"/>
        </w:rPr>
        <w:t>委员会分别在</w:t>
      </w:r>
      <w:r>
        <w:rPr>
          <w:rFonts w:hint="eastAsia"/>
        </w:rPr>
        <w:t>2014</w:t>
      </w:r>
      <w:r>
        <w:rPr>
          <w:rFonts w:hint="eastAsia"/>
        </w:rPr>
        <w:t>年</w:t>
      </w:r>
      <w:r>
        <w:rPr>
          <w:rFonts w:hint="eastAsia"/>
        </w:rPr>
        <w:t>9</w:t>
      </w:r>
      <w:r>
        <w:rPr>
          <w:rFonts w:hint="eastAsia"/>
        </w:rPr>
        <w:t>月</w:t>
      </w:r>
      <w:r>
        <w:rPr>
          <w:rFonts w:hint="eastAsia"/>
        </w:rPr>
        <w:t>22</w:t>
      </w:r>
      <w:r>
        <w:rPr>
          <w:rFonts w:hint="eastAsia"/>
        </w:rPr>
        <w:t>日和</w:t>
      </w:r>
      <w:r>
        <w:rPr>
          <w:rFonts w:hint="eastAsia"/>
        </w:rPr>
        <w:t>23</w:t>
      </w:r>
      <w:r>
        <w:rPr>
          <w:rFonts w:hint="eastAsia"/>
        </w:rPr>
        <w:t>日举行的第</w:t>
      </w:r>
      <w:r>
        <w:rPr>
          <w:rFonts w:hint="eastAsia"/>
        </w:rPr>
        <w:t>1</w:t>
      </w:r>
      <w:r w:rsidRPr="00364E35">
        <w:t>53</w:t>
      </w:r>
      <w:r>
        <w:rPr>
          <w:rFonts w:hint="eastAsia"/>
        </w:rPr>
        <w:t>次和第</w:t>
      </w:r>
      <w:r w:rsidRPr="00364E35">
        <w:t>154</w:t>
      </w:r>
      <w:r>
        <w:rPr>
          <w:rFonts w:hint="eastAsia"/>
        </w:rPr>
        <w:t>次会议上审议了厄瓜多尔的初次报告</w:t>
      </w:r>
      <w:r w:rsidRPr="00364E35">
        <w:t>(CRPD/C/ECU/1</w:t>
      </w:r>
      <w:r>
        <w:rPr>
          <w:rFonts w:hint="eastAsia"/>
        </w:rPr>
        <w:t>)</w:t>
      </w:r>
      <w:r>
        <w:rPr>
          <w:rFonts w:hint="eastAsia"/>
        </w:rPr>
        <w:t>，并在</w:t>
      </w:r>
      <w:r>
        <w:rPr>
          <w:rFonts w:hint="eastAsia"/>
        </w:rPr>
        <w:t>2014</w:t>
      </w:r>
      <w:r>
        <w:rPr>
          <w:rFonts w:hint="eastAsia"/>
        </w:rPr>
        <w:t>年</w:t>
      </w:r>
      <w:r>
        <w:rPr>
          <w:rFonts w:hint="eastAsia"/>
        </w:rPr>
        <w:t>10</w:t>
      </w:r>
      <w:r>
        <w:rPr>
          <w:rFonts w:hint="eastAsia"/>
        </w:rPr>
        <w:t>月</w:t>
      </w:r>
      <w:r>
        <w:rPr>
          <w:rFonts w:hint="eastAsia"/>
        </w:rPr>
        <w:t>2</w:t>
      </w:r>
      <w:r>
        <w:rPr>
          <w:rFonts w:hint="eastAsia"/>
        </w:rPr>
        <w:t>日举行的第</w:t>
      </w:r>
      <w:r>
        <w:rPr>
          <w:rFonts w:hint="eastAsia"/>
        </w:rPr>
        <w:t>168</w:t>
      </w:r>
      <w:r>
        <w:rPr>
          <w:rFonts w:hint="eastAsia"/>
        </w:rPr>
        <w:t>次会议上通过了以下结论性意见。</w:t>
      </w:r>
    </w:p>
    <w:p w:rsidR="007201CE" w:rsidRPr="00364E35" w:rsidRDefault="00141185" w:rsidP="00141185">
      <w:pPr>
        <w:pStyle w:val="SingleTxtGC"/>
      </w:pPr>
      <w:r>
        <w:t>2.</w:t>
      </w:r>
      <w:r>
        <w:tab/>
      </w:r>
      <w:r w:rsidR="007201CE" w:rsidRPr="00141185">
        <w:rPr>
          <w:rFonts w:hint="eastAsia"/>
          <w:spacing w:val="-2"/>
        </w:rPr>
        <w:t>委员会欢迎厄瓜多尔提交初次报</w:t>
      </w:r>
      <w:r w:rsidR="007201CE" w:rsidRPr="00141185">
        <w:rPr>
          <w:rFonts w:hint="eastAsia"/>
          <w:spacing w:val="-4"/>
        </w:rPr>
        <w:t>告，并</w:t>
      </w:r>
      <w:r w:rsidR="007201CE" w:rsidRPr="00141185">
        <w:rPr>
          <w:rFonts w:hint="eastAsia"/>
          <w:spacing w:val="-2"/>
        </w:rPr>
        <w:t>感谢该国对</w:t>
      </w:r>
      <w:r w:rsidR="007201CE" w:rsidRPr="00141185">
        <w:rPr>
          <w:spacing w:val="-2"/>
        </w:rPr>
        <w:t>委员会编写的问题</w:t>
      </w:r>
      <w:r w:rsidR="007201CE" w:rsidRPr="00141185">
        <w:rPr>
          <w:spacing w:val="-4"/>
        </w:rPr>
        <w:t>单</w:t>
      </w:r>
      <w:r w:rsidR="007201CE" w:rsidRPr="00141185">
        <w:rPr>
          <w:spacing w:val="-2"/>
        </w:rPr>
        <w:t>(CRPD/</w:t>
      </w:r>
      <w:r>
        <w:rPr>
          <w:spacing w:val="-2"/>
        </w:rPr>
        <w:t xml:space="preserve"> </w:t>
      </w:r>
      <w:r w:rsidR="007201CE" w:rsidRPr="00141185">
        <w:rPr>
          <w:spacing w:val="-2"/>
        </w:rPr>
        <w:t>C/</w:t>
      </w:r>
      <w:r w:rsidR="007201CE" w:rsidRPr="00364E35">
        <w:t>ECU/Q/1)</w:t>
      </w:r>
      <w:r w:rsidR="007201CE">
        <w:rPr>
          <w:rFonts w:hint="eastAsia"/>
        </w:rPr>
        <w:t>做出</w:t>
      </w:r>
      <w:r w:rsidR="007201CE">
        <w:t>书面答复</w:t>
      </w:r>
      <w:r w:rsidR="007201CE" w:rsidRPr="00364E35">
        <w:t>(CRPD/C/ECU/Q/1/Add.1)</w:t>
      </w:r>
      <w:r w:rsidR="007201CE">
        <w:t>。</w:t>
      </w:r>
    </w:p>
    <w:p w:rsidR="007201CE" w:rsidRPr="00364E35" w:rsidRDefault="007201CE" w:rsidP="007201CE">
      <w:pPr>
        <w:pStyle w:val="SingleTxtGC"/>
      </w:pPr>
      <w:r w:rsidRPr="00364E35">
        <w:t>3.</w:t>
      </w:r>
      <w:r w:rsidRPr="00364E35">
        <w:tab/>
      </w:r>
      <w:r>
        <w:rPr>
          <w:rFonts w:hint="eastAsia"/>
        </w:rPr>
        <w:t>委员会赞赏审议期间开展的建设性对话，并赞扬缔约国派出高级别代表团。</w:t>
      </w:r>
    </w:p>
    <w:p w:rsidR="007201CE" w:rsidRPr="00364E35" w:rsidRDefault="007201CE" w:rsidP="007201CE">
      <w:pPr>
        <w:pStyle w:val="HChGC"/>
      </w:pPr>
      <w:r>
        <w:tab/>
      </w:r>
      <w:r>
        <w:rPr>
          <w:rFonts w:hint="eastAsia"/>
        </w:rPr>
        <w:t>二</w:t>
      </w:r>
      <w:r w:rsidRPr="00364E35">
        <w:t>.</w:t>
      </w:r>
      <w:r w:rsidRPr="00364E35">
        <w:tab/>
      </w:r>
      <w:r>
        <w:rPr>
          <w:rFonts w:hint="eastAsia"/>
        </w:rPr>
        <w:t>积极方面</w:t>
      </w:r>
    </w:p>
    <w:p w:rsidR="007201CE" w:rsidRPr="00364E35" w:rsidRDefault="007201CE" w:rsidP="007201CE">
      <w:pPr>
        <w:pStyle w:val="SingleTxtGC"/>
      </w:pPr>
      <w:r w:rsidRPr="00364E35">
        <w:t>4.</w:t>
      </w:r>
      <w:r w:rsidRPr="00364E35">
        <w:tab/>
      </w:r>
      <w:r>
        <w:rPr>
          <w:rFonts w:hint="eastAsia"/>
        </w:rPr>
        <w:t>委员会欢迎《厄瓜多尔宪法》</w:t>
      </w:r>
      <w:r w:rsidRPr="00364E35">
        <w:t>(2008</w:t>
      </w:r>
      <w:r>
        <w:rPr>
          <w:rFonts w:hint="eastAsia"/>
        </w:rPr>
        <w:t>年</w:t>
      </w:r>
      <w:r w:rsidRPr="00364E35">
        <w:t>)</w:t>
      </w:r>
      <w:r>
        <w:rPr>
          <w:rFonts w:hint="eastAsia"/>
        </w:rPr>
        <w:t>载有关于残疾人权利的条款，尤其是第</w:t>
      </w:r>
      <w:r w:rsidRPr="00364E35">
        <w:t>11</w:t>
      </w:r>
      <w:r>
        <w:rPr>
          <w:rFonts w:hint="eastAsia"/>
        </w:rPr>
        <w:t>条、第</w:t>
      </w:r>
      <w:r w:rsidRPr="00364E35">
        <w:t>16</w:t>
      </w:r>
      <w:r>
        <w:rPr>
          <w:rFonts w:hint="eastAsia"/>
        </w:rPr>
        <w:t>条、第</w:t>
      </w:r>
      <w:r w:rsidRPr="00364E35">
        <w:t>35</w:t>
      </w:r>
      <w:r>
        <w:rPr>
          <w:rFonts w:hint="eastAsia"/>
        </w:rPr>
        <w:t>条、第</w:t>
      </w:r>
      <w:r w:rsidRPr="00364E35">
        <w:t>42</w:t>
      </w:r>
      <w:r>
        <w:rPr>
          <w:rFonts w:hint="eastAsia"/>
        </w:rPr>
        <w:t>条、第</w:t>
      </w:r>
      <w:r w:rsidRPr="00364E35">
        <w:t>46</w:t>
      </w:r>
      <w:r>
        <w:rPr>
          <w:rFonts w:hint="eastAsia"/>
        </w:rPr>
        <w:t>至第</w:t>
      </w:r>
      <w:r w:rsidRPr="00364E35">
        <w:t>49</w:t>
      </w:r>
      <w:r>
        <w:rPr>
          <w:rFonts w:hint="eastAsia"/>
        </w:rPr>
        <w:t>条、第</w:t>
      </w:r>
      <w:r w:rsidRPr="00364E35">
        <w:t>51</w:t>
      </w:r>
      <w:r>
        <w:rPr>
          <w:rFonts w:hint="eastAsia"/>
        </w:rPr>
        <w:t>条、第</w:t>
      </w:r>
      <w:r w:rsidRPr="00364E35">
        <w:t>61</w:t>
      </w:r>
      <w:r>
        <w:rPr>
          <w:rFonts w:hint="eastAsia"/>
        </w:rPr>
        <w:t>条第</w:t>
      </w:r>
      <w:r w:rsidRPr="00364E35">
        <w:t>7</w:t>
      </w:r>
      <w:r>
        <w:rPr>
          <w:rFonts w:hint="eastAsia"/>
        </w:rPr>
        <w:t>款、第</w:t>
      </w:r>
      <w:r w:rsidRPr="00364E35">
        <w:t>62</w:t>
      </w:r>
      <w:r>
        <w:rPr>
          <w:rFonts w:hint="eastAsia"/>
        </w:rPr>
        <w:t>条、第</w:t>
      </w:r>
      <w:r w:rsidRPr="00364E35">
        <w:t>66</w:t>
      </w:r>
      <w:r>
        <w:t>条、第</w:t>
      </w:r>
      <w:r w:rsidRPr="00364E35">
        <w:t>81</w:t>
      </w:r>
      <w:r>
        <w:t>条、第</w:t>
      </w:r>
      <w:r w:rsidRPr="00364E35">
        <w:t>330</w:t>
      </w:r>
      <w:r>
        <w:t>条、第</w:t>
      </w:r>
      <w:r w:rsidRPr="00364E35">
        <w:t>341</w:t>
      </w:r>
      <w:r>
        <w:t>条、第</w:t>
      </w:r>
      <w:r w:rsidRPr="00364E35">
        <w:t>369</w:t>
      </w:r>
      <w:r>
        <w:t>条、第</w:t>
      </w:r>
      <w:r>
        <w:t>373</w:t>
      </w:r>
      <w:r>
        <w:rPr>
          <w:rFonts w:hint="eastAsia"/>
        </w:rPr>
        <w:t>条和第</w:t>
      </w:r>
      <w:r w:rsidRPr="00364E35">
        <w:t>381</w:t>
      </w:r>
      <w:r>
        <w:rPr>
          <w:rFonts w:hint="eastAsia"/>
        </w:rPr>
        <w:t>条。</w:t>
      </w:r>
    </w:p>
    <w:p w:rsidR="007201CE" w:rsidRPr="00364E35" w:rsidRDefault="007201CE" w:rsidP="007201CE">
      <w:pPr>
        <w:pStyle w:val="SingleTxtGC"/>
      </w:pPr>
      <w:r w:rsidRPr="00364E35">
        <w:t>5.</w:t>
      </w:r>
      <w:r w:rsidRPr="00364E35">
        <w:tab/>
      </w:r>
      <w:r>
        <w:rPr>
          <w:rFonts w:hint="eastAsia"/>
        </w:rPr>
        <w:t>委员会赞赏地指出，缔约国通过了旨在增进残疾人权利的法律、公共政策和举措，尤其是：</w:t>
      </w:r>
    </w:p>
    <w:p w:rsidR="007201CE" w:rsidRPr="00364E35" w:rsidRDefault="007201CE" w:rsidP="008034A3">
      <w:pPr>
        <w:pStyle w:val="SingleTxtGC"/>
        <w:numPr>
          <w:ilvl w:val="0"/>
          <w:numId w:val="5"/>
        </w:numPr>
      </w:pPr>
      <w:r>
        <w:rPr>
          <w:rFonts w:hint="eastAsia"/>
        </w:rPr>
        <w:t>《残疾法》</w:t>
      </w:r>
      <w:r w:rsidRPr="00364E35">
        <w:rPr>
          <w:rFonts w:eastAsia="Calibri"/>
        </w:rPr>
        <w:t>(</w:t>
      </w:r>
      <w:r w:rsidRPr="007B32A7">
        <w:rPr>
          <w:rFonts w:hint="eastAsia"/>
        </w:rPr>
        <w:t>第</w:t>
      </w:r>
      <w:r w:rsidRPr="00364E35">
        <w:rPr>
          <w:rFonts w:eastAsia="Calibri"/>
        </w:rPr>
        <w:t>180</w:t>
      </w:r>
      <w:r w:rsidRPr="007B32A7">
        <w:rPr>
          <w:rFonts w:hint="eastAsia"/>
        </w:rPr>
        <w:t>号法</w:t>
      </w:r>
      <w:r w:rsidRPr="00364E35">
        <w:rPr>
          <w:rFonts w:eastAsia="Calibri"/>
        </w:rPr>
        <w:t>)</w:t>
      </w:r>
      <w:r w:rsidRPr="007B32A7">
        <w:rPr>
          <w:rFonts w:hint="eastAsia"/>
        </w:rPr>
        <w:t>，该法</w:t>
      </w:r>
      <w:r>
        <w:rPr>
          <w:rFonts w:hint="eastAsia"/>
        </w:rPr>
        <w:t>建立了</w:t>
      </w:r>
      <w:r w:rsidRPr="007B32A7">
        <w:rPr>
          <w:rFonts w:hint="eastAsia"/>
        </w:rPr>
        <w:t>残疾</w:t>
      </w:r>
      <w:r>
        <w:rPr>
          <w:rFonts w:hint="eastAsia"/>
        </w:rPr>
        <w:t>人权利保护</w:t>
      </w:r>
      <w:r w:rsidRPr="007B32A7">
        <w:rPr>
          <w:rFonts w:hint="eastAsia"/>
        </w:rPr>
        <w:t>框架</w:t>
      </w:r>
      <w:r>
        <w:rPr>
          <w:rFonts w:hint="eastAsia"/>
        </w:rPr>
        <w:t>；</w:t>
      </w:r>
    </w:p>
    <w:p w:rsidR="007201CE" w:rsidRPr="00364E35" w:rsidRDefault="007201CE" w:rsidP="008034A3">
      <w:pPr>
        <w:pStyle w:val="SingleTxtGC"/>
        <w:numPr>
          <w:ilvl w:val="0"/>
          <w:numId w:val="5"/>
        </w:numPr>
      </w:pPr>
      <w:r>
        <w:rPr>
          <w:rFonts w:hint="eastAsia"/>
        </w:rPr>
        <w:lastRenderedPageBreak/>
        <w:t>《</w:t>
      </w:r>
      <w:r>
        <w:t>2009-2013</w:t>
      </w:r>
      <w:r>
        <w:t>年</w:t>
      </w:r>
      <w:r>
        <w:rPr>
          <w:rFonts w:hint="eastAsia"/>
        </w:rPr>
        <w:t>实现</w:t>
      </w:r>
      <w:r>
        <w:t>美好生活国家计划》，</w:t>
      </w:r>
      <w:r>
        <w:rPr>
          <w:rFonts w:hint="eastAsia"/>
        </w:rPr>
        <w:t>该计划属于《国家发展计划》的一部分；</w:t>
      </w:r>
    </w:p>
    <w:p w:rsidR="007201CE" w:rsidRPr="00364E35" w:rsidRDefault="007201CE" w:rsidP="008034A3">
      <w:pPr>
        <w:pStyle w:val="SingleTxtGC"/>
        <w:numPr>
          <w:ilvl w:val="0"/>
          <w:numId w:val="5"/>
        </w:numPr>
      </w:pPr>
      <w:r>
        <w:rPr>
          <w:rFonts w:hint="eastAsia"/>
        </w:rPr>
        <w:t>开展了</w:t>
      </w:r>
      <w:r>
        <w:t>曼努埃拉</w:t>
      </w:r>
      <w:r w:rsidR="008034A3">
        <w:rPr>
          <w:rFonts w:hint="eastAsia"/>
        </w:rPr>
        <w:t>·</w:t>
      </w:r>
      <w:r>
        <w:t>埃斯佩霍团结</w:t>
      </w:r>
      <w:r>
        <w:rPr>
          <w:rFonts w:hint="eastAsia"/>
        </w:rPr>
        <w:t>行动。</w:t>
      </w:r>
    </w:p>
    <w:p w:rsidR="007201CE" w:rsidRPr="00364E35" w:rsidRDefault="007201CE" w:rsidP="007201CE">
      <w:pPr>
        <w:pStyle w:val="SingleTxtGC"/>
      </w:pPr>
      <w:r w:rsidRPr="00364E35">
        <w:t>6.</w:t>
      </w:r>
      <w:r w:rsidRPr="00364E35">
        <w:tab/>
      </w:r>
      <w:r>
        <w:t>委员会</w:t>
      </w:r>
      <w:r>
        <w:rPr>
          <w:rFonts w:hint="eastAsia"/>
        </w:rPr>
        <w:t>欢迎缔约国于</w:t>
      </w:r>
      <w:r w:rsidRPr="00364E35">
        <w:t>2013</w:t>
      </w:r>
      <w:r>
        <w:rPr>
          <w:rFonts w:hint="eastAsia"/>
        </w:rPr>
        <w:t>年应共和国副总统办公厅的倡议，设立了残疾人事务技术秘书处，完善残疾人事务制度框架。</w:t>
      </w:r>
    </w:p>
    <w:p w:rsidR="007201CE" w:rsidRPr="00364E35" w:rsidRDefault="007201CE" w:rsidP="007201CE">
      <w:pPr>
        <w:pStyle w:val="SingleTxtGC"/>
      </w:pPr>
      <w:r w:rsidRPr="00364E35">
        <w:t>7.</w:t>
      </w:r>
      <w:r w:rsidRPr="00364E35">
        <w:tab/>
      </w:r>
      <w:r>
        <w:t>委员会</w:t>
      </w:r>
      <w:r>
        <w:rPr>
          <w:rFonts w:hint="eastAsia"/>
        </w:rPr>
        <w:t>满意地指出，近年来缔约国增加了用于保护残疾人权利的预算拨款。</w:t>
      </w:r>
    </w:p>
    <w:p w:rsidR="007201CE" w:rsidRPr="00364E35" w:rsidRDefault="007201CE" w:rsidP="008034A3">
      <w:pPr>
        <w:pStyle w:val="HChGC"/>
      </w:pPr>
      <w:r w:rsidRPr="00364E35">
        <w:tab/>
      </w:r>
      <w:r>
        <w:rPr>
          <w:rFonts w:hint="eastAsia"/>
        </w:rPr>
        <w:t>三</w:t>
      </w:r>
      <w:r w:rsidRPr="00364E35">
        <w:t>.</w:t>
      </w:r>
      <w:r w:rsidRPr="00364E35">
        <w:tab/>
      </w:r>
      <w:r>
        <w:t>主要关注领域和建议</w:t>
      </w:r>
    </w:p>
    <w:p w:rsidR="007201CE" w:rsidRPr="00364E35" w:rsidRDefault="007201CE" w:rsidP="008034A3">
      <w:pPr>
        <w:pStyle w:val="H1GC"/>
      </w:pPr>
      <w:r w:rsidRPr="00364E35">
        <w:tab/>
        <w:t>A.</w:t>
      </w:r>
      <w:r w:rsidRPr="00364E35">
        <w:tab/>
      </w:r>
      <w:r>
        <w:t>一般原则和义务</w:t>
      </w:r>
      <w:r>
        <w:t>(</w:t>
      </w:r>
      <w:r>
        <w:t>第一条至第四条</w:t>
      </w:r>
      <w:r>
        <w:t>)</w:t>
      </w:r>
    </w:p>
    <w:p w:rsidR="007201CE" w:rsidRPr="00364E35" w:rsidRDefault="007201CE" w:rsidP="007201CE">
      <w:pPr>
        <w:pStyle w:val="SingleTxtGC"/>
      </w:pPr>
      <w:r w:rsidRPr="00364E35">
        <w:t>8.</w:t>
      </w:r>
      <w:r w:rsidRPr="00364E35">
        <w:tab/>
      </w:r>
      <w:r>
        <w:t>委员会</w:t>
      </w:r>
      <w:r>
        <w:rPr>
          <w:rFonts w:hint="eastAsia"/>
        </w:rPr>
        <w:t>感到关切的是，虽然缔约国在批准《公约》后发布了《残疾人事务组织法》，但是对“残疾”的定义和理解仍然停留在医学层面。这种“残疾人”定义强调他们的能力有限，而忽略了残疾在社会和关系层面的因素。</w:t>
      </w:r>
    </w:p>
    <w:p w:rsidR="007201CE" w:rsidRPr="008034A3" w:rsidRDefault="007201CE" w:rsidP="008034A3">
      <w:pPr>
        <w:pStyle w:val="SingleTxtGC"/>
        <w:rPr>
          <w:rFonts w:ascii="Time New Roman" w:eastAsia="黑体" w:hAnsi="Time New Roman" w:hint="eastAsia"/>
        </w:rPr>
      </w:pPr>
      <w:r w:rsidRPr="008034A3">
        <w:rPr>
          <w:rFonts w:ascii="Time New Roman" w:eastAsia="黑体" w:hAnsi="Time New Roman"/>
        </w:rPr>
        <w:t>9.</w:t>
      </w:r>
      <w:r w:rsidRPr="008034A3">
        <w:rPr>
          <w:rFonts w:ascii="Time New Roman" w:eastAsia="黑体" w:hAnsi="Time New Roman"/>
        </w:rPr>
        <w:tab/>
      </w:r>
      <w:r w:rsidRPr="008034A3">
        <w:rPr>
          <w:rFonts w:ascii="Time New Roman" w:eastAsia="黑体" w:hAnsi="Time New Roman"/>
        </w:rPr>
        <w:t>委员会建议</w:t>
      </w:r>
      <w:r w:rsidRPr="008034A3">
        <w:rPr>
          <w:rFonts w:ascii="Time New Roman" w:eastAsia="黑体" w:hAnsi="Time New Roman" w:hint="eastAsia"/>
        </w:rPr>
        <w:t>缔约国全面审查《残疾人事务组织法》，使之符合《公约》的一般原则和具体规定，尤其是在有关不歧视和向立足人权模式全面过渡的问题上。</w:t>
      </w:r>
    </w:p>
    <w:p w:rsidR="007201CE" w:rsidRPr="00364E35" w:rsidRDefault="007201CE" w:rsidP="007201CE">
      <w:pPr>
        <w:pStyle w:val="SingleTxtGC"/>
      </w:pPr>
      <w:r w:rsidRPr="00364E35">
        <w:t>10</w:t>
      </w:r>
      <w:r w:rsidR="008034A3">
        <w:t xml:space="preserve">.  </w:t>
      </w:r>
      <w:r>
        <w:t>委员会</w:t>
      </w:r>
      <w:r>
        <w:rPr>
          <w:rFonts w:hint="eastAsia"/>
        </w:rPr>
        <w:t>表示关切的是，尚未对缔约国的法律框架进行全面审查，使教育、交通、城建、防止暴力、健康、家庭关系、就业、文化和体育等方面的法律符合《公约》所载各项权利。</w:t>
      </w:r>
    </w:p>
    <w:p w:rsidR="007201CE" w:rsidRPr="008034A3" w:rsidRDefault="007201CE" w:rsidP="008034A3">
      <w:pPr>
        <w:pStyle w:val="SingleTxtGC"/>
        <w:rPr>
          <w:rFonts w:ascii="Time New Roman" w:eastAsia="黑体" w:hAnsi="Time New Roman" w:hint="eastAsia"/>
        </w:rPr>
      </w:pPr>
      <w:r w:rsidRPr="008034A3">
        <w:rPr>
          <w:rFonts w:ascii="Time New Roman" w:eastAsia="黑体" w:hAnsi="Time New Roman"/>
        </w:rPr>
        <w:t>11</w:t>
      </w:r>
      <w:r w:rsidR="008034A3" w:rsidRPr="008034A3">
        <w:rPr>
          <w:rFonts w:ascii="Time New Roman" w:eastAsia="黑体" w:hAnsi="Time New Roman"/>
        </w:rPr>
        <w:t xml:space="preserve">.  </w:t>
      </w:r>
      <w:r w:rsidRPr="008034A3">
        <w:rPr>
          <w:rFonts w:ascii="Time New Roman" w:eastAsia="黑体" w:hAnsi="Time New Roman"/>
        </w:rPr>
        <w:t>委员会建议</w:t>
      </w:r>
      <w:r w:rsidRPr="008034A3">
        <w:rPr>
          <w:rFonts w:ascii="Time New Roman" w:eastAsia="黑体" w:hAnsi="Time New Roman" w:hint="eastAsia"/>
        </w:rPr>
        <w:t>缔约国设立由独立的残疾人组织和政府各部门组成的多方委员会，系统审查有关教育、交通、城建、防止暴力、健康、家庭关系、就业、文化和体育的法律框架，使之符合《公约》的规定。</w:t>
      </w:r>
    </w:p>
    <w:p w:rsidR="007201CE" w:rsidRPr="00364E35" w:rsidRDefault="007201CE" w:rsidP="007201CE">
      <w:pPr>
        <w:pStyle w:val="SingleTxtGC"/>
      </w:pPr>
      <w:r w:rsidRPr="00364E35">
        <w:t>12</w:t>
      </w:r>
      <w:r w:rsidR="008034A3">
        <w:t xml:space="preserve">.  </w:t>
      </w:r>
      <w:r>
        <w:t>委员会</w:t>
      </w:r>
      <w:r>
        <w:rPr>
          <w:rFonts w:hint="eastAsia"/>
        </w:rPr>
        <w:t>关切地指出，残疾人组织，包括代表残疾妇女和儿童的组织，没有以独立提交材料的方式，参与委员会对缔约国初次报告的审议工作。委员会还关切地指出，缔约国缺少允许政府机构之外的残疾人组织独立参与审议的机制。</w:t>
      </w:r>
    </w:p>
    <w:p w:rsidR="007201CE" w:rsidRPr="008034A3" w:rsidRDefault="007201CE" w:rsidP="008034A3">
      <w:pPr>
        <w:pStyle w:val="SingleTxtGC"/>
        <w:rPr>
          <w:rFonts w:ascii="Time New Roman" w:eastAsia="黑体" w:hAnsi="Time New Roman" w:hint="eastAsia"/>
        </w:rPr>
      </w:pPr>
      <w:r w:rsidRPr="008034A3">
        <w:rPr>
          <w:rFonts w:ascii="Time New Roman" w:eastAsia="黑体" w:hAnsi="Time New Roman"/>
        </w:rPr>
        <w:t>13</w:t>
      </w:r>
      <w:r w:rsidR="008034A3" w:rsidRPr="008034A3">
        <w:rPr>
          <w:rFonts w:ascii="Time New Roman" w:eastAsia="黑体" w:hAnsi="Time New Roman"/>
        </w:rPr>
        <w:t xml:space="preserve">.  </w:t>
      </w:r>
      <w:r w:rsidRPr="008034A3">
        <w:rPr>
          <w:rFonts w:ascii="Time New Roman" w:eastAsia="黑体" w:hAnsi="Time New Roman"/>
        </w:rPr>
        <w:t>委员会</w:t>
      </w:r>
      <w:r w:rsidRPr="008034A3">
        <w:rPr>
          <w:rFonts w:ascii="Time New Roman" w:eastAsia="黑体" w:hAnsi="Time New Roman" w:hint="eastAsia"/>
        </w:rPr>
        <w:t>吁请缔约国采取措施，推动代表残疾妇女和儿童、土著民族、非洲裔厄瓜多尔人、蒙特比奥人的组织有效参与残疾人事务的决策。委员会敦促缔约国保障残疾人组织能够独立自主地参与通过促进执行和监测《公约》的立法、政策和方案，并为此做出贡献。</w:t>
      </w:r>
    </w:p>
    <w:p w:rsidR="007201CE" w:rsidRPr="00364E35" w:rsidRDefault="007201CE" w:rsidP="008034A3">
      <w:pPr>
        <w:pStyle w:val="H1GC"/>
      </w:pPr>
      <w:r w:rsidRPr="00364E35">
        <w:tab/>
        <w:t>B</w:t>
      </w:r>
      <w:r w:rsidR="008034A3">
        <w:t>.</w:t>
      </w:r>
      <w:r w:rsidR="008034A3">
        <w:tab/>
      </w:r>
      <w:r>
        <w:t>具体权利</w:t>
      </w:r>
      <w:r>
        <w:t>(</w:t>
      </w:r>
      <w:r>
        <w:t>第五条至第三十条</w:t>
      </w:r>
      <w:r>
        <w:t>)</w:t>
      </w:r>
    </w:p>
    <w:p w:rsidR="007201CE" w:rsidRPr="00364E35" w:rsidRDefault="007201CE" w:rsidP="00BF3A74">
      <w:pPr>
        <w:pStyle w:val="H23GC"/>
      </w:pPr>
      <w:r w:rsidRPr="00364E35">
        <w:tab/>
      </w:r>
      <w:r w:rsidRPr="00364E35">
        <w:tab/>
      </w:r>
      <w:r>
        <w:t>平等和不歧视</w:t>
      </w:r>
      <w:r>
        <w:t>(</w:t>
      </w:r>
      <w:r>
        <w:t>第五条</w:t>
      </w:r>
      <w:r>
        <w:t>)</w:t>
      </w:r>
    </w:p>
    <w:p w:rsidR="007201CE" w:rsidRPr="00364E35" w:rsidRDefault="007201CE" w:rsidP="007201CE">
      <w:pPr>
        <w:pStyle w:val="SingleTxtGC"/>
      </w:pPr>
      <w:r w:rsidRPr="00364E35">
        <w:t>14</w:t>
      </w:r>
      <w:r w:rsidR="008034A3">
        <w:t xml:space="preserve">.  </w:t>
      </w:r>
      <w:r>
        <w:t>委员会感到关切的是，</w:t>
      </w:r>
      <w:r>
        <w:rPr>
          <w:rFonts w:hint="eastAsia"/>
        </w:rPr>
        <w:t>厄瓜多尔立法中没有“合理便利”的定义，也不将拒绝提供此类便利视为一种歧视。</w:t>
      </w:r>
      <w:r>
        <w:t>委员会</w:t>
      </w:r>
      <w:r>
        <w:rPr>
          <w:rFonts w:hint="eastAsia"/>
        </w:rPr>
        <w:t>还感到关切的是，厄瓜多尔缺乏对歧视</w:t>
      </w:r>
      <w:r>
        <w:rPr>
          <w:rFonts w:hint="eastAsia"/>
        </w:rPr>
        <w:lastRenderedPageBreak/>
        <w:t>残疾人的行为实施制裁或查明和制裁交叉歧视的制度机制，也没有确保此类行为不再发生的措施。</w:t>
      </w:r>
    </w:p>
    <w:p w:rsidR="007201CE" w:rsidRPr="00BF3A74" w:rsidRDefault="007201CE" w:rsidP="00BF3A74">
      <w:pPr>
        <w:pStyle w:val="SingleTxtGC"/>
        <w:rPr>
          <w:rFonts w:ascii="Time New Roman" w:eastAsia="黑体" w:hAnsi="Time New Roman" w:hint="eastAsia"/>
        </w:rPr>
      </w:pPr>
      <w:r w:rsidRPr="00BF3A74">
        <w:rPr>
          <w:rFonts w:ascii="Time New Roman" w:eastAsia="黑体" w:hAnsi="Time New Roman"/>
        </w:rPr>
        <w:t>15</w:t>
      </w:r>
      <w:r w:rsidR="008034A3" w:rsidRPr="00BF3A74">
        <w:rPr>
          <w:rFonts w:ascii="Time New Roman" w:eastAsia="黑体" w:hAnsi="Time New Roman"/>
        </w:rPr>
        <w:t xml:space="preserve">.  </w:t>
      </w:r>
      <w:r w:rsidRPr="00BF3A74">
        <w:rPr>
          <w:rFonts w:ascii="Time New Roman" w:eastAsia="黑体" w:hAnsi="Time New Roman"/>
        </w:rPr>
        <w:t>委员会建议</w:t>
      </w:r>
      <w:r w:rsidRPr="00BF3A74">
        <w:rPr>
          <w:rFonts w:ascii="Time New Roman" w:eastAsia="黑体" w:hAnsi="Time New Roman" w:hint="eastAsia"/>
        </w:rPr>
        <w:t>，缔约国在国内法律中明确要求根据具体需要提供合理便利，规定拒绝提供此类便利构成一种基于残疾的歧视。</w:t>
      </w:r>
      <w:r w:rsidRPr="00BF3A74">
        <w:rPr>
          <w:rFonts w:ascii="Time New Roman" w:eastAsia="黑体" w:hAnsi="Time New Roman"/>
        </w:rPr>
        <w:t>委员会建议</w:t>
      </w:r>
      <w:r w:rsidRPr="00BF3A74">
        <w:rPr>
          <w:rFonts w:ascii="Time New Roman" w:eastAsia="黑体" w:hAnsi="Time New Roman" w:hint="eastAsia"/>
        </w:rPr>
        <w:t>，缔约国设立独立机构，负责处理残疾人提起的申诉和报告的案例，以制止歧视行为。此种机构应拥有足够权力，对实施交叉歧视等歧视行为的公共和私营机构进行调查和制裁。</w:t>
      </w:r>
    </w:p>
    <w:p w:rsidR="007201CE" w:rsidRPr="00364E35" w:rsidRDefault="007201CE" w:rsidP="00BF3A74">
      <w:pPr>
        <w:pStyle w:val="H23GC"/>
      </w:pPr>
      <w:r w:rsidRPr="00364E35">
        <w:tab/>
      </w:r>
      <w:r w:rsidRPr="00364E35">
        <w:tab/>
      </w:r>
      <w:r>
        <w:t>残疾妇女</w:t>
      </w:r>
      <w:r>
        <w:t>(</w:t>
      </w:r>
      <w:r>
        <w:t>第六条</w:t>
      </w:r>
      <w:r>
        <w:t>)</w:t>
      </w:r>
    </w:p>
    <w:p w:rsidR="007201CE" w:rsidRPr="00364E35" w:rsidRDefault="007201CE" w:rsidP="00BF3A74">
      <w:pPr>
        <w:pStyle w:val="SingleTxtGC"/>
      </w:pPr>
      <w:r w:rsidRPr="00364E35">
        <w:t>16</w:t>
      </w:r>
      <w:r w:rsidR="008034A3">
        <w:t xml:space="preserve">.  </w:t>
      </w:r>
      <w:r>
        <w:t>委员会</w:t>
      </w:r>
      <w:r>
        <w:rPr>
          <w:rFonts w:hint="eastAsia"/>
        </w:rPr>
        <w:t>感到关切的是，残疾妇女和女童因性别和残疾受到的社会排斥，在多种因素的作用下，使她们面临的歧视更为严重。委员会还感到关切的是，国家性别平等委员会尚未采取措施，将残疾妇女和女童的需求纳入主流，而且残疾妇女和女童不直接参与委员会的工作。</w:t>
      </w:r>
    </w:p>
    <w:p w:rsidR="007201CE" w:rsidRPr="00BF3A74" w:rsidRDefault="007201CE" w:rsidP="00BF3A74">
      <w:pPr>
        <w:pStyle w:val="SingleTxtGC"/>
        <w:rPr>
          <w:rFonts w:ascii="Time New Roman" w:eastAsia="黑体" w:hAnsi="Time New Roman" w:hint="eastAsia"/>
        </w:rPr>
      </w:pPr>
      <w:r w:rsidRPr="00BF3A74">
        <w:rPr>
          <w:rFonts w:ascii="Time New Roman" w:eastAsia="黑体" w:hAnsi="Time New Roman"/>
        </w:rPr>
        <w:t>17</w:t>
      </w:r>
      <w:r w:rsidR="008034A3" w:rsidRPr="00BF3A74">
        <w:rPr>
          <w:rFonts w:ascii="Time New Roman" w:eastAsia="黑体" w:hAnsi="Time New Roman"/>
        </w:rPr>
        <w:t xml:space="preserve">.  </w:t>
      </w:r>
      <w:r w:rsidRPr="00BF3A74">
        <w:rPr>
          <w:rFonts w:ascii="Time New Roman" w:eastAsia="黑体" w:hAnsi="Time New Roman"/>
        </w:rPr>
        <w:t>委员会建议：</w:t>
      </w:r>
    </w:p>
    <w:p w:rsidR="007201CE" w:rsidRPr="00BF3A74" w:rsidRDefault="007201CE" w:rsidP="00BF3A74">
      <w:pPr>
        <w:pStyle w:val="SingleTxtGC"/>
        <w:numPr>
          <w:ilvl w:val="0"/>
          <w:numId w:val="7"/>
        </w:numPr>
        <w:rPr>
          <w:rFonts w:ascii="Time New Roman" w:eastAsia="黑体" w:hAnsi="Time New Roman" w:hint="eastAsia"/>
        </w:rPr>
      </w:pPr>
      <w:r w:rsidRPr="00BF3A74">
        <w:rPr>
          <w:rFonts w:ascii="Time New Roman" w:eastAsia="黑体" w:hAnsi="Time New Roman" w:hint="eastAsia"/>
        </w:rPr>
        <w:t>缔约国执行面向残疾妇女和女童的法律，开展各种方案和活动，包括采取补救措施和平权行动，通过确保她们有效参与制订和执行此类措施，在城市和乡村，在生活中的所有领域消除对她们的歧视；</w:t>
      </w:r>
    </w:p>
    <w:p w:rsidR="007201CE" w:rsidRPr="00BF3A74" w:rsidRDefault="007201CE" w:rsidP="00BF3A74">
      <w:pPr>
        <w:pStyle w:val="SingleTxtGC"/>
        <w:numPr>
          <w:ilvl w:val="0"/>
          <w:numId w:val="7"/>
        </w:numPr>
        <w:rPr>
          <w:rFonts w:ascii="Time New Roman" w:eastAsia="黑体" w:hAnsi="Time New Roman" w:hint="eastAsia"/>
        </w:rPr>
      </w:pPr>
      <w:r w:rsidRPr="00BF3A74">
        <w:rPr>
          <w:rFonts w:ascii="Time New Roman" w:eastAsia="黑体" w:hAnsi="Time New Roman" w:hint="eastAsia"/>
        </w:rPr>
        <w:t>国家性别平等委员会在工作中采取措施，将残疾视为一种受排斥的因素，处理针对妇女的交叉歧视问题，并确保残疾妇女直接参与委员会的工作。</w:t>
      </w:r>
    </w:p>
    <w:p w:rsidR="007201CE" w:rsidRPr="00364E35" w:rsidRDefault="007201CE" w:rsidP="00BF3A74">
      <w:pPr>
        <w:pStyle w:val="H23GC"/>
      </w:pPr>
      <w:r w:rsidRPr="00364E35">
        <w:tab/>
      </w:r>
      <w:r w:rsidRPr="00364E35">
        <w:tab/>
      </w:r>
      <w:r>
        <w:t>残疾儿童</w:t>
      </w:r>
      <w:r>
        <w:t>(</w:t>
      </w:r>
      <w:r>
        <w:t>第七条</w:t>
      </w:r>
      <w:r>
        <w:t>)</w:t>
      </w:r>
    </w:p>
    <w:p w:rsidR="007201CE" w:rsidRPr="00364E35" w:rsidRDefault="007201CE" w:rsidP="00BF3A74">
      <w:pPr>
        <w:pStyle w:val="SingleTxtGC"/>
      </w:pPr>
      <w:r w:rsidRPr="00364E35">
        <w:t>18</w:t>
      </w:r>
      <w:r w:rsidR="008034A3">
        <w:t xml:space="preserve">.  </w:t>
      </w:r>
      <w:r>
        <w:t>委员会</w:t>
      </w:r>
      <w:r w:rsidRPr="00B154CD">
        <w:rPr>
          <w:rFonts w:hint="eastAsia"/>
        </w:rPr>
        <w:t>感到关切的是，</w:t>
      </w:r>
      <w:r>
        <w:rPr>
          <w:rFonts w:hint="eastAsia"/>
        </w:rPr>
        <w:t>尽管厄瓜多尔的残疾人共同做出努力，但仍未建立专门机构负责残疾儿童事务，也没有任何框架或激励措施，推动设立残疾儿童组织。</w:t>
      </w:r>
    </w:p>
    <w:p w:rsidR="007201CE" w:rsidRPr="00BF3A74" w:rsidRDefault="007201CE" w:rsidP="00BF3A74">
      <w:pPr>
        <w:pStyle w:val="SingleTxtGC"/>
        <w:rPr>
          <w:rFonts w:ascii="Time New Roman" w:eastAsia="黑体" w:hAnsi="Time New Roman" w:hint="eastAsia"/>
        </w:rPr>
      </w:pPr>
      <w:r w:rsidRPr="00BF3A74">
        <w:rPr>
          <w:rFonts w:ascii="Time New Roman" w:eastAsia="黑体" w:hAnsi="Time New Roman"/>
        </w:rPr>
        <w:t>19</w:t>
      </w:r>
      <w:r w:rsidR="008034A3" w:rsidRPr="00BF3A74">
        <w:rPr>
          <w:rFonts w:ascii="Time New Roman" w:eastAsia="黑体" w:hAnsi="Time New Roman"/>
        </w:rPr>
        <w:t xml:space="preserve">.  </w:t>
      </w:r>
      <w:r w:rsidRPr="00BF3A74">
        <w:rPr>
          <w:rFonts w:ascii="Time New Roman" w:eastAsia="黑体" w:hAnsi="Time New Roman"/>
        </w:rPr>
        <w:t>委员会建议</w:t>
      </w:r>
      <w:r w:rsidRPr="00BF3A74">
        <w:rPr>
          <w:rFonts w:ascii="Time New Roman" w:eastAsia="黑体" w:hAnsi="Time New Roman" w:hint="eastAsia"/>
        </w:rPr>
        <w:t>，缔约国在支持残疾人组织的鼓励措施中包含促进残疾儿童参与的具体内容，以便保持其身份特性，推动他们主动参与保护自身的权利。</w:t>
      </w:r>
    </w:p>
    <w:p w:rsidR="007201CE" w:rsidRPr="00364E35" w:rsidRDefault="007201CE" w:rsidP="00BF3A74">
      <w:pPr>
        <w:pStyle w:val="H23GC"/>
      </w:pPr>
      <w:r w:rsidRPr="00364E35">
        <w:tab/>
      </w:r>
      <w:r w:rsidRPr="00364E35">
        <w:tab/>
      </w:r>
      <w:r>
        <w:t>提高认识</w:t>
      </w:r>
      <w:r>
        <w:t>(</w:t>
      </w:r>
      <w:r>
        <w:t>第八条</w:t>
      </w:r>
      <w:r>
        <w:t>)</w:t>
      </w:r>
    </w:p>
    <w:p w:rsidR="007201CE" w:rsidRPr="00364E35" w:rsidRDefault="007201CE" w:rsidP="00BF3A74">
      <w:pPr>
        <w:pStyle w:val="SingleTxtGC"/>
      </w:pPr>
      <w:r w:rsidRPr="00364E35">
        <w:t>20</w:t>
      </w:r>
      <w:r w:rsidR="008034A3">
        <w:t xml:space="preserve">.  </w:t>
      </w:r>
      <w:r>
        <w:t>委员会感到关切的是，</w:t>
      </w:r>
      <w:r>
        <w:rPr>
          <w:rFonts w:hint="eastAsia"/>
        </w:rPr>
        <w:t>缔约国将预防残疾作为残疾人权利方面的一项国策。不应将预防残疾作为一项增进残疾人权利的政策，因为这往往会给残疾人带来负面形象。</w:t>
      </w:r>
    </w:p>
    <w:p w:rsidR="007201CE" w:rsidRPr="00BF3A74" w:rsidRDefault="007201CE" w:rsidP="00BF3A74">
      <w:pPr>
        <w:pStyle w:val="SingleTxtGC"/>
        <w:rPr>
          <w:rFonts w:ascii="Time New Roman" w:eastAsia="黑体" w:hAnsi="Time New Roman" w:hint="eastAsia"/>
        </w:rPr>
      </w:pPr>
      <w:r w:rsidRPr="00BF3A74">
        <w:rPr>
          <w:rFonts w:ascii="Time New Roman" w:eastAsia="黑体" w:hAnsi="Time New Roman"/>
        </w:rPr>
        <w:t>21</w:t>
      </w:r>
      <w:r w:rsidR="008034A3" w:rsidRPr="00BF3A74">
        <w:rPr>
          <w:rFonts w:ascii="Time New Roman" w:eastAsia="黑体" w:hAnsi="Time New Roman"/>
        </w:rPr>
        <w:t xml:space="preserve">.  </w:t>
      </w:r>
      <w:r w:rsidRPr="00BF3A74">
        <w:rPr>
          <w:rFonts w:ascii="Time New Roman" w:eastAsia="黑体" w:hAnsi="Time New Roman"/>
        </w:rPr>
        <w:t>委员会建议</w:t>
      </w:r>
      <w:r w:rsidRPr="00BF3A74">
        <w:rPr>
          <w:rFonts w:ascii="Time New Roman" w:eastAsia="黑体" w:hAnsi="Time New Roman" w:hint="eastAsia"/>
        </w:rPr>
        <w:t>缔约国修改公共政策，避免将预防残疾作为一项增进残疾人权利的政策。</w:t>
      </w:r>
    </w:p>
    <w:p w:rsidR="007201CE" w:rsidRPr="00364E35" w:rsidRDefault="007201CE" w:rsidP="00BF3A74">
      <w:pPr>
        <w:pStyle w:val="H23GC"/>
      </w:pPr>
      <w:r w:rsidRPr="00364E35">
        <w:tab/>
      </w:r>
      <w:r w:rsidRPr="00364E35">
        <w:tab/>
      </w:r>
      <w:r>
        <w:t>无障碍</w:t>
      </w:r>
      <w:r>
        <w:t>(</w:t>
      </w:r>
      <w:r>
        <w:t>第九条</w:t>
      </w:r>
      <w:r>
        <w:t>)</w:t>
      </w:r>
    </w:p>
    <w:p w:rsidR="007201CE" w:rsidRPr="00364E35" w:rsidRDefault="007201CE" w:rsidP="00BF3A74">
      <w:pPr>
        <w:pStyle w:val="SingleTxtGC"/>
      </w:pPr>
      <w:r w:rsidRPr="00364E35">
        <w:t>22</w:t>
      </w:r>
      <w:r w:rsidR="008034A3">
        <w:t xml:space="preserve">.  </w:t>
      </w:r>
      <w:r>
        <w:t>委员会</w:t>
      </w:r>
      <w:r>
        <w:rPr>
          <w:rFonts w:hint="eastAsia"/>
        </w:rPr>
        <w:t>感到关切的是：</w:t>
      </w:r>
    </w:p>
    <w:p w:rsidR="007201CE" w:rsidRPr="00364E35" w:rsidRDefault="007201CE" w:rsidP="00BF3A74">
      <w:pPr>
        <w:pStyle w:val="SingleTxtGC"/>
        <w:numPr>
          <w:ilvl w:val="0"/>
          <w:numId w:val="9"/>
        </w:numPr>
      </w:pPr>
      <w:r>
        <w:rPr>
          <w:rFonts w:hint="eastAsia"/>
        </w:rPr>
        <w:lastRenderedPageBreak/>
        <w:t>《厄瓜多尔技术条例》中的“无障碍”概念，没有包含信息和通信事项，如委员会关于无障碍问题的</w:t>
      </w:r>
      <w:r>
        <w:t>第</w:t>
      </w:r>
      <w:r>
        <w:t>2</w:t>
      </w:r>
      <w:r>
        <w:t>号一般性意见</w:t>
      </w:r>
      <w:r>
        <w:t>(2014</w:t>
      </w:r>
      <w:r>
        <w:rPr>
          <w:rFonts w:hint="eastAsia"/>
        </w:rPr>
        <w:t>年</w:t>
      </w:r>
      <w:r>
        <w:t>)</w:t>
      </w:r>
      <w:r>
        <w:rPr>
          <w:rFonts w:hint="eastAsia"/>
        </w:rPr>
        <w:t>中提出的信息和通信技术</w:t>
      </w:r>
      <w:r>
        <w:rPr>
          <w:rFonts w:hint="eastAsia"/>
        </w:rPr>
        <w:t>(</w:t>
      </w:r>
      <w:r>
        <w:rPr>
          <w:rFonts w:hint="eastAsia"/>
        </w:rPr>
        <w:t>信通技术</w:t>
      </w:r>
      <w:r>
        <w:rPr>
          <w:rFonts w:hint="eastAsia"/>
        </w:rPr>
        <w:t>)</w:t>
      </w:r>
      <w:r>
        <w:rPr>
          <w:rFonts w:hint="eastAsia"/>
        </w:rPr>
        <w:t>和简化的语言工具；</w:t>
      </w:r>
    </w:p>
    <w:p w:rsidR="007201CE" w:rsidRPr="00364E35" w:rsidRDefault="007201CE" w:rsidP="00BF3A74">
      <w:pPr>
        <w:pStyle w:val="SingleTxtGC"/>
        <w:numPr>
          <w:ilvl w:val="0"/>
          <w:numId w:val="9"/>
        </w:numPr>
      </w:pPr>
      <w:r>
        <w:rPr>
          <w:rFonts w:hint="eastAsia"/>
        </w:rPr>
        <w:t>厄瓜多尔的交通网络仍然没有实现残疾人无障碍使用，残疾人不得不使用较为困难的交通方式进行日常活动，这有违于</w:t>
      </w:r>
      <w:r w:rsidRPr="00C06D0E">
        <w:rPr>
          <w:rFonts w:hint="eastAsia"/>
        </w:rPr>
        <w:t>委员会第</w:t>
      </w:r>
      <w:r w:rsidRPr="00C06D0E">
        <w:rPr>
          <w:rFonts w:hint="eastAsia"/>
        </w:rPr>
        <w:t>2</w:t>
      </w:r>
      <w:r w:rsidRPr="00C06D0E">
        <w:rPr>
          <w:rFonts w:hint="eastAsia"/>
        </w:rPr>
        <w:t>号一般性意见</w:t>
      </w:r>
      <w:r>
        <w:rPr>
          <w:rFonts w:hint="eastAsia"/>
        </w:rPr>
        <w:t>；</w:t>
      </w:r>
    </w:p>
    <w:p w:rsidR="007201CE" w:rsidRPr="00364E35" w:rsidRDefault="007201CE" w:rsidP="00BF3A74">
      <w:pPr>
        <w:pStyle w:val="SingleTxtGC"/>
        <w:numPr>
          <w:ilvl w:val="0"/>
          <w:numId w:val="9"/>
        </w:numPr>
      </w:pPr>
      <w:r>
        <w:rPr>
          <w:rFonts w:hint="eastAsia"/>
        </w:rPr>
        <w:t>虽然</w:t>
      </w:r>
      <w:r>
        <w:rPr>
          <w:rFonts w:hint="eastAsia"/>
        </w:rPr>
        <w:t>2014</w:t>
      </w:r>
      <w:r>
        <w:rPr>
          <w:rFonts w:hint="eastAsia"/>
        </w:rPr>
        <w:t>年</w:t>
      </w:r>
      <w:r>
        <w:rPr>
          <w:rFonts w:hint="eastAsia"/>
        </w:rPr>
        <w:t>1</w:t>
      </w:r>
      <w:r>
        <w:rPr>
          <w:rFonts w:hint="eastAsia"/>
        </w:rPr>
        <w:t>月通过了《网页内容无障碍指南》，但是《指南》的执行工作受到拖延，尤其是政府信息网站。</w:t>
      </w:r>
    </w:p>
    <w:p w:rsidR="007201CE" w:rsidRPr="00BF3A74" w:rsidRDefault="007201CE" w:rsidP="00BF3A74">
      <w:pPr>
        <w:pStyle w:val="SingleTxtGC"/>
        <w:rPr>
          <w:rFonts w:ascii="Time New Roman" w:eastAsia="黑体" w:hAnsi="Time New Roman" w:hint="eastAsia"/>
        </w:rPr>
      </w:pPr>
      <w:r w:rsidRPr="00BF3A74">
        <w:rPr>
          <w:rFonts w:ascii="Time New Roman" w:eastAsia="黑体" w:hAnsi="Time New Roman"/>
        </w:rPr>
        <w:t>23</w:t>
      </w:r>
      <w:r w:rsidR="008034A3" w:rsidRPr="00BF3A74">
        <w:rPr>
          <w:rFonts w:ascii="Time New Roman" w:eastAsia="黑体" w:hAnsi="Time New Roman"/>
        </w:rPr>
        <w:t xml:space="preserve">.  </w:t>
      </w:r>
      <w:r w:rsidRPr="00BF3A74">
        <w:rPr>
          <w:rFonts w:ascii="Time New Roman" w:eastAsia="黑体" w:hAnsi="Time New Roman"/>
        </w:rPr>
        <w:t>委员会建议</w:t>
      </w:r>
      <w:r w:rsidRPr="00BF3A74">
        <w:rPr>
          <w:rFonts w:ascii="Time New Roman" w:eastAsia="黑体" w:hAnsi="Time New Roman" w:hint="eastAsia"/>
        </w:rPr>
        <w:t>缔约国</w:t>
      </w:r>
      <w:r w:rsidRPr="00BF3A74">
        <w:rPr>
          <w:rFonts w:ascii="Time New Roman" w:eastAsia="黑体" w:hAnsi="Time New Roman"/>
        </w:rPr>
        <w:t>：</w:t>
      </w:r>
    </w:p>
    <w:p w:rsidR="007201CE" w:rsidRPr="00BF3A74" w:rsidRDefault="007201CE" w:rsidP="00BF3A74">
      <w:pPr>
        <w:pStyle w:val="SingleTxtGC"/>
        <w:numPr>
          <w:ilvl w:val="0"/>
          <w:numId w:val="11"/>
        </w:numPr>
        <w:rPr>
          <w:rFonts w:ascii="Time New Roman" w:eastAsia="黑体" w:hAnsi="Time New Roman" w:hint="eastAsia"/>
        </w:rPr>
      </w:pPr>
      <w:r w:rsidRPr="00BF3A74">
        <w:rPr>
          <w:rFonts w:ascii="Time New Roman" w:eastAsia="黑体" w:hAnsi="Time New Roman" w:hint="eastAsia"/>
        </w:rPr>
        <w:t>修订《厄瓜多尔技术条例》，纳入有关信息、通信技术和简化语言工具的具体无障碍要求；</w:t>
      </w:r>
    </w:p>
    <w:p w:rsidR="007201CE" w:rsidRPr="00BF3A74" w:rsidRDefault="007201CE" w:rsidP="00BF3A74">
      <w:pPr>
        <w:pStyle w:val="SingleTxtGC"/>
        <w:numPr>
          <w:ilvl w:val="0"/>
          <w:numId w:val="11"/>
        </w:numPr>
        <w:rPr>
          <w:rFonts w:ascii="Time New Roman" w:eastAsia="黑体" w:hAnsi="Time New Roman" w:hint="eastAsia"/>
        </w:rPr>
      </w:pPr>
      <w:r w:rsidRPr="00BF3A74">
        <w:rPr>
          <w:rFonts w:ascii="Time New Roman" w:eastAsia="黑体" w:hAnsi="Time New Roman" w:hint="eastAsia"/>
        </w:rPr>
        <w:t>启动综合方案，改进厄瓜多尔的公共交通，包括农村地区的公共交通，在预定期限内实现所有交通方式无障碍；</w:t>
      </w:r>
      <w:r w:rsidRPr="00BF3A74">
        <w:rPr>
          <w:rFonts w:ascii="Time New Roman" w:eastAsia="黑体" w:hAnsi="Time New Roman"/>
        </w:rPr>
        <w:t xml:space="preserve"> </w:t>
      </w:r>
    </w:p>
    <w:p w:rsidR="007201CE" w:rsidRPr="00BF3A74" w:rsidRDefault="007201CE" w:rsidP="00BF3A74">
      <w:pPr>
        <w:pStyle w:val="SingleTxtGC"/>
        <w:numPr>
          <w:ilvl w:val="0"/>
          <w:numId w:val="11"/>
        </w:numPr>
        <w:rPr>
          <w:rFonts w:ascii="Time New Roman" w:eastAsia="黑体" w:hAnsi="Time New Roman" w:hint="eastAsia"/>
        </w:rPr>
      </w:pPr>
      <w:r w:rsidRPr="00BF3A74">
        <w:rPr>
          <w:rFonts w:ascii="Time New Roman" w:eastAsia="黑体" w:hAnsi="Time New Roman" w:hint="eastAsia"/>
        </w:rPr>
        <w:t>加紧努力，执行</w:t>
      </w:r>
      <w:r w:rsidRPr="00BF3A74">
        <w:rPr>
          <w:rFonts w:ascii="Time New Roman" w:eastAsia="黑体" w:hAnsi="Time New Roman"/>
        </w:rPr>
        <w:t>NTE INEN-ISO/IEC40500</w:t>
      </w:r>
      <w:r w:rsidR="00BF3A74">
        <w:rPr>
          <w:rFonts w:ascii="Time New Roman" w:eastAsia="黑体" w:hAnsi="Time New Roman"/>
        </w:rPr>
        <w:t>:</w:t>
      </w:r>
      <w:r w:rsidRPr="00BF3A74">
        <w:rPr>
          <w:rFonts w:ascii="Time New Roman" w:eastAsia="黑体" w:hAnsi="Time New Roman"/>
        </w:rPr>
        <w:t>2012</w:t>
      </w:r>
      <w:r w:rsidRPr="00BF3A74">
        <w:rPr>
          <w:rFonts w:ascii="Time New Roman" w:eastAsia="黑体" w:hAnsi="Time New Roman" w:hint="eastAsia"/>
        </w:rPr>
        <w:t>“信息技术—国际互联网联盟</w:t>
      </w:r>
      <w:r w:rsidRPr="00BF3A74">
        <w:rPr>
          <w:rFonts w:ascii="Time New Roman" w:eastAsia="黑体" w:hAnsi="Time New Roman"/>
        </w:rPr>
        <w:t>(W3C)</w:t>
      </w:r>
      <w:r w:rsidRPr="00BF3A74">
        <w:rPr>
          <w:rFonts w:ascii="Time New Roman" w:eastAsia="黑体" w:hAnsi="Time New Roman" w:hint="eastAsia"/>
        </w:rPr>
        <w:t>《网页内容无障碍指南</w:t>
      </w:r>
      <w:r w:rsidRPr="00BF3A74">
        <w:rPr>
          <w:rFonts w:ascii="Time New Roman" w:eastAsia="黑体" w:hAnsi="Time New Roman"/>
        </w:rPr>
        <w:t>(WCAG)2.0</w:t>
      </w:r>
      <w:r w:rsidRPr="00BF3A74">
        <w:rPr>
          <w:rFonts w:ascii="Time New Roman" w:eastAsia="黑体" w:hAnsi="Time New Roman" w:hint="eastAsia"/>
        </w:rPr>
        <w:t>》”，以便残疾人能够使用互联网，并确保该《指南》具有约束力，尤其是对于向残疾人提供各种服务的公共机构网站而言。</w:t>
      </w:r>
    </w:p>
    <w:p w:rsidR="007201CE" w:rsidRPr="00364E35" w:rsidRDefault="007201CE" w:rsidP="00BF3A74">
      <w:pPr>
        <w:pStyle w:val="H23GC"/>
      </w:pPr>
      <w:r w:rsidRPr="00364E35">
        <w:tab/>
      </w:r>
      <w:r w:rsidRPr="00364E35">
        <w:tab/>
      </w:r>
      <w:r>
        <w:t>在法律面前获得平等承认</w:t>
      </w:r>
      <w:r>
        <w:t>(</w:t>
      </w:r>
      <w:r>
        <w:t>第十二条</w:t>
      </w:r>
      <w:r>
        <w:t>)</w:t>
      </w:r>
    </w:p>
    <w:p w:rsidR="007201CE" w:rsidRPr="00364E35" w:rsidRDefault="007201CE" w:rsidP="00BF3A74">
      <w:pPr>
        <w:pStyle w:val="SingleTxtGC"/>
      </w:pPr>
      <w:r w:rsidRPr="00364E35">
        <w:t>24</w:t>
      </w:r>
      <w:r w:rsidR="008034A3">
        <w:t xml:space="preserve">.  </w:t>
      </w:r>
      <w:r>
        <w:t>委员会感到关切的是，</w:t>
      </w:r>
      <w:r>
        <w:rPr>
          <w:rFonts w:hint="eastAsia"/>
        </w:rPr>
        <w:t>缔约国的民事法律规定，可以通过监护人和被监护人的身份，采取替代决策的方式，缔约国近期也没有计划改革《民法》和《民事诉讼法》，按照关于在</w:t>
      </w:r>
      <w:r w:rsidRPr="00073D93">
        <w:rPr>
          <w:rFonts w:hint="eastAsia"/>
        </w:rPr>
        <w:t>法律面前获得平等承认</w:t>
      </w:r>
      <w:r>
        <w:rPr>
          <w:rFonts w:hint="eastAsia"/>
        </w:rPr>
        <w:t>的第</w:t>
      </w:r>
      <w:r>
        <w:rPr>
          <w:rFonts w:hint="eastAsia"/>
        </w:rPr>
        <w:t>1</w:t>
      </w:r>
      <w:r>
        <w:rPr>
          <w:rFonts w:hint="eastAsia"/>
        </w:rPr>
        <w:t>号一般性意见</w:t>
      </w:r>
      <w:r w:rsidRPr="00364E35">
        <w:t>(2014)</w:t>
      </w:r>
      <w:r>
        <w:rPr>
          <w:rFonts w:hint="eastAsia"/>
        </w:rPr>
        <w:t>，在法律中纳入协助决策的模式。</w:t>
      </w:r>
    </w:p>
    <w:p w:rsidR="007201CE" w:rsidRPr="00BF3A74" w:rsidRDefault="007201CE" w:rsidP="00BF3A74">
      <w:pPr>
        <w:pStyle w:val="SingleTxtGC"/>
        <w:rPr>
          <w:rFonts w:ascii="Time New Roman" w:eastAsia="黑体" w:hAnsi="Time New Roman" w:hint="eastAsia"/>
        </w:rPr>
      </w:pPr>
      <w:r w:rsidRPr="00BF3A74">
        <w:rPr>
          <w:rFonts w:ascii="Time New Roman" w:eastAsia="黑体" w:hAnsi="Time New Roman"/>
        </w:rPr>
        <w:t>25</w:t>
      </w:r>
      <w:r w:rsidR="008034A3" w:rsidRPr="00BF3A74">
        <w:rPr>
          <w:rFonts w:ascii="Time New Roman" w:eastAsia="黑体" w:hAnsi="Time New Roman"/>
        </w:rPr>
        <w:t xml:space="preserve">.  </w:t>
      </w:r>
      <w:r w:rsidRPr="00BF3A74">
        <w:rPr>
          <w:rFonts w:ascii="Time New Roman" w:eastAsia="黑体" w:hAnsi="Time New Roman"/>
        </w:rPr>
        <w:t>委员会建议</w:t>
      </w:r>
      <w:r w:rsidRPr="00BF3A74">
        <w:rPr>
          <w:rFonts w:ascii="Time New Roman" w:eastAsia="黑体" w:hAnsi="Time New Roman" w:hint="eastAsia"/>
        </w:rPr>
        <w:t>，缔约国会同独立的残疾人组织的代表，设立一个工作组，及时审查民事法律，引入协助决策机制。委员会还建议缔约国为执行新计划拟订一份带有时间表的议程。</w:t>
      </w:r>
    </w:p>
    <w:p w:rsidR="007201CE" w:rsidRPr="00364E35" w:rsidRDefault="007201CE" w:rsidP="00BF3A74">
      <w:pPr>
        <w:pStyle w:val="H23GC"/>
      </w:pPr>
      <w:r w:rsidRPr="00364E35">
        <w:tab/>
      </w:r>
      <w:r w:rsidRPr="00364E35">
        <w:tab/>
      </w:r>
      <w:r>
        <w:t>获得司法保护</w:t>
      </w:r>
      <w:r>
        <w:t>(</w:t>
      </w:r>
      <w:r>
        <w:t>第十三条</w:t>
      </w:r>
      <w:r>
        <w:t>)</w:t>
      </w:r>
    </w:p>
    <w:p w:rsidR="007201CE" w:rsidRPr="00364E35" w:rsidRDefault="007201CE" w:rsidP="00BF3A74">
      <w:pPr>
        <w:pStyle w:val="SingleTxtGC"/>
      </w:pPr>
      <w:r w:rsidRPr="00364E35">
        <w:t>26</w:t>
      </w:r>
      <w:r w:rsidR="008034A3">
        <w:t xml:space="preserve">.  </w:t>
      </w:r>
      <w:r>
        <w:t>委员会感到关切的是，</w:t>
      </w:r>
      <w:r>
        <w:rPr>
          <w:rFonts w:hint="eastAsia"/>
        </w:rPr>
        <w:t>司法人员不了解国内和国际文书规定的残疾人权利，司法部门没有扶助残疾人的专项方案，司法设施也没有实现无障碍。</w:t>
      </w:r>
      <w:r>
        <w:t>委员会感到关切的是，</w:t>
      </w:r>
      <w:r>
        <w:rPr>
          <w:rFonts w:hint="eastAsia"/>
        </w:rPr>
        <w:t>厄瓜多尔的刑事、民事、劳动和行政程序未要求司法部门在残疾人参加诉讼时提供程序便利。</w:t>
      </w:r>
    </w:p>
    <w:p w:rsidR="007201CE" w:rsidRPr="00BF3A74" w:rsidRDefault="007201CE" w:rsidP="00BF3A74">
      <w:pPr>
        <w:pStyle w:val="SingleTxtGC"/>
        <w:rPr>
          <w:rFonts w:ascii="Time New Roman" w:eastAsia="黑体" w:hAnsi="Time New Roman" w:hint="eastAsia"/>
        </w:rPr>
      </w:pPr>
      <w:r w:rsidRPr="00BF3A74">
        <w:rPr>
          <w:rFonts w:ascii="Time New Roman" w:eastAsia="黑体" w:hAnsi="Time New Roman"/>
        </w:rPr>
        <w:t>27</w:t>
      </w:r>
      <w:r w:rsidR="008034A3" w:rsidRPr="00BF3A74">
        <w:rPr>
          <w:rFonts w:ascii="Time New Roman" w:eastAsia="黑体" w:hAnsi="Time New Roman"/>
        </w:rPr>
        <w:t xml:space="preserve">.  </w:t>
      </w:r>
      <w:r w:rsidRPr="00BF3A74">
        <w:rPr>
          <w:rFonts w:ascii="Time New Roman" w:eastAsia="黑体" w:hAnsi="Time New Roman"/>
        </w:rPr>
        <w:t>委员会建议</w:t>
      </w:r>
      <w:r w:rsidRPr="00BF3A74">
        <w:rPr>
          <w:rFonts w:ascii="Time New Roman" w:eastAsia="黑体" w:hAnsi="Time New Roman" w:hint="eastAsia"/>
        </w:rPr>
        <w:t>缔约国：</w:t>
      </w:r>
    </w:p>
    <w:p w:rsidR="007201CE" w:rsidRPr="00BF3A74" w:rsidRDefault="007201CE" w:rsidP="00BF3A74">
      <w:pPr>
        <w:pStyle w:val="SingleTxtGC"/>
        <w:numPr>
          <w:ilvl w:val="0"/>
          <w:numId w:val="13"/>
        </w:numPr>
        <w:rPr>
          <w:rFonts w:ascii="Time New Roman" w:eastAsia="黑体" w:hAnsi="Time New Roman" w:hint="eastAsia"/>
        </w:rPr>
      </w:pPr>
      <w:r w:rsidRPr="00BF3A74">
        <w:rPr>
          <w:rFonts w:ascii="Time New Roman" w:eastAsia="黑体" w:hAnsi="Time New Roman" w:hint="eastAsia"/>
        </w:rPr>
        <w:t>调整司法人员的培训方案，确保培训内容包括国内和国际人权文书所载各项残疾人权利；</w:t>
      </w:r>
    </w:p>
    <w:p w:rsidR="007201CE" w:rsidRPr="00BF3A74" w:rsidRDefault="007201CE" w:rsidP="00BF3A74">
      <w:pPr>
        <w:pStyle w:val="SingleTxtGC"/>
        <w:numPr>
          <w:ilvl w:val="0"/>
          <w:numId w:val="13"/>
        </w:numPr>
        <w:rPr>
          <w:rFonts w:ascii="Time New Roman" w:eastAsia="黑体" w:hAnsi="Time New Roman" w:hint="eastAsia"/>
        </w:rPr>
      </w:pPr>
      <w:r w:rsidRPr="00BF3A74">
        <w:rPr>
          <w:rFonts w:ascii="Time New Roman" w:eastAsia="黑体" w:hAnsi="Time New Roman" w:hint="eastAsia"/>
        </w:rPr>
        <w:lastRenderedPageBreak/>
        <w:t>确保司法委员会落实国家适应计划，从建筑和通信两方面使残疾人能够充分无障碍地使用司法设施，确保该计划要求提供厄瓜多尔手语译员和容易阅读的设施，使聋人和智力残障人士都能够参与司法事务；</w:t>
      </w:r>
    </w:p>
    <w:p w:rsidR="007201CE" w:rsidRPr="00BF3A74" w:rsidRDefault="007201CE" w:rsidP="00BF3A74">
      <w:pPr>
        <w:pStyle w:val="SingleTxtGC"/>
        <w:numPr>
          <w:ilvl w:val="0"/>
          <w:numId w:val="13"/>
        </w:numPr>
        <w:rPr>
          <w:rFonts w:ascii="Time New Roman" w:eastAsia="黑体" w:hAnsi="Time New Roman" w:hint="eastAsia"/>
        </w:rPr>
      </w:pPr>
      <w:r w:rsidRPr="00BF3A74">
        <w:rPr>
          <w:rFonts w:ascii="Time New Roman" w:eastAsia="黑体" w:hAnsi="Time New Roman" w:hint="eastAsia"/>
        </w:rPr>
        <w:t>确保立法机构实行法律改革，在国家的刑事、民事、劳动和行政程序中纳入规定，要求为残疾人提供程序性便利，使之能够在与他人平等的基础上获得司法保护。</w:t>
      </w:r>
    </w:p>
    <w:p w:rsidR="007201CE" w:rsidRPr="00364E35" w:rsidRDefault="007201CE" w:rsidP="00BF3A74">
      <w:pPr>
        <w:pStyle w:val="H23GC"/>
      </w:pPr>
      <w:r w:rsidRPr="00364E35">
        <w:tab/>
      </w:r>
      <w:r w:rsidRPr="00364E35">
        <w:tab/>
      </w:r>
      <w:r>
        <w:t>自由和人身安全</w:t>
      </w:r>
      <w:r>
        <w:t>(</w:t>
      </w:r>
      <w:r>
        <w:t>第十四条</w:t>
      </w:r>
      <w:r>
        <w:t>)</w:t>
      </w:r>
    </w:p>
    <w:p w:rsidR="007201CE" w:rsidRPr="00364E35" w:rsidRDefault="007201CE" w:rsidP="00BF3A74">
      <w:pPr>
        <w:pStyle w:val="SingleTxtGC"/>
      </w:pPr>
      <w:r w:rsidRPr="00364E35">
        <w:t>28</w:t>
      </w:r>
      <w:r w:rsidR="008034A3">
        <w:t xml:space="preserve">.  </w:t>
      </w:r>
      <w:r>
        <w:t>委员会感到关切的是，</w:t>
      </w:r>
      <w:r>
        <w:rPr>
          <w:rFonts w:hint="eastAsia"/>
        </w:rPr>
        <w:t>缔约国认为某些残疾人，具体而言是那些被遗弃并被划归“严重或慢性智障者”，应留在机构中，而且得不到在社区中生活的必要支助。</w:t>
      </w:r>
      <w:r>
        <w:t>委员会</w:t>
      </w:r>
      <w:r>
        <w:rPr>
          <w:rFonts w:hint="eastAsia"/>
        </w:rPr>
        <w:t>还感到关切的是，缔约国没有采取行动，保障被控犯罪的残疾人获得正当的法律程序。委员会同样感到关切的是，宣布残疾人不适于出庭受审是一种托辞，是为了采取无限期剥夺其自由的安全措施，而且残疾人在刑事司法制度中无法享有与他人相同的保障。</w:t>
      </w:r>
    </w:p>
    <w:p w:rsidR="007201CE" w:rsidRPr="00BF3A74" w:rsidRDefault="007201CE" w:rsidP="00BF3A74">
      <w:pPr>
        <w:pStyle w:val="SingleTxtGC"/>
        <w:rPr>
          <w:rFonts w:ascii="Time New Roman" w:eastAsia="黑体" w:hAnsi="Time New Roman" w:hint="eastAsia"/>
        </w:rPr>
      </w:pPr>
      <w:r w:rsidRPr="00BF3A74">
        <w:rPr>
          <w:rFonts w:ascii="Time New Roman" w:eastAsia="黑体" w:hAnsi="Time New Roman"/>
        </w:rPr>
        <w:t>29</w:t>
      </w:r>
      <w:r w:rsidR="008034A3" w:rsidRPr="00BF3A74">
        <w:rPr>
          <w:rFonts w:ascii="Time New Roman" w:eastAsia="黑体" w:hAnsi="Time New Roman"/>
        </w:rPr>
        <w:t xml:space="preserve">.  </w:t>
      </w:r>
      <w:r w:rsidRPr="00BF3A74">
        <w:rPr>
          <w:rFonts w:ascii="Time New Roman" w:eastAsia="黑体" w:hAnsi="Time New Roman"/>
        </w:rPr>
        <w:t>委员会建议</w:t>
      </w:r>
      <w:r w:rsidRPr="00BF3A74">
        <w:rPr>
          <w:rFonts w:ascii="Time New Roman" w:eastAsia="黑体" w:hAnsi="Time New Roman" w:hint="eastAsia"/>
        </w:rPr>
        <w:t>缔约国：</w:t>
      </w:r>
    </w:p>
    <w:p w:rsidR="007201CE" w:rsidRPr="00BF3A74" w:rsidRDefault="007201CE" w:rsidP="00BF3A74">
      <w:pPr>
        <w:pStyle w:val="SingleTxtGC"/>
        <w:numPr>
          <w:ilvl w:val="0"/>
          <w:numId w:val="15"/>
        </w:numPr>
        <w:rPr>
          <w:rFonts w:ascii="Time New Roman" w:eastAsia="黑体" w:hAnsi="Time New Roman" w:hint="eastAsia"/>
        </w:rPr>
      </w:pPr>
      <w:r w:rsidRPr="00BF3A74">
        <w:rPr>
          <w:rFonts w:ascii="Time New Roman" w:eastAsia="黑体" w:hAnsi="Time New Roman" w:hint="eastAsia"/>
        </w:rPr>
        <w:t>拟订综合计划，帮助胡里奥·恩达拉精神病院目前收治的人员出院，确保其人身安全，并为他们提供保障措施，使之能够行使融入社区的权利。综合计划必须包括各项行动，保障他们能够得到全面融入社会所需的住房、食物和个人援助服务；</w:t>
      </w:r>
    </w:p>
    <w:p w:rsidR="007201CE" w:rsidRPr="00BF3A74" w:rsidRDefault="007201CE" w:rsidP="00BF3A74">
      <w:pPr>
        <w:pStyle w:val="SingleTxtGC"/>
        <w:numPr>
          <w:ilvl w:val="0"/>
          <w:numId w:val="15"/>
        </w:numPr>
        <w:rPr>
          <w:rFonts w:ascii="Time New Roman" w:eastAsia="黑体" w:hAnsi="Time New Roman" w:hint="eastAsia"/>
        </w:rPr>
      </w:pPr>
      <w:r w:rsidRPr="00BF3A74">
        <w:rPr>
          <w:rFonts w:ascii="Time New Roman" w:eastAsia="黑体" w:hAnsi="Time New Roman" w:hint="eastAsia"/>
        </w:rPr>
        <w:t>避免在残疾人受到犯罪指控时宣布他们不适于出庭受审，以便他们能够在与他人平等的基础上享有正当的法律程序，获得刑事司法程序中的一般保障；</w:t>
      </w:r>
    </w:p>
    <w:p w:rsidR="007201CE" w:rsidRPr="00BF3A74" w:rsidRDefault="007201CE" w:rsidP="00BF3A74">
      <w:pPr>
        <w:pStyle w:val="SingleTxtGC"/>
        <w:numPr>
          <w:ilvl w:val="0"/>
          <w:numId w:val="15"/>
        </w:numPr>
        <w:rPr>
          <w:rFonts w:ascii="Time New Roman" w:eastAsia="黑体" w:hAnsi="Time New Roman" w:hint="eastAsia"/>
        </w:rPr>
      </w:pPr>
      <w:r w:rsidRPr="00BF3A74">
        <w:rPr>
          <w:rFonts w:ascii="Time New Roman" w:eastAsia="黑体" w:hAnsi="Time New Roman" w:hint="eastAsia"/>
        </w:rPr>
        <w:t>废除强制入院接受医学治疗和精神治疗的安全措施，提倡采取符合《公约》第十四条和第十九条的替代性措施；</w:t>
      </w:r>
    </w:p>
    <w:p w:rsidR="007201CE" w:rsidRPr="00BF3A74" w:rsidRDefault="007201CE" w:rsidP="00BF3A74">
      <w:pPr>
        <w:pStyle w:val="SingleTxtGC"/>
        <w:numPr>
          <w:ilvl w:val="0"/>
          <w:numId w:val="15"/>
        </w:numPr>
        <w:rPr>
          <w:rFonts w:ascii="Time New Roman" w:eastAsia="黑体" w:hAnsi="Time New Roman" w:hint="eastAsia"/>
        </w:rPr>
      </w:pPr>
      <w:r w:rsidRPr="00BF3A74">
        <w:rPr>
          <w:rFonts w:ascii="Time New Roman" w:eastAsia="黑体" w:hAnsi="Time New Roman" w:hint="eastAsia"/>
        </w:rPr>
        <w:t>确保在征得当事人自由知情同意的情况下提供所有精神卫生服务。</w:t>
      </w:r>
    </w:p>
    <w:p w:rsidR="007201CE" w:rsidRPr="00364E35" w:rsidRDefault="007201CE" w:rsidP="00BF3A74">
      <w:pPr>
        <w:pStyle w:val="H23GC"/>
      </w:pPr>
      <w:r w:rsidRPr="00364E35">
        <w:tab/>
      </w:r>
      <w:r w:rsidRPr="00364E35">
        <w:tab/>
      </w:r>
      <w:r>
        <w:t>免于剥削、暴力和凌虐</w:t>
      </w:r>
      <w:r>
        <w:t>(</w:t>
      </w:r>
      <w:r>
        <w:t>第十六条</w:t>
      </w:r>
      <w:r>
        <w:t>)</w:t>
      </w:r>
    </w:p>
    <w:p w:rsidR="007201CE" w:rsidRPr="00364E35" w:rsidRDefault="007201CE" w:rsidP="00BF3A74">
      <w:pPr>
        <w:pStyle w:val="SingleTxtGC"/>
      </w:pPr>
      <w:r w:rsidRPr="00364E35">
        <w:t>3</w:t>
      </w:r>
      <w:r>
        <w:t>0</w:t>
      </w:r>
      <w:r w:rsidR="008034A3">
        <w:t xml:space="preserve">.  </w:t>
      </w:r>
      <w:r>
        <w:t>委员会</w:t>
      </w:r>
      <w:r>
        <w:rPr>
          <w:rFonts w:hint="eastAsia"/>
        </w:rPr>
        <w:t>感到关切的是：</w:t>
      </w:r>
    </w:p>
    <w:p w:rsidR="007201CE" w:rsidRPr="00364E35" w:rsidRDefault="007201CE" w:rsidP="00BF3A74">
      <w:pPr>
        <w:pStyle w:val="SingleTxtGC"/>
        <w:numPr>
          <w:ilvl w:val="0"/>
          <w:numId w:val="17"/>
        </w:numPr>
      </w:pPr>
      <w:r>
        <w:rPr>
          <w:rFonts w:hint="eastAsia"/>
        </w:rPr>
        <w:t>2010</w:t>
      </w:r>
      <w:r>
        <w:rPr>
          <w:rFonts w:hint="eastAsia"/>
        </w:rPr>
        <w:t>年举行的最近一次人口和家庭普查表明，</w:t>
      </w:r>
      <w:r>
        <w:rPr>
          <w:rFonts w:hint="eastAsia"/>
        </w:rPr>
        <w:t>12</w:t>
      </w:r>
      <w:r>
        <w:rPr>
          <w:rFonts w:hint="eastAsia"/>
        </w:rPr>
        <w:t>岁至</w:t>
      </w:r>
      <w:r>
        <w:rPr>
          <w:rFonts w:hint="eastAsia"/>
        </w:rPr>
        <w:t>19</w:t>
      </w:r>
      <w:r>
        <w:rPr>
          <w:rFonts w:hint="eastAsia"/>
        </w:rPr>
        <w:t>岁少女怀孕的现象普遍；大部分残疾妇女报告的初次生育年龄在</w:t>
      </w:r>
      <w:r>
        <w:rPr>
          <w:rFonts w:hint="eastAsia"/>
        </w:rPr>
        <w:t>15</w:t>
      </w:r>
      <w:r>
        <w:rPr>
          <w:rFonts w:hint="eastAsia"/>
        </w:rPr>
        <w:t>岁至</w:t>
      </w:r>
      <w:r>
        <w:rPr>
          <w:rFonts w:hint="eastAsia"/>
        </w:rPr>
        <w:t>19</w:t>
      </w:r>
      <w:r>
        <w:rPr>
          <w:rFonts w:hint="eastAsia"/>
        </w:rPr>
        <w:t>岁之间，表明残疾妇女，尤其是智障妇女遭受性虐待的情况十分普遍；</w:t>
      </w:r>
    </w:p>
    <w:p w:rsidR="007201CE" w:rsidRPr="00364E35" w:rsidRDefault="007201CE" w:rsidP="00BF3A74">
      <w:pPr>
        <w:pStyle w:val="SingleTxtGC"/>
        <w:numPr>
          <w:ilvl w:val="0"/>
          <w:numId w:val="17"/>
        </w:numPr>
      </w:pPr>
      <w:r>
        <w:rPr>
          <w:rFonts w:hint="eastAsia"/>
        </w:rPr>
        <w:t>缔约国缺乏适当机制，难以查明家庭内部和残疾人机构中暴力侵害残疾人、尤其是智障妇女的事件；</w:t>
      </w:r>
    </w:p>
    <w:p w:rsidR="007201CE" w:rsidRPr="00364E35" w:rsidRDefault="007201CE" w:rsidP="00BF3A74">
      <w:pPr>
        <w:pStyle w:val="SingleTxtGC"/>
        <w:numPr>
          <w:ilvl w:val="0"/>
          <w:numId w:val="17"/>
        </w:numPr>
      </w:pPr>
      <w:r>
        <w:rPr>
          <w:rFonts w:hint="eastAsia"/>
        </w:rPr>
        <w:t>缔约国尚未设立专门机制，促进机构中的残疾少年儿童</w:t>
      </w:r>
      <w:r>
        <w:rPr>
          <w:rFonts w:hint="eastAsia"/>
        </w:rPr>
        <w:t>(</w:t>
      </w:r>
      <w:r>
        <w:rPr>
          <w:rFonts w:hint="eastAsia"/>
        </w:rPr>
        <w:t>他们可在机构中生活至</w:t>
      </w:r>
      <w:r>
        <w:rPr>
          <w:rFonts w:hint="eastAsia"/>
        </w:rPr>
        <w:t>18</w:t>
      </w:r>
      <w:r>
        <w:rPr>
          <w:rFonts w:hint="eastAsia"/>
        </w:rPr>
        <w:t>岁</w:t>
      </w:r>
      <w:r>
        <w:rPr>
          <w:rFonts w:hint="eastAsia"/>
        </w:rPr>
        <w:t>)</w:t>
      </w:r>
      <w:r>
        <w:rPr>
          <w:rFonts w:hint="eastAsia"/>
        </w:rPr>
        <w:t>切实融入社会，防止他们遭受暴力侵害。封闭空间有可能导致对少年儿童的暴力、忽视和虐待。</w:t>
      </w:r>
    </w:p>
    <w:p w:rsidR="007201CE" w:rsidRPr="00BF3A74" w:rsidRDefault="007201CE" w:rsidP="00BF3A74">
      <w:pPr>
        <w:pStyle w:val="SingleTxtGC"/>
        <w:rPr>
          <w:rFonts w:ascii="Time New Roman" w:eastAsia="黑体" w:hAnsi="Time New Roman" w:hint="eastAsia"/>
        </w:rPr>
      </w:pPr>
      <w:r w:rsidRPr="00BF3A74">
        <w:rPr>
          <w:rFonts w:ascii="Time New Roman" w:eastAsia="黑体" w:hAnsi="Time New Roman"/>
        </w:rPr>
        <w:lastRenderedPageBreak/>
        <w:t>31</w:t>
      </w:r>
      <w:r w:rsidR="008034A3" w:rsidRPr="00BF3A74">
        <w:rPr>
          <w:rFonts w:ascii="Time New Roman" w:eastAsia="黑体" w:hAnsi="Time New Roman"/>
        </w:rPr>
        <w:t xml:space="preserve">.  </w:t>
      </w:r>
      <w:r w:rsidRPr="00BF3A74">
        <w:rPr>
          <w:rFonts w:ascii="Time New Roman" w:eastAsia="黑体" w:hAnsi="Time New Roman"/>
        </w:rPr>
        <w:t>委员会建议</w:t>
      </w:r>
      <w:r w:rsidRPr="00BF3A74">
        <w:rPr>
          <w:rFonts w:ascii="Time New Roman" w:eastAsia="黑体" w:hAnsi="Time New Roman" w:hint="eastAsia"/>
        </w:rPr>
        <w:t>缔约国：</w:t>
      </w:r>
    </w:p>
    <w:p w:rsidR="007201CE" w:rsidRPr="00BF3A74" w:rsidRDefault="007201CE" w:rsidP="00BF3A74">
      <w:pPr>
        <w:pStyle w:val="SingleTxtGC"/>
        <w:numPr>
          <w:ilvl w:val="0"/>
          <w:numId w:val="19"/>
        </w:numPr>
        <w:rPr>
          <w:rFonts w:ascii="Time New Roman" w:eastAsia="黑体" w:hAnsi="Time New Roman" w:hint="eastAsia"/>
        </w:rPr>
      </w:pPr>
      <w:r w:rsidRPr="00BF3A74">
        <w:rPr>
          <w:rFonts w:ascii="Time New Roman" w:eastAsia="黑体" w:hAnsi="Time New Roman" w:hint="eastAsia"/>
        </w:rPr>
        <w:t>面向智障妇女及其家人，以及各类国家机构中提供服务的专业人员，开展残疾人性权利和生殖权利的培训；</w:t>
      </w:r>
    </w:p>
    <w:p w:rsidR="007201CE" w:rsidRPr="00BF3A74" w:rsidRDefault="007201CE" w:rsidP="00BF3A74">
      <w:pPr>
        <w:pStyle w:val="SingleTxtGC"/>
        <w:numPr>
          <w:ilvl w:val="0"/>
          <w:numId w:val="19"/>
        </w:numPr>
        <w:rPr>
          <w:rFonts w:ascii="Time New Roman" w:eastAsia="黑体" w:hAnsi="Time New Roman" w:hint="eastAsia"/>
        </w:rPr>
      </w:pPr>
      <w:r w:rsidRPr="00BF3A74">
        <w:rPr>
          <w:rFonts w:ascii="Time New Roman" w:eastAsia="黑体" w:hAnsi="Time New Roman" w:hint="eastAsia"/>
        </w:rPr>
        <w:t>实行制度改革，为警察和司法部门的专业人员开展培训，使之能够查明虐待和暴力侵害残疾人的事件，并在调查中获得必要的程序性便利，以确保犯罪行为受到惩处；</w:t>
      </w:r>
    </w:p>
    <w:p w:rsidR="007201CE" w:rsidRPr="00BF3A74" w:rsidRDefault="007201CE" w:rsidP="00BF3A74">
      <w:pPr>
        <w:pStyle w:val="SingleTxtGC"/>
        <w:numPr>
          <w:ilvl w:val="0"/>
          <w:numId w:val="19"/>
        </w:numPr>
        <w:rPr>
          <w:rFonts w:ascii="Time New Roman" w:eastAsia="黑体" w:hAnsi="Time New Roman" w:hint="eastAsia"/>
        </w:rPr>
      </w:pPr>
      <w:r w:rsidRPr="00BF3A74">
        <w:rPr>
          <w:rFonts w:ascii="Time New Roman" w:eastAsia="黑体" w:hAnsi="Time New Roman" w:hint="eastAsia"/>
        </w:rPr>
        <w:t>既然缔约国正在制订方案，保障残疾儿童在社区中生活的权利，那么应该建立机制，由独立机构按照《公约》第十六条第三款，系统监测残疾儿童在机构中的生活条件，以防止虐待和暴力事件。</w:t>
      </w:r>
    </w:p>
    <w:p w:rsidR="007201CE" w:rsidRPr="00364E35" w:rsidRDefault="007201CE" w:rsidP="00BF3A74">
      <w:pPr>
        <w:pStyle w:val="H23GC"/>
      </w:pPr>
      <w:r w:rsidRPr="00364E35">
        <w:tab/>
      </w:r>
      <w:r w:rsidRPr="00364E35">
        <w:tab/>
      </w:r>
      <w:r>
        <w:rPr>
          <w:rFonts w:hint="eastAsia"/>
        </w:rPr>
        <w:t>迁徙自由和国籍</w:t>
      </w:r>
      <w:r>
        <w:rPr>
          <w:rFonts w:hint="eastAsia"/>
        </w:rPr>
        <w:t>(</w:t>
      </w:r>
      <w:r>
        <w:rPr>
          <w:rFonts w:hint="eastAsia"/>
        </w:rPr>
        <w:t>第十八条</w:t>
      </w:r>
      <w:r>
        <w:rPr>
          <w:rFonts w:hint="eastAsia"/>
        </w:rPr>
        <w:t>)</w:t>
      </w:r>
    </w:p>
    <w:p w:rsidR="007201CE" w:rsidRPr="00364E35" w:rsidRDefault="007201CE" w:rsidP="00AC583F">
      <w:pPr>
        <w:pStyle w:val="SingleTxtGC"/>
      </w:pPr>
      <w:r w:rsidRPr="00364E35">
        <w:t>32</w:t>
      </w:r>
      <w:r w:rsidR="008034A3">
        <w:t xml:space="preserve">.  </w:t>
      </w:r>
      <w:r>
        <w:t>委员会感到关切的是，</w:t>
      </w:r>
      <w:r>
        <w:rPr>
          <w:rFonts w:hint="eastAsia"/>
        </w:rPr>
        <w:t>《入籍法》第七条仍然规定，患有“慢性疾病”者，不授予厄瓜多尔国籍。鉴于所谓“慢性疾病”与残疾之间存在密切联系，本条规定显然具有歧视性，而且违反了《公约》第十八条。</w:t>
      </w:r>
    </w:p>
    <w:p w:rsidR="007201CE" w:rsidRPr="00BF3A74" w:rsidRDefault="007201CE" w:rsidP="00BF3A74">
      <w:pPr>
        <w:pStyle w:val="SingleTxtGC"/>
        <w:rPr>
          <w:rFonts w:ascii="Time New Roman" w:eastAsia="黑体" w:hAnsi="Time New Roman" w:hint="eastAsia"/>
        </w:rPr>
      </w:pPr>
      <w:r w:rsidRPr="00BF3A74">
        <w:rPr>
          <w:rFonts w:ascii="Time New Roman" w:eastAsia="黑体" w:hAnsi="Time New Roman"/>
        </w:rPr>
        <w:t>33</w:t>
      </w:r>
      <w:r w:rsidR="008034A3" w:rsidRPr="00BF3A74">
        <w:rPr>
          <w:rFonts w:ascii="Time New Roman" w:eastAsia="黑体" w:hAnsi="Time New Roman"/>
        </w:rPr>
        <w:t xml:space="preserve">.  </w:t>
      </w:r>
      <w:r w:rsidRPr="00BF3A74">
        <w:rPr>
          <w:rFonts w:ascii="Time New Roman" w:eastAsia="黑体" w:hAnsi="Time New Roman"/>
        </w:rPr>
        <w:t>委员会建议</w:t>
      </w:r>
      <w:r w:rsidRPr="00BF3A74">
        <w:rPr>
          <w:rFonts w:ascii="Time New Roman" w:eastAsia="黑体" w:hAnsi="Time New Roman" w:hint="eastAsia"/>
        </w:rPr>
        <w:t>缔约国废除《入籍法》第七条，使任何残疾人均能在与他人平等的基础上，选择申请加入厄瓜多尔国籍。</w:t>
      </w:r>
    </w:p>
    <w:p w:rsidR="007201CE" w:rsidRPr="00364E35" w:rsidRDefault="007201CE" w:rsidP="00BF3A74">
      <w:pPr>
        <w:pStyle w:val="H23GC"/>
      </w:pPr>
      <w:r w:rsidRPr="00364E35">
        <w:tab/>
      </w:r>
      <w:r w:rsidRPr="00364E35">
        <w:tab/>
      </w:r>
      <w:r>
        <w:t>独立生活和融入社区</w:t>
      </w:r>
      <w:r>
        <w:rPr>
          <w:rFonts w:hint="eastAsia"/>
        </w:rPr>
        <w:t>(</w:t>
      </w:r>
      <w:r>
        <w:rPr>
          <w:rFonts w:hint="eastAsia"/>
        </w:rPr>
        <w:t>第十九条</w:t>
      </w:r>
      <w:r>
        <w:rPr>
          <w:rFonts w:hint="eastAsia"/>
        </w:rPr>
        <w:t>)</w:t>
      </w:r>
    </w:p>
    <w:p w:rsidR="007201CE" w:rsidRPr="00364E35" w:rsidRDefault="007201CE" w:rsidP="00AC583F">
      <w:pPr>
        <w:pStyle w:val="SingleTxtGC"/>
      </w:pPr>
      <w:r w:rsidRPr="00364E35">
        <w:t>34</w:t>
      </w:r>
      <w:r w:rsidR="008034A3">
        <w:t xml:space="preserve">.  </w:t>
      </w:r>
      <w:r>
        <w:t>委员会</w:t>
      </w:r>
      <w:r>
        <w:rPr>
          <w:rFonts w:hint="eastAsia"/>
        </w:rPr>
        <w:t>感到关切的是，虽然缔约国发放“</w:t>
      </w:r>
      <w:r>
        <w:t>华金</w:t>
      </w:r>
      <w:r w:rsidR="00AC583F">
        <w:rPr>
          <w:rFonts w:hint="eastAsia"/>
        </w:rPr>
        <w:t>·</w:t>
      </w:r>
      <w:r>
        <w:t>加耶戈斯</w:t>
      </w:r>
      <w:r w:rsidR="00AC583F">
        <w:rPr>
          <w:rFonts w:hint="eastAsia"/>
        </w:rPr>
        <w:t>·</w:t>
      </w:r>
      <w:r>
        <w:t>拉腊</w:t>
      </w:r>
      <w:r>
        <w:rPr>
          <w:rFonts w:hint="eastAsia"/>
        </w:rPr>
        <w:t>”代金券，使残疾人能够在家中得到援助，但是支付对象不是残疾人本人，而是照顾他们的人。</w:t>
      </w:r>
    </w:p>
    <w:p w:rsidR="007201CE" w:rsidRPr="00BF3A74" w:rsidRDefault="007201CE" w:rsidP="00AC583F">
      <w:pPr>
        <w:pStyle w:val="SingleTxtGC"/>
        <w:rPr>
          <w:rFonts w:ascii="Time New Roman" w:eastAsia="黑体" w:hAnsi="Time New Roman" w:hint="eastAsia"/>
        </w:rPr>
      </w:pPr>
      <w:r w:rsidRPr="00BF3A74">
        <w:rPr>
          <w:rFonts w:ascii="Time New Roman" w:eastAsia="黑体" w:hAnsi="Time New Roman"/>
        </w:rPr>
        <w:t>35</w:t>
      </w:r>
      <w:r w:rsidR="008034A3" w:rsidRPr="00BF3A74">
        <w:rPr>
          <w:rFonts w:ascii="Time New Roman" w:eastAsia="黑体" w:hAnsi="Time New Roman"/>
        </w:rPr>
        <w:t xml:space="preserve">.  </w:t>
      </w:r>
      <w:r w:rsidRPr="00BF3A74">
        <w:rPr>
          <w:rFonts w:ascii="Time New Roman" w:eastAsia="黑体" w:hAnsi="Time New Roman"/>
        </w:rPr>
        <w:t>委员会建议</w:t>
      </w:r>
      <w:r w:rsidRPr="00BF3A74">
        <w:rPr>
          <w:rFonts w:ascii="Time New Roman" w:eastAsia="黑体" w:hAnsi="Time New Roman" w:hint="eastAsia"/>
        </w:rPr>
        <w:t>缔约国审查“华金</w:t>
      </w:r>
      <w:r w:rsidR="00AC583F">
        <w:rPr>
          <w:rFonts w:hint="eastAsia"/>
        </w:rPr>
        <w:t>·</w:t>
      </w:r>
      <w:r w:rsidRPr="00BF3A74">
        <w:rPr>
          <w:rFonts w:ascii="Time New Roman" w:eastAsia="黑体" w:hAnsi="Time New Roman" w:hint="eastAsia"/>
        </w:rPr>
        <w:t>加耶戈斯</w:t>
      </w:r>
      <w:r w:rsidR="00AC583F">
        <w:rPr>
          <w:rFonts w:hint="eastAsia"/>
        </w:rPr>
        <w:t>·</w:t>
      </w:r>
      <w:r w:rsidRPr="00BF3A74">
        <w:rPr>
          <w:rFonts w:ascii="Time New Roman" w:eastAsia="黑体" w:hAnsi="Time New Roman" w:hint="eastAsia"/>
        </w:rPr>
        <w:t>拉腊”代金券的发放标准，以确保残疾人本人能够得到这一支助，独立生活并融入社区。</w:t>
      </w:r>
    </w:p>
    <w:p w:rsidR="007201CE" w:rsidRPr="00364E35" w:rsidRDefault="007201CE" w:rsidP="00BF3A74">
      <w:pPr>
        <w:pStyle w:val="H23GC"/>
      </w:pPr>
      <w:r w:rsidRPr="00364E35">
        <w:tab/>
      </w:r>
      <w:r w:rsidRPr="00364E35">
        <w:tab/>
      </w:r>
      <w:r>
        <w:rPr>
          <w:rFonts w:hint="eastAsia"/>
        </w:rPr>
        <w:t>教育</w:t>
      </w:r>
      <w:r>
        <w:rPr>
          <w:rFonts w:hint="eastAsia"/>
        </w:rPr>
        <w:t>(</w:t>
      </w:r>
      <w:r>
        <w:rPr>
          <w:rFonts w:hint="eastAsia"/>
        </w:rPr>
        <w:t>第二十四条</w:t>
      </w:r>
      <w:r>
        <w:rPr>
          <w:rFonts w:hint="eastAsia"/>
        </w:rPr>
        <w:t>)</w:t>
      </w:r>
    </w:p>
    <w:p w:rsidR="007201CE" w:rsidRPr="00364E35" w:rsidRDefault="007201CE" w:rsidP="00BF3A74">
      <w:pPr>
        <w:pStyle w:val="SingleTxtGC"/>
      </w:pPr>
      <w:r w:rsidRPr="00364E35">
        <w:t>36</w:t>
      </w:r>
      <w:r w:rsidR="008034A3">
        <w:t xml:space="preserve">.  </w:t>
      </w:r>
      <w:r>
        <w:t>委员会</w:t>
      </w:r>
      <w:r w:rsidRPr="00247556">
        <w:rPr>
          <w:rFonts w:hint="eastAsia"/>
        </w:rPr>
        <w:t>感到关切的是</w:t>
      </w:r>
      <w:r>
        <w:rPr>
          <w:rFonts w:hint="eastAsia"/>
        </w:rPr>
        <w:t>：</w:t>
      </w:r>
    </w:p>
    <w:p w:rsidR="007201CE" w:rsidRPr="00364E35" w:rsidRDefault="007201CE" w:rsidP="00BF3A74">
      <w:pPr>
        <w:pStyle w:val="SingleTxtGC"/>
        <w:numPr>
          <w:ilvl w:val="0"/>
          <w:numId w:val="21"/>
        </w:numPr>
      </w:pPr>
      <w:r>
        <w:rPr>
          <w:rFonts w:hint="eastAsia"/>
        </w:rPr>
        <w:t>残疾人仅接受小学教育，全国</w:t>
      </w:r>
      <w:r>
        <w:rPr>
          <w:rFonts w:hint="eastAsia"/>
        </w:rPr>
        <w:t>414</w:t>
      </w:r>
      <w:r>
        <w:rPr>
          <w:rFonts w:hint="eastAsia"/>
        </w:rPr>
        <w:t>万在籍学生中，只有</w:t>
      </w:r>
      <w:r w:rsidRPr="00364E35">
        <w:t>2</w:t>
      </w:r>
      <w:r>
        <w:t>4,</w:t>
      </w:r>
      <w:r w:rsidRPr="00364E35">
        <w:t>499</w:t>
      </w:r>
      <w:r>
        <w:rPr>
          <w:rFonts w:hint="eastAsia"/>
        </w:rPr>
        <w:t>名残疾学生。</w:t>
      </w:r>
      <w:r>
        <w:t>委员会</w:t>
      </w:r>
      <w:r>
        <w:rPr>
          <w:rFonts w:hint="eastAsia"/>
        </w:rPr>
        <w:t>还感到关切的是，残疾人的平均在校时间为</w:t>
      </w:r>
      <w:r>
        <w:rPr>
          <w:rFonts w:hint="eastAsia"/>
        </w:rPr>
        <w:t>3</w:t>
      </w:r>
      <w:r>
        <w:rPr>
          <w:rFonts w:hint="eastAsia"/>
        </w:rPr>
        <w:t>至</w:t>
      </w:r>
      <w:r>
        <w:rPr>
          <w:rFonts w:hint="eastAsia"/>
        </w:rPr>
        <w:t>4</w:t>
      </w:r>
      <w:r>
        <w:rPr>
          <w:rFonts w:hint="eastAsia"/>
        </w:rPr>
        <w:t>年，而全国平均值为</w:t>
      </w:r>
      <w:r>
        <w:rPr>
          <w:rFonts w:hint="eastAsia"/>
        </w:rPr>
        <w:t>9</w:t>
      </w:r>
      <w:r>
        <w:rPr>
          <w:rFonts w:hint="eastAsia"/>
        </w:rPr>
        <w:t>年；</w:t>
      </w:r>
    </w:p>
    <w:p w:rsidR="007201CE" w:rsidRPr="00364E35" w:rsidRDefault="007201CE" w:rsidP="00BF3A74">
      <w:pPr>
        <w:pStyle w:val="SingleTxtGC"/>
        <w:numPr>
          <w:ilvl w:val="0"/>
          <w:numId w:val="21"/>
        </w:numPr>
      </w:pPr>
      <w:r>
        <w:rPr>
          <w:rFonts w:hint="eastAsia"/>
        </w:rPr>
        <w:t>虽然缔约国努力为教师提供专业培训，以便他们能够适应全纳教育的要求，但是仍需做出进一步努力，满足所有教育需求；</w:t>
      </w:r>
    </w:p>
    <w:p w:rsidR="007201CE" w:rsidRPr="00364E35" w:rsidRDefault="007201CE" w:rsidP="00BF3A74">
      <w:pPr>
        <w:pStyle w:val="SingleTxtGC"/>
        <w:numPr>
          <w:ilvl w:val="0"/>
          <w:numId w:val="21"/>
        </w:numPr>
      </w:pPr>
      <w:r>
        <w:rPr>
          <w:rFonts w:hint="eastAsia"/>
        </w:rPr>
        <w:t>缔约国目前为审查和监测国家残疾人平等事务委员会及其地方分支机构支助残疾人接受全纳教育的情况，而采取的程序性和组织性保障措施；</w:t>
      </w:r>
      <w:r w:rsidRPr="00364E35">
        <w:t xml:space="preserve"> </w:t>
      </w:r>
    </w:p>
    <w:p w:rsidR="007201CE" w:rsidRPr="00364E35" w:rsidRDefault="007201CE" w:rsidP="00BF3A74">
      <w:pPr>
        <w:pStyle w:val="SingleTxtGC"/>
        <w:numPr>
          <w:ilvl w:val="0"/>
          <w:numId w:val="21"/>
        </w:numPr>
      </w:pPr>
      <w:r>
        <w:rPr>
          <w:rFonts w:hint="eastAsia"/>
        </w:rPr>
        <w:t>很少有残疾人能够进入大学，大学尚未调整课程设置和主要教学设施，以便残疾人能够学习各种大学课程。</w:t>
      </w:r>
    </w:p>
    <w:p w:rsidR="00BF3A74" w:rsidRDefault="00BF3A74">
      <w:pPr>
        <w:tabs>
          <w:tab w:val="clear" w:pos="431"/>
        </w:tabs>
        <w:overflowPunct/>
        <w:adjustRightInd/>
        <w:snapToGrid/>
        <w:spacing w:line="240" w:lineRule="auto"/>
        <w:jc w:val="left"/>
        <w:rPr>
          <w:rFonts w:ascii="Time New Roman" w:eastAsia="黑体" w:hAnsi="Time New Roman" w:hint="eastAsia"/>
        </w:rPr>
      </w:pPr>
      <w:r>
        <w:rPr>
          <w:rFonts w:ascii="Time New Roman" w:eastAsia="黑体" w:hAnsi="Time New Roman" w:hint="eastAsia"/>
        </w:rPr>
        <w:br w:type="page"/>
      </w:r>
    </w:p>
    <w:p w:rsidR="007201CE" w:rsidRPr="00BF3A74" w:rsidRDefault="007201CE" w:rsidP="00BF3A74">
      <w:pPr>
        <w:pStyle w:val="SingleTxtGC"/>
        <w:rPr>
          <w:rFonts w:ascii="Time New Roman" w:eastAsia="黑体" w:hAnsi="Time New Roman" w:hint="eastAsia"/>
        </w:rPr>
      </w:pPr>
      <w:r w:rsidRPr="00BF3A74">
        <w:rPr>
          <w:rFonts w:ascii="Time New Roman" w:eastAsia="黑体" w:hAnsi="Time New Roman"/>
        </w:rPr>
        <w:lastRenderedPageBreak/>
        <w:t>37</w:t>
      </w:r>
      <w:r w:rsidR="008034A3" w:rsidRPr="00BF3A74">
        <w:rPr>
          <w:rFonts w:ascii="Time New Roman" w:eastAsia="黑体" w:hAnsi="Time New Roman"/>
        </w:rPr>
        <w:t xml:space="preserve">.  </w:t>
      </w:r>
      <w:r w:rsidRPr="00BF3A74">
        <w:rPr>
          <w:rFonts w:ascii="Time New Roman" w:eastAsia="黑体" w:hAnsi="Time New Roman"/>
        </w:rPr>
        <w:t>委员会建议</w:t>
      </w:r>
      <w:r w:rsidRPr="00BF3A74">
        <w:rPr>
          <w:rFonts w:ascii="Time New Roman" w:eastAsia="黑体" w:hAnsi="Time New Roman" w:hint="eastAsia"/>
        </w:rPr>
        <w:t>缔约国</w:t>
      </w:r>
      <w:r w:rsidRPr="00BF3A74">
        <w:rPr>
          <w:rFonts w:ascii="Time New Roman" w:eastAsia="黑体" w:hAnsi="Time New Roman"/>
        </w:rPr>
        <w:t>：</w:t>
      </w:r>
    </w:p>
    <w:p w:rsidR="007201CE" w:rsidRPr="00BF3A74" w:rsidRDefault="007201CE" w:rsidP="00BF3A74">
      <w:pPr>
        <w:pStyle w:val="SingleTxtGC"/>
        <w:numPr>
          <w:ilvl w:val="0"/>
          <w:numId w:val="23"/>
        </w:numPr>
        <w:rPr>
          <w:rFonts w:ascii="Time New Roman" w:eastAsia="黑体" w:hAnsi="Time New Roman" w:hint="eastAsia"/>
        </w:rPr>
      </w:pPr>
      <w:r w:rsidRPr="00BF3A74">
        <w:rPr>
          <w:rFonts w:ascii="Time New Roman" w:eastAsia="黑体" w:hAnsi="Time New Roman" w:hint="eastAsia"/>
        </w:rPr>
        <w:t>实行国家方案，确保厄瓜多尔所有残疾人均可进入小学、初中和高中学习，均可进入全纳教育体系，并在较高级别的学校中加强全纳教育；</w:t>
      </w:r>
    </w:p>
    <w:p w:rsidR="007201CE" w:rsidRPr="00BF3A74" w:rsidRDefault="007201CE" w:rsidP="00BF3A74">
      <w:pPr>
        <w:pStyle w:val="SingleTxtGC"/>
        <w:numPr>
          <w:ilvl w:val="0"/>
          <w:numId w:val="23"/>
        </w:numPr>
        <w:rPr>
          <w:rFonts w:ascii="Time New Roman" w:eastAsia="黑体" w:hAnsi="Time New Roman" w:hint="eastAsia"/>
        </w:rPr>
      </w:pPr>
      <w:r w:rsidRPr="00BF3A74">
        <w:rPr>
          <w:rFonts w:ascii="Time New Roman" w:eastAsia="黑体" w:hAnsi="Time New Roman" w:hint="eastAsia"/>
        </w:rPr>
        <w:t>进一步加强对教师的入职和继续培训，以便他们能够适应残疾人全纳教育的要求；</w:t>
      </w:r>
    </w:p>
    <w:p w:rsidR="007201CE" w:rsidRPr="00BF3A74" w:rsidRDefault="007201CE" w:rsidP="00BF3A74">
      <w:pPr>
        <w:pStyle w:val="SingleTxtGC"/>
        <w:numPr>
          <w:ilvl w:val="0"/>
          <w:numId w:val="23"/>
        </w:numPr>
        <w:rPr>
          <w:rFonts w:ascii="Time New Roman" w:eastAsia="黑体" w:hAnsi="Time New Roman" w:hint="eastAsia"/>
        </w:rPr>
      </w:pPr>
      <w:r w:rsidRPr="00BF3A74">
        <w:rPr>
          <w:rFonts w:ascii="Time New Roman" w:eastAsia="黑体" w:hAnsi="Time New Roman" w:hint="eastAsia"/>
        </w:rPr>
        <w:t>便利残疾人向国家残疾人平等事务委员会提起申诉，确保更有效地监测这方面的义务。</w:t>
      </w:r>
      <w:r w:rsidRPr="00BF3A74">
        <w:rPr>
          <w:rFonts w:ascii="Time New Roman" w:eastAsia="黑体" w:hAnsi="Time New Roman"/>
        </w:rPr>
        <w:t>委员会</w:t>
      </w:r>
      <w:r w:rsidRPr="00BF3A74">
        <w:rPr>
          <w:rFonts w:ascii="Time New Roman" w:eastAsia="黑体" w:hAnsi="Time New Roman" w:hint="eastAsia"/>
        </w:rPr>
        <w:t>还建议缔约国在每个学区都设立全纳教育支助机构，而不是像目前这样仅在各省设立此类机构；</w:t>
      </w:r>
    </w:p>
    <w:p w:rsidR="007201CE" w:rsidRPr="00BF3A74" w:rsidRDefault="007201CE" w:rsidP="00BF3A74">
      <w:pPr>
        <w:pStyle w:val="SingleTxtGC"/>
        <w:numPr>
          <w:ilvl w:val="0"/>
          <w:numId w:val="23"/>
        </w:numPr>
        <w:rPr>
          <w:rFonts w:ascii="Time New Roman" w:eastAsia="黑体" w:hAnsi="Time New Roman" w:hint="eastAsia"/>
        </w:rPr>
      </w:pPr>
      <w:r w:rsidRPr="00BF3A74">
        <w:rPr>
          <w:rFonts w:ascii="Time New Roman" w:eastAsia="黑体" w:hAnsi="Time New Roman" w:hint="eastAsia"/>
        </w:rPr>
        <w:t>加大力度，在大学推行残疾人全纳教育模式，鼓励大学调整课程设置和教学场所。</w:t>
      </w:r>
    </w:p>
    <w:p w:rsidR="007201CE" w:rsidRPr="00364E35" w:rsidRDefault="007201CE" w:rsidP="00BF3A74">
      <w:pPr>
        <w:pStyle w:val="H23GC"/>
      </w:pPr>
      <w:r w:rsidRPr="00364E35">
        <w:tab/>
      </w:r>
      <w:r w:rsidRPr="00364E35">
        <w:tab/>
      </w:r>
      <w:r>
        <w:rPr>
          <w:rFonts w:hint="eastAsia"/>
        </w:rPr>
        <w:t>健康</w:t>
      </w:r>
      <w:r>
        <w:rPr>
          <w:rFonts w:hint="eastAsia"/>
        </w:rPr>
        <w:t>(</w:t>
      </w:r>
      <w:r>
        <w:rPr>
          <w:rFonts w:hint="eastAsia"/>
        </w:rPr>
        <w:t>第二十五条</w:t>
      </w:r>
      <w:r>
        <w:rPr>
          <w:rFonts w:hint="eastAsia"/>
        </w:rPr>
        <w:t>)</w:t>
      </w:r>
    </w:p>
    <w:p w:rsidR="007201CE" w:rsidRPr="00364E35" w:rsidRDefault="007201CE" w:rsidP="00BF3A74">
      <w:pPr>
        <w:pStyle w:val="SingleTxtGC"/>
      </w:pPr>
      <w:r w:rsidRPr="00364E35">
        <w:t>38</w:t>
      </w:r>
      <w:r w:rsidR="008034A3">
        <w:t xml:space="preserve">.  </w:t>
      </w:r>
      <w:r>
        <w:t>委员会感到关切的是，</w:t>
      </w:r>
      <w:r>
        <w:rPr>
          <w:rFonts w:hint="eastAsia"/>
        </w:rPr>
        <w:t>生活在农村地区的残疾人无法获得公共卫生部通过综合支助中心为残疾人提供的健康服务。</w:t>
      </w:r>
    </w:p>
    <w:p w:rsidR="007201CE" w:rsidRPr="00BF3A74" w:rsidRDefault="007201CE" w:rsidP="00BF3A74">
      <w:pPr>
        <w:pStyle w:val="SingleTxtGC"/>
        <w:rPr>
          <w:rFonts w:ascii="Time New Roman" w:eastAsia="黑体" w:hAnsi="Time New Roman" w:hint="eastAsia"/>
        </w:rPr>
      </w:pPr>
      <w:r w:rsidRPr="00BF3A74">
        <w:rPr>
          <w:rFonts w:ascii="Time New Roman" w:eastAsia="黑体" w:hAnsi="Time New Roman"/>
        </w:rPr>
        <w:t>39</w:t>
      </w:r>
      <w:r w:rsidR="008034A3" w:rsidRPr="00BF3A74">
        <w:rPr>
          <w:rFonts w:ascii="Time New Roman" w:eastAsia="黑体" w:hAnsi="Time New Roman"/>
        </w:rPr>
        <w:t xml:space="preserve">.  </w:t>
      </w:r>
      <w:r w:rsidRPr="00BF3A74">
        <w:rPr>
          <w:rFonts w:ascii="Time New Roman" w:eastAsia="黑体" w:hAnsi="Time New Roman"/>
        </w:rPr>
        <w:t>委员会建议</w:t>
      </w:r>
      <w:r w:rsidRPr="00BF3A74">
        <w:rPr>
          <w:rFonts w:ascii="Time New Roman" w:eastAsia="黑体" w:hAnsi="Time New Roman" w:hint="eastAsia"/>
        </w:rPr>
        <w:t>公共卫生部在综合支助中心开展无障碍方案，以便执行各类残疾的支助计划，并确保农村地区的残疾人也能利用这些设施。</w:t>
      </w:r>
    </w:p>
    <w:p w:rsidR="007201CE" w:rsidRPr="00364E35" w:rsidRDefault="007201CE" w:rsidP="00BF3A74">
      <w:pPr>
        <w:pStyle w:val="SingleTxtGC"/>
      </w:pPr>
      <w:r w:rsidRPr="00364E35">
        <w:t>40</w:t>
      </w:r>
      <w:r w:rsidR="008034A3">
        <w:t xml:space="preserve">.  </w:t>
      </w:r>
      <w:r>
        <w:t>委员会感到关切的是，</w:t>
      </w:r>
      <w:r w:rsidRPr="002D3E57">
        <w:rPr>
          <w:rFonts w:hint="eastAsia"/>
        </w:rPr>
        <w:t>《综合刑事组织法》</w:t>
      </w:r>
      <w:r>
        <w:rPr>
          <w:rFonts w:hint="eastAsia"/>
        </w:rPr>
        <w:t>允许智障妇女的配偶、伴侣、近亲或法律代理人替她决定在强奸致孕后终止妊娠。</w:t>
      </w:r>
    </w:p>
    <w:p w:rsidR="007201CE" w:rsidRPr="00BF3A74" w:rsidRDefault="007201CE" w:rsidP="00BF3A74">
      <w:pPr>
        <w:pStyle w:val="SingleTxtGC"/>
        <w:rPr>
          <w:rFonts w:ascii="Time New Roman" w:eastAsia="黑体" w:hAnsi="Time New Roman" w:hint="eastAsia"/>
        </w:rPr>
      </w:pPr>
      <w:r w:rsidRPr="00BF3A74">
        <w:rPr>
          <w:rFonts w:ascii="Time New Roman" w:eastAsia="黑体" w:hAnsi="Time New Roman"/>
        </w:rPr>
        <w:t>41</w:t>
      </w:r>
      <w:r w:rsidR="008034A3" w:rsidRPr="00BF3A74">
        <w:rPr>
          <w:rFonts w:ascii="Time New Roman" w:eastAsia="黑体" w:hAnsi="Time New Roman"/>
        </w:rPr>
        <w:t xml:space="preserve">.  </w:t>
      </w:r>
      <w:r w:rsidRPr="00BF3A74">
        <w:rPr>
          <w:rFonts w:ascii="Time New Roman" w:eastAsia="黑体" w:hAnsi="Time New Roman"/>
        </w:rPr>
        <w:t>委员会建议</w:t>
      </w:r>
      <w:r w:rsidRPr="00BF3A74">
        <w:rPr>
          <w:rFonts w:ascii="Time New Roman" w:eastAsia="黑体" w:hAnsi="Time New Roman" w:hint="eastAsia"/>
        </w:rPr>
        <w:t>缔约国修订《综合刑事组织法》第</w:t>
      </w:r>
      <w:r w:rsidRPr="00BF3A74">
        <w:rPr>
          <w:rFonts w:ascii="Time New Roman" w:eastAsia="黑体" w:hAnsi="Time New Roman"/>
        </w:rPr>
        <w:t>150</w:t>
      </w:r>
      <w:r w:rsidRPr="00BF3A74">
        <w:rPr>
          <w:rFonts w:ascii="Time New Roman" w:eastAsia="黑体" w:hAnsi="Time New Roman" w:hint="eastAsia"/>
        </w:rPr>
        <w:t>条，以及其他任何准许第三方就残疾妇女的身体做决定的类似法律。</w:t>
      </w:r>
    </w:p>
    <w:p w:rsidR="007201CE" w:rsidRPr="00364E35" w:rsidRDefault="007201CE" w:rsidP="00BF3A74">
      <w:pPr>
        <w:pStyle w:val="H23GC"/>
      </w:pPr>
      <w:r w:rsidRPr="00364E35">
        <w:tab/>
      </w:r>
      <w:r w:rsidRPr="00364E35">
        <w:tab/>
      </w:r>
      <w:r>
        <w:rPr>
          <w:rFonts w:hint="eastAsia"/>
        </w:rPr>
        <w:t>工作和就业</w:t>
      </w:r>
      <w:r>
        <w:rPr>
          <w:rFonts w:hint="eastAsia"/>
        </w:rPr>
        <w:t>(</w:t>
      </w:r>
      <w:r>
        <w:rPr>
          <w:rFonts w:hint="eastAsia"/>
        </w:rPr>
        <w:t>第二十七条</w:t>
      </w:r>
      <w:r>
        <w:rPr>
          <w:rFonts w:hint="eastAsia"/>
        </w:rPr>
        <w:t>)</w:t>
      </w:r>
    </w:p>
    <w:p w:rsidR="007201CE" w:rsidRPr="00364E35" w:rsidRDefault="007201CE" w:rsidP="00BF3A74">
      <w:pPr>
        <w:pStyle w:val="SingleTxtGC"/>
      </w:pPr>
      <w:r w:rsidRPr="00364E35">
        <w:t>42</w:t>
      </w:r>
      <w:r w:rsidR="008034A3">
        <w:t xml:space="preserve">.  </w:t>
      </w:r>
      <w:r>
        <w:t>委员会</w:t>
      </w:r>
      <w:r>
        <w:rPr>
          <w:rFonts w:hint="eastAsia"/>
        </w:rPr>
        <w:t>对于残疾人就业率低感到关切。</w:t>
      </w:r>
    </w:p>
    <w:p w:rsidR="007201CE" w:rsidRPr="00364E35" w:rsidRDefault="007201CE" w:rsidP="00BF3A74">
      <w:pPr>
        <w:pStyle w:val="SingleTxtGC"/>
      </w:pPr>
      <w:r w:rsidRPr="00364E35">
        <w:t>43</w:t>
      </w:r>
      <w:r w:rsidR="008034A3">
        <w:t xml:space="preserve">.  </w:t>
      </w:r>
      <w:r>
        <w:t>委员会建议</w:t>
      </w:r>
      <w:r>
        <w:rPr>
          <w:rFonts w:hint="eastAsia"/>
        </w:rPr>
        <w:t>拟订提高残疾人就业率的计划，并制订残疾人就业方案。</w:t>
      </w:r>
    </w:p>
    <w:p w:rsidR="007201CE" w:rsidRPr="00364E35" w:rsidRDefault="007201CE" w:rsidP="00BF3A74">
      <w:pPr>
        <w:pStyle w:val="H23GC"/>
      </w:pPr>
      <w:r w:rsidRPr="00364E35">
        <w:tab/>
      </w:r>
      <w:r w:rsidRPr="00364E35">
        <w:tab/>
      </w:r>
      <w:r w:rsidRPr="00B7127B">
        <w:rPr>
          <w:rFonts w:hint="eastAsia"/>
        </w:rPr>
        <w:t>适足的生活水平和社会保护</w:t>
      </w:r>
      <w:r>
        <w:rPr>
          <w:rFonts w:hint="eastAsia"/>
        </w:rPr>
        <w:t>(</w:t>
      </w:r>
      <w:r>
        <w:rPr>
          <w:rFonts w:hint="eastAsia"/>
        </w:rPr>
        <w:t>第二十八条</w:t>
      </w:r>
      <w:r>
        <w:rPr>
          <w:rFonts w:hint="eastAsia"/>
        </w:rPr>
        <w:t>)</w:t>
      </w:r>
    </w:p>
    <w:p w:rsidR="007201CE" w:rsidRPr="00364E35" w:rsidRDefault="007201CE" w:rsidP="00BF3A74">
      <w:pPr>
        <w:pStyle w:val="SingleTxtGC"/>
      </w:pPr>
      <w:r w:rsidRPr="00364E35">
        <w:t>44</w:t>
      </w:r>
      <w:r w:rsidR="008034A3">
        <w:t xml:space="preserve">.  </w:t>
      </w:r>
      <w:r>
        <w:t>委员会感到关切的是，</w:t>
      </w:r>
      <w:r>
        <w:rPr>
          <w:rFonts w:hint="eastAsia"/>
        </w:rPr>
        <w:t>城市发展和住房部设计的社会住房原型没有考虑到使残疾人能够使用此类住房的通用设计问题。</w:t>
      </w:r>
    </w:p>
    <w:p w:rsidR="007201CE" w:rsidRPr="00BF3A74" w:rsidRDefault="007201CE" w:rsidP="00BF3A74">
      <w:pPr>
        <w:pStyle w:val="SingleTxtGC"/>
        <w:rPr>
          <w:rFonts w:ascii="Time New Roman" w:eastAsia="黑体" w:hAnsi="Time New Roman" w:hint="eastAsia"/>
        </w:rPr>
      </w:pPr>
      <w:r w:rsidRPr="00BF3A74">
        <w:rPr>
          <w:rFonts w:ascii="Time New Roman" w:eastAsia="黑体" w:hAnsi="Time New Roman"/>
        </w:rPr>
        <w:t>45</w:t>
      </w:r>
      <w:r w:rsidR="008034A3" w:rsidRPr="00BF3A74">
        <w:rPr>
          <w:rFonts w:ascii="Time New Roman" w:eastAsia="黑体" w:hAnsi="Time New Roman"/>
        </w:rPr>
        <w:t xml:space="preserve">.  </w:t>
      </w:r>
      <w:r w:rsidRPr="00BF3A74">
        <w:rPr>
          <w:rFonts w:ascii="Time New Roman" w:eastAsia="黑体" w:hAnsi="Time New Roman"/>
        </w:rPr>
        <w:t>委员会建议</w:t>
      </w:r>
      <w:r w:rsidRPr="00BF3A74">
        <w:rPr>
          <w:rFonts w:ascii="Time New Roman" w:eastAsia="黑体" w:hAnsi="Time New Roman" w:hint="eastAsia"/>
        </w:rPr>
        <w:t>审查和重新设计社会住房原型，以照顾残疾人的需求，从通用设计的角度规划住房。</w:t>
      </w:r>
    </w:p>
    <w:p w:rsidR="007201CE" w:rsidRPr="00364E35" w:rsidRDefault="007201CE" w:rsidP="00BF3A74">
      <w:pPr>
        <w:pStyle w:val="H23GC"/>
      </w:pPr>
      <w:r w:rsidRPr="00364E35">
        <w:tab/>
      </w:r>
      <w:r w:rsidRPr="00364E35">
        <w:tab/>
      </w:r>
      <w:r w:rsidRPr="00A718AB">
        <w:rPr>
          <w:rFonts w:hint="eastAsia"/>
        </w:rPr>
        <w:t>参与文化生活、娱乐、休闲和体育活动</w:t>
      </w:r>
      <w:r w:rsidRPr="00364E35">
        <w:t>(</w:t>
      </w:r>
      <w:r>
        <w:rPr>
          <w:rFonts w:hint="eastAsia"/>
        </w:rPr>
        <w:t>第三十条</w:t>
      </w:r>
      <w:r w:rsidRPr="00364E35">
        <w:t>)</w:t>
      </w:r>
    </w:p>
    <w:p w:rsidR="007201CE" w:rsidRPr="00364E35" w:rsidRDefault="007201CE" w:rsidP="00BF3A74">
      <w:pPr>
        <w:pStyle w:val="SingleTxtGC"/>
      </w:pPr>
      <w:r w:rsidRPr="00364E35">
        <w:t>46</w:t>
      </w:r>
      <w:r w:rsidR="008034A3">
        <w:t xml:space="preserve">.  </w:t>
      </w:r>
      <w:r>
        <w:t>委员会感到关切的是，</w:t>
      </w:r>
      <w:r>
        <w:rPr>
          <w:rFonts w:hint="eastAsia"/>
        </w:rPr>
        <w:t>国家的体育和文化设施也许未经必要调整，便于残疾人使用。</w:t>
      </w:r>
      <w:r>
        <w:t>委员会</w:t>
      </w:r>
      <w:r>
        <w:rPr>
          <w:rFonts w:hint="eastAsia"/>
        </w:rPr>
        <w:t>还感到关切的是，学校和体育中心不提供残疾人、尤其是残疾儿童可以参加的体育项目。</w:t>
      </w:r>
      <w:r>
        <w:t>委员会</w:t>
      </w:r>
      <w:r>
        <w:rPr>
          <w:rFonts w:hint="eastAsia"/>
        </w:rPr>
        <w:t>进一步表示关切的是，影剧院和其他娱乐设施缺少容纳残疾人的必要基础设施和合格的工作人员。</w:t>
      </w:r>
    </w:p>
    <w:p w:rsidR="007201CE" w:rsidRPr="00BF3A74" w:rsidRDefault="007201CE" w:rsidP="00BF3A74">
      <w:pPr>
        <w:pStyle w:val="SingleTxtGC"/>
        <w:rPr>
          <w:rFonts w:ascii="Time New Roman" w:eastAsia="黑体" w:hAnsi="Time New Roman" w:hint="eastAsia"/>
        </w:rPr>
      </w:pPr>
      <w:r w:rsidRPr="00BF3A74">
        <w:rPr>
          <w:rFonts w:ascii="Time New Roman" w:eastAsia="黑体" w:hAnsi="Time New Roman"/>
        </w:rPr>
        <w:lastRenderedPageBreak/>
        <w:t>47</w:t>
      </w:r>
      <w:r w:rsidR="008034A3" w:rsidRPr="00BF3A74">
        <w:rPr>
          <w:rFonts w:ascii="Time New Roman" w:eastAsia="黑体" w:hAnsi="Time New Roman"/>
        </w:rPr>
        <w:t xml:space="preserve">.  </w:t>
      </w:r>
      <w:r w:rsidRPr="00BF3A74">
        <w:rPr>
          <w:rFonts w:ascii="Time New Roman" w:eastAsia="黑体" w:hAnsi="Time New Roman"/>
        </w:rPr>
        <w:t>委员会建议</w:t>
      </w:r>
      <w:r w:rsidRPr="00BF3A74">
        <w:rPr>
          <w:rFonts w:ascii="Time New Roman" w:eastAsia="黑体" w:hAnsi="Time New Roman" w:hint="eastAsia"/>
        </w:rPr>
        <w:t>缔约国实行国家计划，开展促进无障碍体育活动的国家计划，改进文化娱乐政策，使残疾人能够使用主要的文娱设施。</w:t>
      </w:r>
      <w:r w:rsidRPr="00BF3A74">
        <w:rPr>
          <w:rFonts w:ascii="Time New Roman" w:eastAsia="黑体" w:hAnsi="Time New Roman"/>
        </w:rPr>
        <w:t>委员会</w:t>
      </w:r>
      <w:r w:rsidRPr="00BF3A74">
        <w:rPr>
          <w:rFonts w:ascii="Time New Roman" w:eastAsia="黑体" w:hAnsi="Time New Roman" w:hint="eastAsia"/>
        </w:rPr>
        <w:t>还建议，影剧院和其他娱乐设施的监管计划和政策考虑到残疾人无障碍的问题，在此类设施不符合无障碍条件时进行制裁。</w:t>
      </w:r>
    </w:p>
    <w:p w:rsidR="007201CE" w:rsidRPr="00364E35" w:rsidRDefault="007201CE" w:rsidP="00BF3A74">
      <w:pPr>
        <w:pStyle w:val="SingleTxtGC"/>
      </w:pPr>
      <w:r w:rsidRPr="00364E35">
        <w:t>48</w:t>
      </w:r>
      <w:r w:rsidR="008034A3">
        <w:t xml:space="preserve">.  </w:t>
      </w:r>
      <w:r>
        <w:t>委员会感到关切的是，</w:t>
      </w:r>
      <w:r>
        <w:rPr>
          <w:rFonts w:hint="eastAsia"/>
        </w:rPr>
        <w:t>缔约国尚未批准《</w:t>
      </w:r>
      <w:r w:rsidRPr="00701DDB">
        <w:rPr>
          <w:rFonts w:hint="eastAsia"/>
        </w:rPr>
        <w:t>关于方便盲人、视障者</w:t>
      </w:r>
      <w:r>
        <w:rPr>
          <w:rFonts w:hint="eastAsia"/>
        </w:rPr>
        <w:t>或</w:t>
      </w:r>
      <w:r w:rsidRPr="00701DDB">
        <w:rPr>
          <w:rFonts w:hint="eastAsia"/>
        </w:rPr>
        <w:t>印刷品阅读障碍者获得出版作品的马拉喀什条约》</w:t>
      </w:r>
      <w:r>
        <w:rPr>
          <w:rFonts w:hint="eastAsia"/>
        </w:rPr>
        <w:t>，这项条约将使</w:t>
      </w:r>
      <w:r w:rsidRPr="00701DDB">
        <w:rPr>
          <w:rFonts w:hint="eastAsia"/>
        </w:rPr>
        <w:t>盲人、视障者或印刷品阅读障碍者</w:t>
      </w:r>
      <w:r>
        <w:rPr>
          <w:rFonts w:hint="eastAsia"/>
        </w:rPr>
        <w:t>能够享用</w:t>
      </w:r>
      <w:r w:rsidRPr="00701DDB">
        <w:rPr>
          <w:rFonts w:hint="eastAsia"/>
        </w:rPr>
        <w:t>出版作品</w:t>
      </w:r>
      <w:r>
        <w:rPr>
          <w:rFonts w:hint="eastAsia"/>
        </w:rPr>
        <w:t>。</w:t>
      </w:r>
    </w:p>
    <w:p w:rsidR="007201CE" w:rsidRPr="00BF3A74" w:rsidRDefault="007201CE" w:rsidP="00BF3A74">
      <w:pPr>
        <w:pStyle w:val="SingleTxtGC"/>
        <w:rPr>
          <w:rFonts w:ascii="Time New Roman" w:eastAsia="黑体" w:hAnsi="Time New Roman" w:hint="eastAsia"/>
        </w:rPr>
      </w:pPr>
      <w:r w:rsidRPr="00BF3A74">
        <w:rPr>
          <w:rFonts w:ascii="Time New Roman" w:eastAsia="黑体" w:hAnsi="Time New Roman"/>
        </w:rPr>
        <w:t>49</w:t>
      </w:r>
      <w:r w:rsidR="008034A3" w:rsidRPr="00BF3A74">
        <w:rPr>
          <w:rFonts w:ascii="Time New Roman" w:eastAsia="黑体" w:hAnsi="Time New Roman"/>
        </w:rPr>
        <w:t>.</w:t>
      </w:r>
      <w:r w:rsidR="00BF3A74">
        <w:rPr>
          <w:rFonts w:ascii="Time New Roman" w:eastAsia="黑体" w:hAnsi="Time New Roman"/>
        </w:rPr>
        <w:t xml:space="preserve">  </w:t>
      </w:r>
      <w:r w:rsidRPr="00BF3A74">
        <w:rPr>
          <w:rFonts w:ascii="Time New Roman" w:eastAsia="黑体" w:hAnsi="Time New Roman"/>
          <w:spacing w:val="-2"/>
        </w:rPr>
        <w:t>委员会</w:t>
      </w:r>
      <w:r w:rsidRPr="00BF3A74">
        <w:rPr>
          <w:rFonts w:ascii="Time New Roman" w:eastAsia="黑体" w:hAnsi="Time New Roman" w:hint="eastAsia"/>
          <w:spacing w:val="-2"/>
        </w:rPr>
        <w:t>鼓励缔约国采取一切必要步骤，尽快批准和执行《马拉喀什条约》</w:t>
      </w:r>
      <w:r w:rsidRPr="00BF3A74">
        <w:rPr>
          <w:rFonts w:ascii="Time New Roman" w:eastAsia="黑体" w:hAnsi="Time New Roman" w:hint="eastAsia"/>
        </w:rPr>
        <w:t>。</w:t>
      </w:r>
    </w:p>
    <w:p w:rsidR="007201CE" w:rsidRPr="00364E35" w:rsidRDefault="007201CE" w:rsidP="00BF3A74">
      <w:pPr>
        <w:pStyle w:val="H1GC"/>
      </w:pPr>
      <w:r w:rsidRPr="00364E35">
        <w:tab/>
        <w:t>C</w:t>
      </w:r>
      <w:r w:rsidR="008034A3">
        <w:t>.</w:t>
      </w:r>
      <w:r w:rsidR="00BF3A74">
        <w:tab/>
      </w:r>
      <w:r>
        <w:t>具体义务</w:t>
      </w:r>
      <w:r>
        <w:t>(</w:t>
      </w:r>
      <w:r>
        <w:t>第三十一条至第三十三条</w:t>
      </w:r>
      <w:r>
        <w:t>)</w:t>
      </w:r>
    </w:p>
    <w:p w:rsidR="007201CE" w:rsidRPr="00364E35" w:rsidRDefault="007201CE" w:rsidP="00BF3A74">
      <w:pPr>
        <w:pStyle w:val="H23GC"/>
      </w:pPr>
      <w:r w:rsidRPr="00364E35">
        <w:tab/>
      </w:r>
      <w:r w:rsidRPr="00364E35">
        <w:tab/>
      </w:r>
      <w:r w:rsidRPr="00B7127B">
        <w:rPr>
          <w:rFonts w:hint="eastAsia"/>
        </w:rPr>
        <w:t>统计和数据收集</w:t>
      </w:r>
      <w:r>
        <w:t>(</w:t>
      </w:r>
      <w:r>
        <w:t>第三十一条</w:t>
      </w:r>
      <w:r>
        <w:t>)</w:t>
      </w:r>
    </w:p>
    <w:p w:rsidR="007201CE" w:rsidRPr="00364E35" w:rsidRDefault="007201CE" w:rsidP="00BF3A74">
      <w:pPr>
        <w:pStyle w:val="SingleTxtGC"/>
      </w:pPr>
      <w:r w:rsidRPr="00364E35">
        <w:t>50</w:t>
      </w:r>
      <w:r w:rsidR="008034A3">
        <w:t xml:space="preserve">.  </w:t>
      </w:r>
      <w:r>
        <w:t>委员会感到关切的是，</w:t>
      </w:r>
      <w:r>
        <w:rPr>
          <w:rFonts w:hint="eastAsia"/>
        </w:rPr>
        <w:t>厄瓜多尔仍然没有统一的数据收集系统，无法评估所有残疾人行使其权利的程度。</w:t>
      </w:r>
    </w:p>
    <w:p w:rsidR="007201CE" w:rsidRPr="00BF3A74" w:rsidRDefault="007201CE" w:rsidP="00BF3A74">
      <w:pPr>
        <w:pStyle w:val="SingleTxtGC"/>
        <w:rPr>
          <w:rFonts w:ascii="Time New Roman" w:eastAsia="黑体" w:hAnsi="Time New Roman" w:hint="eastAsia"/>
        </w:rPr>
      </w:pPr>
      <w:r w:rsidRPr="00BF3A74">
        <w:rPr>
          <w:rFonts w:ascii="Time New Roman" w:eastAsia="黑体" w:hAnsi="Time New Roman"/>
        </w:rPr>
        <w:t>51</w:t>
      </w:r>
      <w:r w:rsidR="008034A3" w:rsidRPr="00BF3A74">
        <w:rPr>
          <w:rFonts w:ascii="Time New Roman" w:eastAsia="黑体" w:hAnsi="Time New Roman"/>
        </w:rPr>
        <w:t xml:space="preserve">.  </w:t>
      </w:r>
      <w:r w:rsidRPr="00BF3A74">
        <w:rPr>
          <w:rFonts w:ascii="Time New Roman" w:eastAsia="黑体" w:hAnsi="Time New Roman"/>
        </w:rPr>
        <w:t>委员会建议</w:t>
      </w:r>
      <w:r w:rsidRPr="00BF3A74">
        <w:rPr>
          <w:rFonts w:ascii="Time New Roman" w:eastAsia="黑体" w:hAnsi="Time New Roman" w:hint="eastAsia"/>
        </w:rPr>
        <w:t>，建立一个数据收集系统，解决目前管理残疾人数据的各类机构之间数据分散而又不一致的问题，并且设立监测制度，利用明确的指标，衡量履行《公约》规定的各项权利的进展情况。</w:t>
      </w:r>
    </w:p>
    <w:p w:rsidR="007201CE" w:rsidRPr="00364E35" w:rsidRDefault="007201CE" w:rsidP="00BF3A74">
      <w:pPr>
        <w:pStyle w:val="SingleTxtGC"/>
      </w:pPr>
      <w:r w:rsidRPr="00364E35">
        <w:t>52</w:t>
      </w:r>
      <w:r w:rsidR="008034A3">
        <w:t xml:space="preserve">.  </w:t>
      </w:r>
      <w:r>
        <w:t>委员会感到关切的是，</w:t>
      </w:r>
      <w:r>
        <w:rPr>
          <w:rFonts w:hint="eastAsia"/>
        </w:rPr>
        <w:t>国家残疾分类制度中不包括土著儿童、非洲裔儿童和蒙特比奥人的分类数据。这些人群的境遇可能因为遭受多重歧视而雪上加霜，有必要获得可靠资料，以解决他们的具体需求。</w:t>
      </w:r>
    </w:p>
    <w:p w:rsidR="007201CE" w:rsidRPr="00BF3A74" w:rsidRDefault="007201CE" w:rsidP="00BF3A74">
      <w:pPr>
        <w:pStyle w:val="SingleTxtGC"/>
        <w:rPr>
          <w:rFonts w:ascii="Time New Roman" w:eastAsia="黑体" w:hAnsi="Time New Roman" w:hint="eastAsia"/>
        </w:rPr>
      </w:pPr>
      <w:r w:rsidRPr="00BF3A74">
        <w:rPr>
          <w:rFonts w:ascii="Time New Roman" w:eastAsia="黑体" w:hAnsi="Time New Roman"/>
        </w:rPr>
        <w:t>53</w:t>
      </w:r>
      <w:r w:rsidR="008034A3" w:rsidRPr="00BF3A74">
        <w:rPr>
          <w:rFonts w:ascii="Time New Roman" w:eastAsia="黑体" w:hAnsi="Time New Roman"/>
        </w:rPr>
        <w:t xml:space="preserve">.  </w:t>
      </w:r>
      <w:r w:rsidRPr="00BF3A74">
        <w:rPr>
          <w:rFonts w:ascii="Time New Roman" w:eastAsia="黑体" w:hAnsi="Time New Roman"/>
        </w:rPr>
        <w:t>委员会建议</w:t>
      </w:r>
      <w:r w:rsidRPr="00BF3A74">
        <w:rPr>
          <w:rFonts w:ascii="Time New Roman" w:eastAsia="黑体" w:hAnsi="Time New Roman" w:hint="eastAsia"/>
        </w:rPr>
        <w:t>缔约国开展专项调查，在国家人口普查中统计残疾人的人数，尤其是农村地区的蒙特比奥或非洲裔妇女和儿童的人数，以便为他们量身打造获得权利的方案。</w:t>
      </w:r>
    </w:p>
    <w:p w:rsidR="007201CE" w:rsidRPr="00364E35" w:rsidRDefault="007201CE" w:rsidP="00BF3A74">
      <w:pPr>
        <w:pStyle w:val="H23GC"/>
      </w:pPr>
      <w:r w:rsidRPr="00364E35">
        <w:tab/>
      </w:r>
      <w:r w:rsidRPr="00364E35">
        <w:tab/>
      </w:r>
      <w:r w:rsidRPr="00B7127B">
        <w:rPr>
          <w:rFonts w:hint="eastAsia"/>
        </w:rPr>
        <w:t>国家实施和监测</w:t>
      </w:r>
      <w:r>
        <w:t>(</w:t>
      </w:r>
      <w:r>
        <w:t>第三十三条</w:t>
      </w:r>
      <w:r>
        <w:t>)</w:t>
      </w:r>
    </w:p>
    <w:p w:rsidR="007201CE" w:rsidRPr="00364E35" w:rsidRDefault="007201CE" w:rsidP="00BF3A74">
      <w:pPr>
        <w:pStyle w:val="SingleTxtGC"/>
      </w:pPr>
      <w:r w:rsidRPr="00364E35">
        <w:t>54</w:t>
      </w:r>
      <w:r w:rsidR="008034A3">
        <w:t xml:space="preserve">.  </w:t>
      </w:r>
      <w:r>
        <w:t>委员会感到关切的是，</w:t>
      </w:r>
      <w:r>
        <w:rPr>
          <w:rFonts w:hint="eastAsia"/>
        </w:rPr>
        <w:t>监察员办公室不属于国家《公约》监测机制，该机制由公民参与和社会管理委员会及厄瓜多尔尊重残疾人权利公民监测中心组成。</w:t>
      </w:r>
      <w:r>
        <w:t>委员会</w:t>
      </w:r>
      <w:r>
        <w:rPr>
          <w:rFonts w:hint="eastAsia"/>
        </w:rPr>
        <w:t>还感到关切的是，缔约国缺乏专项机制，民间社会组织无法按照《公约》第三十三条第三款的规定，全程参与《公约》的监测进程。</w:t>
      </w:r>
    </w:p>
    <w:p w:rsidR="007201CE" w:rsidRPr="00BF3A74" w:rsidRDefault="007201CE" w:rsidP="00BF3A74">
      <w:pPr>
        <w:pStyle w:val="SingleTxtGC"/>
        <w:rPr>
          <w:rFonts w:ascii="Time New Roman" w:eastAsia="黑体" w:hAnsi="Time New Roman" w:hint="eastAsia"/>
        </w:rPr>
      </w:pPr>
      <w:r w:rsidRPr="00BF3A74">
        <w:rPr>
          <w:rFonts w:ascii="Time New Roman" w:eastAsia="黑体" w:hAnsi="Time New Roman"/>
        </w:rPr>
        <w:t>55</w:t>
      </w:r>
      <w:r w:rsidR="008034A3" w:rsidRPr="00BF3A74">
        <w:rPr>
          <w:rFonts w:ascii="Time New Roman" w:eastAsia="黑体" w:hAnsi="Time New Roman"/>
        </w:rPr>
        <w:t xml:space="preserve">.  </w:t>
      </w:r>
      <w:r w:rsidRPr="00BF3A74">
        <w:rPr>
          <w:rFonts w:ascii="Time New Roman" w:eastAsia="黑体" w:hAnsi="Time New Roman"/>
        </w:rPr>
        <w:t>委员会提醒缔约国，</w:t>
      </w:r>
      <w:r w:rsidRPr="00BF3A74">
        <w:rPr>
          <w:rFonts w:ascii="Time New Roman" w:eastAsia="黑体" w:hAnsi="Time New Roman" w:hint="eastAsia"/>
        </w:rPr>
        <w:t>国家监测机制必须独立而且承担促进、保护和监测执行《公约》的具体任务。</w:t>
      </w:r>
      <w:r w:rsidRPr="00BF3A74">
        <w:rPr>
          <w:rFonts w:ascii="Time New Roman" w:eastAsia="黑体" w:hAnsi="Time New Roman"/>
        </w:rPr>
        <w:t>委员会</w:t>
      </w:r>
      <w:r w:rsidRPr="00BF3A74">
        <w:rPr>
          <w:rFonts w:ascii="Time New Roman" w:eastAsia="黑体" w:hAnsi="Time New Roman" w:hint="eastAsia"/>
        </w:rPr>
        <w:t>就此敦促缔约国，采取必要的法律措施，按照《公约》规定明确建立符合《巴黎原则》的独立机制，加强该机制的能力，为其提供有效履行任务所需的预算和资源，并确保残疾人及其代表组织充分参与监测进程。</w:t>
      </w:r>
    </w:p>
    <w:p w:rsidR="007201CE" w:rsidRPr="00364E35" w:rsidRDefault="007201CE" w:rsidP="00BF3A74">
      <w:pPr>
        <w:pStyle w:val="H23GC"/>
      </w:pPr>
      <w:r>
        <w:lastRenderedPageBreak/>
        <w:tab/>
      </w:r>
      <w:r>
        <w:tab/>
      </w:r>
      <w:r>
        <w:rPr>
          <w:rFonts w:hint="eastAsia"/>
        </w:rPr>
        <w:t>合作与技术援助</w:t>
      </w:r>
    </w:p>
    <w:p w:rsidR="007201CE" w:rsidRPr="00364E35" w:rsidRDefault="007201CE" w:rsidP="00BF3A74">
      <w:pPr>
        <w:pStyle w:val="SingleTxtGC"/>
      </w:pPr>
      <w:r w:rsidRPr="00364E35">
        <w:t>56</w:t>
      </w:r>
      <w:r w:rsidR="008034A3">
        <w:t xml:space="preserve">.  </w:t>
      </w:r>
      <w:r>
        <w:t>根据《公约》第三十七条，委员会可以就缔约国通过秘书处</w:t>
      </w:r>
      <w:r>
        <w:rPr>
          <w:rFonts w:hint="eastAsia"/>
        </w:rPr>
        <w:t>向</w:t>
      </w:r>
      <w:r>
        <w:t>专家</w:t>
      </w:r>
      <w:r>
        <w:rPr>
          <w:rFonts w:hint="eastAsia"/>
        </w:rPr>
        <w:t>提出</w:t>
      </w:r>
      <w:r>
        <w:t>的任何问题</w:t>
      </w:r>
      <w:r>
        <w:rPr>
          <w:rFonts w:hint="eastAsia"/>
        </w:rPr>
        <w:t>，向缔约国</w:t>
      </w:r>
      <w:r>
        <w:t>提供技术指导。缔约国还可向总部设于该国或该区域的联合国专门机构寻求技术援助。</w:t>
      </w:r>
    </w:p>
    <w:p w:rsidR="007201CE" w:rsidRPr="00364E35" w:rsidRDefault="007201CE" w:rsidP="00BF3A74">
      <w:pPr>
        <w:pStyle w:val="H23GC"/>
      </w:pPr>
      <w:r w:rsidRPr="00364E35">
        <w:tab/>
      </w:r>
      <w:r w:rsidRPr="00364E35">
        <w:tab/>
      </w:r>
      <w:r>
        <w:t>结论性意见的落实和传播</w:t>
      </w:r>
    </w:p>
    <w:p w:rsidR="007201CE" w:rsidRPr="00364E35" w:rsidRDefault="007201CE" w:rsidP="00BF3A74">
      <w:pPr>
        <w:pStyle w:val="SingleTxtGC"/>
      </w:pPr>
      <w:r w:rsidRPr="00364E35">
        <w:t>57</w:t>
      </w:r>
      <w:r w:rsidR="008034A3">
        <w:t xml:space="preserve">.  </w:t>
      </w:r>
      <w:r>
        <w:t>委员会请缔约国在</w:t>
      </w:r>
      <w:r>
        <w:t>12</w:t>
      </w:r>
      <w:r>
        <w:t>个月内按照《公约》第三十五条第二款提交书面资料，说明为落实第</w:t>
      </w:r>
      <w:r>
        <w:rPr>
          <w:rFonts w:hint="eastAsia"/>
        </w:rPr>
        <w:t>29</w:t>
      </w:r>
      <w:r w:rsidRPr="00364E35">
        <w:t>(a)</w:t>
      </w:r>
      <w:r>
        <w:t>段和第</w:t>
      </w:r>
      <w:r>
        <w:t>31(a)</w:t>
      </w:r>
      <w:r>
        <w:rPr>
          <w:rFonts w:hint="eastAsia"/>
        </w:rPr>
        <w:t>和</w:t>
      </w:r>
      <w:r w:rsidRPr="00364E35">
        <w:t>(b)</w:t>
      </w:r>
      <w:r>
        <w:t>段所载建议而采取的措施。</w:t>
      </w:r>
    </w:p>
    <w:p w:rsidR="007201CE" w:rsidRPr="00364E35" w:rsidRDefault="007201CE" w:rsidP="00BF3A74">
      <w:pPr>
        <w:pStyle w:val="SingleTxtGC"/>
      </w:pPr>
      <w:r w:rsidRPr="00364E35">
        <w:t>58</w:t>
      </w:r>
      <w:r w:rsidR="008034A3">
        <w:t xml:space="preserve">.  </w:t>
      </w:r>
      <w:r>
        <w:t>委员会请缔约国</w:t>
      </w:r>
      <w:r>
        <w:rPr>
          <w:rFonts w:hint="eastAsia"/>
        </w:rPr>
        <w:t>落实</w:t>
      </w:r>
      <w:r>
        <w:t>委员会</w:t>
      </w:r>
      <w:r>
        <w:rPr>
          <w:rFonts w:hint="eastAsia"/>
        </w:rPr>
        <w:t>在本结论性意见中提出的建议。</w:t>
      </w:r>
      <w:r>
        <w:t>委员会建议</w:t>
      </w:r>
      <w:r>
        <w:rPr>
          <w:rFonts w:hint="eastAsia"/>
        </w:rPr>
        <w:t>缔约国</w:t>
      </w:r>
      <w:r>
        <w:t>利用</w:t>
      </w:r>
      <w:r>
        <w:rPr>
          <w:rFonts w:hint="eastAsia"/>
        </w:rPr>
        <w:t>现有</w:t>
      </w:r>
      <w:r>
        <w:t>的社会传播策略，将本结论性意见转</w:t>
      </w:r>
      <w:r>
        <w:rPr>
          <w:rFonts w:hint="eastAsia"/>
        </w:rPr>
        <w:t>达</w:t>
      </w:r>
      <w:r>
        <w:t>政府和</w:t>
      </w:r>
      <w:r>
        <w:rPr>
          <w:rFonts w:hint="eastAsia"/>
        </w:rPr>
        <w:t>国民代表大会成员</w:t>
      </w:r>
      <w:r>
        <w:t>、</w:t>
      </w:r>
      <w:r>
        <w:rPr>
          <w:rFonts w:hint="eastAsia"/>
        </w:rPr>
        <w:t>有关</w:t>
      </w:r>
      <w:r>
        <w:t>部委官员、司法机构成员和教育、医务及法律工作者等相关专业群体成员</w:t>
      </w:r>
      <w:r>
        <w:rPr>
          <w:rFonts w:hint="eastAsia"/>
        </w:rPr>
        <w:t>，</w:t>
      </w:r>
      <w:r>
        <w:t>以及地方当局、私营部门和媒体，供其</w:t>
      </w:r>
      <w:r>
        <w:rPr>
          <w:rFonts w:hint="eastAsia"/>
        </w:rPr>
        <w:t>考虑</w:t>
      </w:r>
      <w:r>
        <w:t>并采取行动。</w:t>
      </w:r>
    </w:p>
    <w:p w:rsidR="007201CE" w:rsidRPr="00BD7189" w:rsidRDefault="007201CE" w:rsidP="00BF3A74">
      <w:pPr>
        <w:pStyle w:val="SingleTxtGC"/>
      </w:pPr>
      <w:r w:rsidRPr="00364E35">
        <w:t>59</w:t>
      </w:r>
      <w:r w:rsidR="008034A3">
        <w:t xml:space="preserve">.  </w:t>
      </w:r>
      <w:r>
        <w:t>委员会请缔约国以</w:t>
      </w:r>
      <w:r>
        <w:rPr>
          <w:rFonts w:hint="eastAsia"/>
        </w:rPr>
        <w:t>无障碍形式</w:t>
      </w:r>
      <w:r>
        <w:t>广泛宣传</w:t>
      </w:r>
      <w:r>
        <w:rPr>
          <w:rFonts w:hint="eastAsia"/>
        </w:rPr>
        <w:t>本</w:t>
      </w:r>
      <w:r>
        <w:t>结论性意见，</w:t>
      </w:r>
      <w:r>
        <w:rPr>
          <w:rFonts w:hint="eastAsia"/>
        </w:rPr>
        <w:t>特别是</w:t>
      </w:r>
      <w:r>
        <w:t>向非政府组织和残疾人组织及残疾人本人和其家人宣传。</w:t>
      </w:r>
    </w:p>
    <w:p w:rsidR="007201CE" w:rsidRPr="00364E35" w:rsidRDefault="007201CE" w:rsidP="00BF3A74">
      <w:pPr>
        <w:pStyle w:val="SingleTxtGC"/>
      </w:pPr>
      <w:r w:rsidRPr="00364E35">
        <w:t>60</w:t>
      </w:r>
      <w:r w:rsidR="008034A3">
        <w:t xml:space="preserve">.  </w:t>
      </w:r>
      <w:r>
        <w:t>委员会鼓励缔约国吸收民间社会组织、尤其是残疾人组织参与</w:t>
      </w:r>
      <w:r>
        <w:rPr>
          <w:rFonts w:hint="eastAsia"/>
        </w:rPr>
        <w:t>编写今后的</w:t>
      </w:r>
      <w:r>
        <w:t>定期报告</w:t>
      </w:r>
      <w:r>
        <w:rPr>
          <w:rFonts w:hint="eastAsia"/>
        </w:rPr>
        <w:t>。</w:t>
      </w:r>
    </w:p>
    <w:p w:rsidR="007201CE" w:rsidRPr="00364E35" w:rsidRDefault="007201CE" w:rsidP="00BF3A74">
      <w:pPr>
        <w:pStyle w:val="H23GC"/>
      </w:pPr>
      <w:r>
        <w:tab/>
      </w:r>
      <w:r>
        <w:tab/>
      </w:r>
      <w:r>
        <w:t>下一次报告</w:t>
      </w:r>
    </w:p>
    <w:p w:rsidR="007201CE" w:rsidRPr="00364E35" w:rsidRDefault="007201CE" w:rsidP="00BF3A74">
      <w:pPr>
        <w:pStyle w:val="SingleTxtGC"/>
      </w:pPr>
      <w:r w:rsidRPr="00364E35">
        <w:t>61</w:t>
      </w:r>
      <w:r w:rsidR="008034A3">
        <w:t xml:space="preserve">.  </w:t>
      </w:r>
      <w:r>
        <w:t>委员会请缔约国在</w:t>
      </w:r>
      <w:r>
        <w:t>2018</w:t>
      </w:r>
      <w:r>
        <w:t>年</w:t>
      </w:r>
      <w:r>
        <w:rPr>
          <w:rFonts w:hint="eastAsia"/>
        </w:rPr>
        <w:t>5</w:t>
      </w:r>
      <w:r>
        <w:t>月</w:t>
      </w:r>
      <w:r>
        <w:rPr>
          <w:rFonts w:hint="eastAsia"/>
        </w:rPr>
        <w:t>3</w:t>
      </w:r>
      <w:r>
        <w:t>日之前提交第二次和第三次合并定期报告。委员会还允许缔约国使用简化报告程序提交</w:t>
      </w:r>
      <w:r>
        <w:rPr>
          <w:rFonts w:hint="eastAsia"/>
        </w:rPr>
        <w:t>上述</w:t>
      </w:r>
      <w:r>
        <w:t>合并报告。根据简化报告程序，委员会将在</w:t>
      </w:r>
      <w:r>
        <w:rPr>
          <w:rFonts w:hint="eastAsia"/>
        </w:rPr>
        <w:t>合并</w:t>
      </w:r>
      <w:r>
        <w:t>报告截止日期至少一年前编制一份问题单。缔约国对该问题单的答复即构成缔约国的报告。</w:t>
      </w:r>
    </w:p>
    <w:p w:rsidR="00BF3A74" w:rsidRPr="002D6A9C" w:rsidRDefault="00BF3A74">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rsidR="007201CE" w:rsidRPr="007201CE" w:rsidRDefault="007201CE" w:rsidP="007201CE">
      <w:pPr>
        <w:pStyle w:val="SingleTxtGC"/>
      </w:pPr>
    </w:p>
    <w:sectPr w:rsidR="007201CE" w:rsidRPr="007201CE" w:rsidSect="000C43DF">
      <w:headerReference w:type="even" r:id="rId10"/>
      <w:headerReference w:type="default" r:id="rId11"/>
      <w:footerReference w:type="even" r:id="rId12"/>
      <w:footerReference w:type="default" r:id="rId13"/>
      <w:footerReference w:type="first" r:id="rId14"/>
      <w:endnotePr>
        <w:numFmt w:val="decimal"/>
      </w:endnotePr>
      <w:pgSz w:w="11906" w:h="16838" w:code="9"/>
      <w:pgMar w:top="1701" w:right="1134" w:bottom="2268" w:left="1134" w:header="1134" w:footer="1701" w:gutter="0"/>
      <w:cols w:space="425"/>
      <w:titlePg/>
      <w:docGrid w:type="lines"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6273C" w:rsidRPr="000D319F" w:rsidRDefault="00E6273C" w:rsidP="000D319F">
      <w:pPr>
        <w:pStyle w:val="ae"/>
        <w:spacing w:after="240"/>
        <w:ind w:left="907"/>
        <w:rPr>
          <w:rFonts w:asciiTheme="majorBidi" w:eastAsia="宋体" w:hAnsiTheme="majorBidi" w:cstheme="majorBidi"/>
          <w:sz w:val="21"/>
          <w:szCs w:val="21"/>
          <w:lang w:val="en-US"/>
        </w:rPr>
      </w:pPr>
    </w:p>
    <w:p w:rsidR="00E6273C" w:rsidRPr="000D319F" w:rsidRDefault="00E6273C" w:rsidP="000D319F">
      <w:pPr>
        <w:pStyle w:val="ae"/>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rsidR="00E6273C" w:rsidRPr="000D319F" w:rsidRDefault="00E6273C" w:rsidP="000D319F">
      <w:pPr>
        <w:pStyle w:val="ae"/>
      </w:pPr>
    </w:p>
  </w:endnote>
  <w:endnote w:type="continuationNotice" w:id="1">
    <w:p w:rsidR="00E6273C" w:rsidRDefault="00E6273C">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楷体">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10002FF" w:usb1="4000ACFF" w:usb2="00000009" w:usb3="00000000" w:csb0="0000019F" w:csb1="00000000"/>
  </w:font>
  <w:font w:name="Time New Roman">
    <w:altName w:val="Times New Roman"/>
    <w:panose1 w:val="00000000000000000000"/>
    <w:charset w:val="00"/>
    <w:family w:val="roman"/>
    <w:notTrueType/>
    <w:pitch w:val="default"/>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6632" w:rsidRPr="007201CE" w:rsidRDefault="007201CE" w:rsidP="007201CE">
    <w:pPr>
      <w:pStyle w:val="ae"/>
      <w:tabs>
        <w:tab w:val="clear" w:pos="431"/>
        <w:tab w:val="right" w:pos="9638"/>
      </w:tabs>
      <w:rPr>
        <w:rStyle w:val="af"/>
      </w:rPr>
    </w:pPr>
    <w:r>
      <w:rPr>
        <w:rStyle w:val="af"/>
      </w:rPr>
      <w:fldChar w:fldCharType="begin"/>
    </w:r>
    <w:r>
      <w:rPr>
        <w:rStyle w:val="af"/>
      </w:rPr>
      <w:instrText xml:space="preserve"> PAGE  \* MERGEFORMAT </w:instrText>
    </w:r>
    <w:r>
      <w:rPr>
        <w:rStyle w:val="af"/>
      </w:rPr>
      <w:fldChar w:fldCharType="separate"/>
    </w:r>
    <w:r w:rsidR="00027815">
      <w:rPr>
        <w:rStyle w:val="af"/>
        <w:noProof/>
      </w:rPr>
      <w:t>8</w:t>
    </w:r>
    <w:r>
      <w:rPr>
        <w:rStyle w:val="af"/>
      </w:rPr>
      <w:fldChar w:fldCharType="end"/>
    </w:r>
    <w:r>
      <w:rPr>
        <w:rStyle w:val="af"/>
      </w:rPr>
      <w:tab/>
    </w:r>
    <w:r w:rsidRPr="007201CE">
      <w:rPr>
        <w:rStyle w:val="af"/>
        <w:b w:val="0"/>
        <w:snapToGrid w:val="0"/>
        <w:sz w:val="16"/>
      </w:rPr>
      <w:t>GE.14-19201</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6632" w:rsidRPr="007201CE" w:rsidRDefault="007201CE" w:rsidP="007201CE">
    <w:pPr>
      <w:pStyle w:val="ae"/>
      <w:tabs>
        <w:tab w:val="clear" w:pos="431"/>
        <w:tab w:val="right" w:pos="9638"/>
      </w:tabs>
      <w:rPr>
        <w:rStyle w:val="af"/>
      </w:rPr>
    </w:pPr>
    <w:r>
      <w:t>GE.14-19201</w:t>
    </w:r>
    <w:r>
      <w:tab/>
    </w:r>
    <w:r>
      <w:rPr>
        <w:rStyle w:val="af"/>
      </w:rPr>
      <w:fldChar w:fldCharType="begin"/>
    </w:r>
    <w:r>
      <w:rPr>
        <w:rStyle w:val="af"/>
      </w:rPr>
      <w:instrText xml:space="preserve"> PAGE  \* MERGEFORMAT </w:instrText>
    </w:r>
    <w:r>
      <w:rPr>
        <w:rStyle w:val="af"/>
      </w:rPr>
      <w:fldChar w:fldCharType="separate"/>
    </w:r>
    <w:r w:rsidR="00027815">
      <w:rPr>
        <w:rStyle w:val="af"/>
        <w:noProof/>
      </w:rPr>
      <w:t>9</w:t>
    </w:r>
    <w:r>
      <w:rPr>
        <w:rStyle w:val="af"/>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6632" w:rsidRPr="00B44B82" w:rsidRDefault="007201CE" w:rsidP="008034A3">
    <w:pPr>
      <w:pStyle w:val="ae"/>
      <w:tabs>
        <w:tab w:val="left" w:pos="1701"/>
        <w:tab w:val="left" w:pos="2552"/>
        <w:tab w:val="left" w:pos="8448"/>
      </w:tabs>
      <w:spacing w:before="360"/>
      <w:rPr>
        <w:rFonts w:eastAsiaTheme="minorEastAsia"/>
        <w:b/>
        <w:sz w:val="21"/>
        <w:lang w:eastAsia="zh-CN"/>
      </w:rPr>
    </w:pPr>
    <w:r>
      <w:rPr>
        <w:sz w:val="20"/>
        <w:lang w:eastAsia="zh-CN"/>
      </w:rPr>
      <w:t>GE.14-19201</w:t>
    </w:r>
    <w:r w:rsidR="00731A42" w:rsidRPr="00EE277A">
      <w:rPr>
        <w:sz w:val="20"/>
        <w:lang w:eastAsia="zh-CN"/>
      </w:rPr>
      <w:t xml:space="preserve"> (C)</w:t>
    </w:r>
    <w:r w:rsidR="00B44B82">
      <w:rPr>
        <w:sz w:val="20"/>
        <w:lang w:eastAsia="zh-CN"/>
      </w:rPr>
      <w:tab/>
    </w:r>
    <w:r w:rsidR="008034A3">
      <w:rPr>
        <w:sz w:val="20"/>
        <w:lang w:eastAsia="zh-CN"/>
      </w:rPr>
      <w:t>1711</w:t>
    </w:r>
    <w:r w:rsidR="00B44B82">
      <w:rPr>
        <w:sz w:val="20"/>
        <w:lang w:eastAsia="zh-CN"/>
      </w:rPr>
      <w:t>1</w:t>
    </w:r>
    <w:r w:rsidR="008034A3">
      <w:rPr>
        <w:sz w:val="20"/>
        <w:lang w:eastAsia="zh-CN"/>
      </w:rPr>
      <w:t>4</w:t>
    </w:r>
    <w:r w:rsidR="00731A42">
      <w:rPr>
        <w:sz w:val="20"/>
        <w:lang w:eastAsia="zh-CN"/>
      </w:rPr>
      <w:tab/>
    </w:r>
    <w:r w:rsidR="008034A3">
      <w:rPr>
        <w:sz w:val="20"/>
        <w:lang w:eastAsia="zh-CN"/>
      </w:rPr>
      <w:t>1002</w:t>
    </w:r>
    <w:r w:rsidR="00731A42">
      <w:rPr>
        <w:sz w:val="20"/>
        <w:lang w:eastAsia="zh-CN"/>
      </w:rPr>
      <w:t>1</w:t>
    </w:r>
    <w:r w:rsidR="00B44B82">
      <w:rPr>
        <w:rFonts w:eastAsiaTheme="minorEastAsia" w:hint="eastAsia"/>
        <w:sz w:val="20"/>
        <w:lang w:eastAsia="zh-CN"/>
      </w:rPr>
      <w:t>5</w:t>
    </w:r>
  </w:p>
  <w:p w:rsidR="00056632" w:rsidRPr="00487939" w:rsidRDefault="007201CE" w:rsidP="00487939">
    <w:pPr>
      <w:pStyle w:val="ae"/>
      <w:tabs>
        <w:tab w:val="clear" w:pos="431"/>
        <w:tab w:val="right" w:pos="8450"/>
      </w:tabs>
      <w:rPr>
        <w:sz w:val="20"/>
        <w:lang w:val="en-US" w:eastAsia="zh-CN"/>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b/>
        <w:noProof/>
        <w:snapToGrid/>
        <w:sz w:val="21"/>
        <w:lang w:val="en-US" w:eastAsia="zh-CN"/>
      </w:rPr>
      <w:drawing>
        <wp:anchor distT="0" distB="0" distL="114300" distR="114300" simplePos="0" relativeHeight="251658240" behindDoc="0" locked="0" layoutInCell="1" allowOverlap="1" wp14:anchorId="0EB9807F" wp14:editId="7D834D38">
          <wp:simplePos x="0" y="0"/>
          <wp:positionH relativeFrom="column">
            <wp:align>right</wp:align>
          </wp:positionH>
          <wp:positionV relativeFrom="paragraph">
            <wp:posOffset>-310515</wp:posOffset>
          </wp:positionV>
          <wp:extent cx="638175" cy="638175"/>
          <wp:effectExtent l="0" t="0" r="9525" b="9525"/>
          <wp:wrapNone/>
          <wp:docPr id="1" name="图片 1" descr="http://undocs.org/m2/QRCode.ashx?DS=CRPD/C/ECU/CO/1&amp;Size=2 &amp;Lang=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RPD/C/ECU/CO/1&amp;Size=2 &amp;Lang=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r w:rsidR="00731A42">
      <w:rPr>
        <w:b/>
        <w:sz w:val="21"/>
      </w:rPr>
      <w:tab/>
    </w:r>
    <w:r w:rsidR="00A1364C">
      <w:rPr>
        <w:rFonts w:hint="eastAsia"/>
        <w:b/>
        <w:noProof/>
        <w:snapToGrid/>
        <w:sz w:val="21"/>
        <w:lang w:val="en-US" w:eastAsia="zh-CN"/>
      </w:rPr>
      <w:drawing>
        <wp:inline distT="0" distB="0" distL="0" distR="0" wp14:anchorId="31364951" wp14:editId="0AA77887">
          <wp:extent cx="618490" cy="228600"/>
          <wp:effectExtent l="0" t="0" r="0" b="0"/>
          <wp:docPr id="2" name="图片 2" descr="recycle_Chine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6273C" w:rsidRPr="000157B1" w:rsidRDefault="00E6273C" w:rsidP="00943B69">
      <w:pPr>
        <w:pStyle w:val="ae"/>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rsidR="00E6273C" w:rsidRPr="000157B1" w:rsidRDefault="00E6273C" w:rsidP="00943B69">
      <w:pPr>
        <w:pStyle w:val="ae"/>
        <w:tabs>
          <w:tab w:val="clear" w:pos="431"/>
          <w:tab w:val="right" w:pos="2155"/>
        </w:tabs>
        <w:spacing w:after="80" w:line="240" w:lineRule="atLeast"/>
        <w:ind w:left="680"/>
        <w:rPr>
          <w:u w:val="single"/>
          <w:lang w:eastAsia="zh-CN"/>
        </w:rPr>
      </w:pPr>
      <w:r>
        <w:rPr>
          <w:u w:val="single"/>
          <w:lang w:eastAsia="zh-CN"/>
        </w:rPr>
        <w:tab/>
      </w:r>
    </w:p>
  </w:footnote>
  <w:footnote w:type="continuationNotice" w:id="1">
    <w:p w:rsidR="00E6273C" w:rsidRDefault="00E6273C"/>
  </w:footnote>
  <w:footnote w:id="2">
    <w:p w:rsidR="007201CE" w:rsidRPr="007201CE" w:rsidRDefault="007201CE" w:rsidP="008034A3">
      <w:pPr>
        <w:pStyle w:val="a6"/>
        <w:overflowPunct w:val="0"/>
      </w:pPr>
      <w:r w:rsidRPr="00CC1874">
        <w:rPr>
          <w:rStyle w:val="a7"/>
          <w:rFonts w:eastAsia="宋体"/>
          <w:vertAlign w:val="baseline"/>
        </w:rPr>
        <w:tab/>
      </w:r>
      <w:r w:rsidRPr="007201CE">
        <w:rPr>
          <w:rStyle w:val="a7"/>
          <w:rFonts w:eastAsia="宋体"/>
          <w:szCs w:val="21"/>
          <w:vertAlign w:val="baseline"/>
        </w:rPr>
        <w:t>*</w:t>
      </w:r>
      <w:r w:rsidRPr="00CC1874">
        <w:rPr>
          <w:rStyle w:val="a7"/>
          <w:rFonts w:eastAsia="宋体"/>
          <w:szCs w:val="21"/>
          <w:vertAlign w:val="baseline"/>
        </w:rPr>
        <w:tab/>
      </w:r>
      <w:r w:rsidRPr="007201CE">
        <w:rPr>
          <w:rFonts w:hint="eastAsia"/>
        </w:rPr>
        <w:t>委员会第十二届会议（</w:t>
      </w:r>
      <w:r w:rsidRPr="007201CE">
        <w:rPr>
          <w:rFonts w:hint="eastAsia"/>
        </w:rPr>
        <w:t>2014</w:t>
      </w:r>
      <w:r w:rsidRPr="007201CE">
        <w:rPr>
          <w:rFonts w:hint="eastAsia"/>
        </w:rPr>
        <w:t>年</w:t>
      </w:r>
      <w:r w:rsidRPr="007201CE">
        <w:rPr>
          <w:rFonts w:hint="eastAsia"/>
        </w:rPr>
        <w:t>9</w:t>
      </w:r>
      <w:r w:rsidRPr="007201CE">
        <w:rPr>
          <w:rFonts w:hint="eastAsia"/>
        </w:rPr>
        <w:t>月</w:t>
      </w:r>
      <w:r w:rsidRPr="007201CE">
        <w:rPr>
          <w:rFonts w:hint="eastAsia"/>
        </w:rPr>
        <w:t>15</w:t>
      </w:r>
      <w:r w:rsidRPr="007201CE">
        <w:rPr>
          <w:rFonts w:hint="eastAsia"/>
        </w:rPr>
        <w:t>日至</w:t>
      </w:r>
      <w:r w:rsidRPr="007201CE">
        <w:rPr>
          <w:rFonts w:hint="eastAsia"/>
        </w:rPr>
        <w:t>10</w:t>
      </w:r>
      <w:r w:rsidRPr="007201CE">
        <w:rPr>
          <w:rFonts w:hint="eastAsia"/>
        </w:rPr>
        <w:t>月</w:t>
      </w:r>
      <w:r w:rsidRPr="007201CE">
        <w:rPr>
          <w:rFonts w:hint="eastAsia"/>
        </w:rPr>
        <w:t>3</w:t>
      </w:r>
      <w:r w:rsidRPr="007201CE">
        <w:rPr>
          <w:rFonts w:hint="eastAsia"/>
        </w:rPr>
        <w:t>日）通过。</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6632" w:rsidRDefault="007201CE" w:rsidP="007201CE">
    <w:pPr>
      <w:pStyle w:val="af0"/>
    </w:pPr>
    <w:r>
      <w:t>CRPD/C/ECU/CO/1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6632" w:rsidRPr="00202A30" w:rsidRDefault="007201CE" w:rsidP="007201CE">
    <w:pPr>
      <w:pStyle w:val="af0"/>
      <w:jc w:val="right"/>
    </w:pPr>
    <w:r>
      <w:t>CRPD/C/ECU/CO/1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nsid w:val="0D8D056E"/>
    <w:multiLevelType w:val="hybridMultilevel"/>
    <w:tmpl w:val="04742E6C"/>
    <w:lvl w:ilvl="0" w:tplc="C36A3712">
      <w:start w:val="1"/>
      <w:numFmt w:val="lowerLetter"/>
      <w:lvlText w:val="(%1)"/>
      <w:lvlJc w:val="left"/>
      <w:pPr>
        <w:ind w:left="1140" w:hanging="705"/>
      </w:pPr>
      <w:rPr>
        <w:rFonts w:hint="default"/>
      </w:rPr>
    </w:lvl>
    <w:lvl w:ilvl="1" w:tplc="04090019" w:tentative="1">
      <w:start w:val="1"/>
      <w:numFmt w:val="lowerLetter"/>
      <w:lvlText w:val="%2)"/>
      <w:lvlJc w:val="left"/>
      <w:pPr>
        <w:ind w:left="1275" w:hanging="420"/>
      </w:pPr>
    </w:lvl>
    <w:lvl w:ilvl="2" w:tplc="0409001B" w:tentative="1">
      <w:start w:val="1"/>
      <w:numFmt w:val="lowerRoman"/>
      <w:lvlText w:val="%3."/>
      <w:lvlJc w:val="right"/>
      <w:pPr>
        <w:ind w:left="1695" w:hanging="420"/>
      </w:pPr>
    </w:lvl>
    <w:lvl w:ilvl="3" w:tplc="0409000F" w:tentative="1">
      <w:start w:val="1"/>
      <w:numFmt w:val="decimal"/>
      <w:lvlText w:val="%4."/>
      <w:lvlJc w:val="left"/>
      <w:pPr>
        <w:ind w:left="2115" w:hanging="420"/>
      </w:pPr>
    </w:lvl>
    <w:lvl w:ilvl="4" w:tplc="04090019" w:tentative="1">
      <w:start w:val="1"/>
      <w:numFmt w:val="lowerLetter"/>
      <w:lvlText w:val="%5)"/>
      <w:lvlJc w:val="left"/>
      <w:pPr>
        <w:ind w:left="2535" w:hanging="420"/>
      </w:pPr>
    </w:lvl>
    <w:lvl w:ilvl="5" w:tplc="0409001B" w:tentative="1">
      <w:start w:val="1"/>
      <w:numFmt w:val="lowerRoman"/>
      <w:lvlText w:val="%6."/>
      <w:lvlJc w:val="right"/>
      <w:pPr>
        <w:ind w:left="2955" w:hanging="420"/>
      </w:pPr>
    </w:lvl>
    <w:lvl w:ilvl="6" w:tplc="0409000F" w:tentative="1">
      <w:start w:val="1"/>
      <w:numFmt w:val="decimal"/>
      <w:lvlText w:val="%7."/>
      <w:lvlJc w:val="left"/>
      <w:pPr>
        <w:ind w:left="3375" w:hanging="420"/>
      </w:pPr>
    </w:lvl>
    <w:lvl w:ilvl="7" w:tplc="04090019" w:tentative="1">
      <w:start w:val="1"/>
      <w:numFmt w:val="lowerLetter"/>
      <w:lvlText w:val="%8)"/>
      <w:lvlJc w:val="left"/>
      <w:pPr>
        <w:ind w:left="3795" w:hanging="420"/>
      </w:pPr>
    </w:lvl>
    <w:lvl w:ilvl="8" w:tplc="0409001B" w:tentative="1">
      <w:start w:val="1"/>
      <w:numFmt w:val="lowerRoman"/>
      <w:lvlText w:val="%9."/>
      <w:lvlJc w:val="right"/>
      <w:pPr>
        <w:ind w:left="4215" w:hanging="420"/>
      </w:pPr>
    </w:lvl>
  </w:abstractNum>
  <w:abstractNum w:abstractNumId="2">
    <w:nsid w:val="0FE61942"/>
    <w:multiLevelType w:val="hybridMultilevel"/>
    <w:tmpl w:val="5CE64520"/>
    <w:lvl w:ilvl="0" w:tplc="B48ABD20">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4">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5">
    <w:nsid w:val="1A642EC8"/>
    <w:multiLevelType w:val="hybridMultilevel"/>
    <w:tmpl w:val="BE6A590A"/>
    <w:lvl w:ilvl="0" w:tplc="10781548">
      <w:start w:val="1"/>
      <w:numFmt w:val="lowerLetter"/>
      <w:lvlText w:val="(%1)"/>
      <w:lvlJc w:val="left"/>
      <w:pPr>
        <w:ind w:left="1140" w:hanging="705"/>
      </w:pPr>
      <w:rPr>
        <w:rFonts w:hint="default"/>
      </w:rPr>
    </w:lvl>
    <w:lvl w:ilvl="1" w:tplc="04090019" w:tentative="1">
      <w:start w:val="1"/>
      <w:numFmt w:val="lowerLetter"/>
      <w:lvlText w:val="%2)"/>
      <w:lvlJc w:val="left"/>
      <w:pPr>
        <w:ind w:left="1275" w:hanging="420"/>
      </w:pPr>
    </w:lvl>
    <w:lvl w:ilvl="2" w:tplc="0409001B" w:tentative="1">
      <w:start w:val="1"/>
      <w:numFmt w:val="lowerRoman"/>
      <w:lvlText w:val="%3."/>
      <w:lvlJc w:val="right"/>
      <w:pPr>
        <w:ind w:left="1695" w:hanging="420"/>
      </w:pPr>
    </w:lvl>
    <w:lvl w:ilvl="3" w:tplc="0409000F" w:tentative="1">
      <w:start w:val="1"/>
      <w:numFmt w:val="decimal"/>
      <w:lvlText w:val="%4."/>
      <w:lvlJc w:val="left"/>
      <w:pPr>
        <w:ind w:left="2115" w:hanging="420"/>
      </w:pPr>
    </w:lvl>
    <w:lvl w:ilvl="4" w:tplc="04090019" w:tentative="1">
      <w:start w:val="1"/>
      <w:numFmt w:val="lowerLetter"/>
      <w:lvlText w:val="%5)"/>
      <w:lvlJc w:val="left"/>
      <w:pPr>
        <w:ind w:left="2535" w:hanging="420"/>
      </w:pPr>
    </w:lvl>
    <w:lvl w:ilvl="5" w:tplc="0409001B" w:tentative="1">
      <w:start w:val="1"/>
      <w:numFmt w:val="lowerRoman"/>
      <w:lvlText w:val="%6."/>
      <w:lvlJc w:val="right"/>
      <w:pPr>
        <w:ind w:left="2955" w:hanging="420"/>
      </w:pPr>
    </w:lvl>
    <w:lvl w:ilvl="6" w:tplc="0409000F" w:tentative="1">
      <w:start w:val="1"/>
      <w:numFmt w:val="decimal"/>
      <w:lvlText w:val="%7."/>
      <w:lvlJc w:val="left"/>
      <w:pPr>
        <w:ind w:left="3375" w:hanging="420"/>
      </w:pPr>
    </w:lvl>
    <w:lvl w:ilvl="7" w:tplc="04090019" w:tentative="1">
      <w:start w:val="1"/>
      <w:numFmt w:val="lowerLetter"/>
      <w:lvlText w:val="%8)"/>
      <w:lvlJc w:val="left"/>
      <w:pPr>
        <w:ind w:left="3795" w:hanging="420"/>
      </w:pPr>
    </w:lvl>
    <w:lvl w:ilvl="8" w:tplc="0409001B" w:tentative="1">
      <w:start w:val="1"/>
      <w:numFmt w:val="lowerRoman"/>
      <w:lvlText w:val="%9."/>
      <w:lvlJc w:val="right"/>
      <w:pPr>
        <w:ind w:left="4215" w:hanging="420"/>
      </w:pPr>
    </w:lvl>
  </w:abstractNum>
  <w:abstractNum w:abstractNumId="6">
    <w:nsid w:val="26EA2374"/>
    <w:multiLevelType w:val="hybridMultilevel"/>
    <w:tmpl w:val="20CEE090"/>
    <w:lvl w:ilvl="0" w:tplc="1B06F80A">
      <w:start w:val="1"/>
      <w:numFmt w:val="lowerLetter"/>
      <w:lvlText w:val="(%1)"/>
      <w:lvlJc w:val="left"/>
      <w:pPr>
        <w:ind w:left="1140" w:hanging="705"/>
      </w:pPr>
      <w:rPr>
        <w:rFonts w:hint="default"/>
      </w:rPr>
    </w:lvl>
    <w:lvl w:ilvl="1" w:tplc="04090019" w:tentative="1">
      <w:start w:val="1"/>
      <w:numFmt w:val="lowerLetter"/>
      <w:lvlText w:val="%2)"/>
      <w:lvlJc w:val="left"/>
      <w:pPr>
        <w:ind w:left="1275" w:hanging="420"/>
      </w:pPr>
    </w:lvl>
    <w:lvl w:ilvl="2" w:tplc="0409001B" w:tentative="1">
      <w:start w:val="1"/>
      <w:numFmt w:val="lowerRoman"/>
      <w:lvlText w:val="%3."/>
      <w:lvlJc w:val="right"/>
      <w:pPr>
        <w:ind w:left="1695" w:hanging="420"/>
      </w:pPr>
    </w:lvl>
    <w:lvl w:ilvl="3" w:tplc="0409000F" w:tentative="1">
      <w:start w:val="1"/>
      <w:numFmt w:val="decimal"/>
      <w:lvlText w:val="%4."/>
      <w:lvlJc w:val="left"/>
      <w:pPr>
        <w:ind w:left="2115" w:hanging="420"/>
      </w:pPr>
    </w:lvl>
    <w:lvl w:ilvl="4" w:tplc="04090019" w:tentative="1">
      <w:start w:val="1"/>
      <w:numFmt w:val="lowerLetter"/>
      <w:lvlText w:val="%5)"/>
      <w:lvlJc w:val="left"/>
      <w:pPr>
        <w:ind w:left="2535" w:hanging="420"/>
      </w:pPr>
    </w:lvl>
    <w:lvl w:ilvl="5" w:tplc="0409001B" w:tentative="1">
      <w:start w:val="1"/>
      <w:numFmt w:val="lowerRoman"/>
      <w:lvlText w:val="%6."/>
      <w:lvlJc w:val="right"/>
      <w:pPr>
        <w:ind w:left="2955" w:hanging="420"/>
      </w:pPr>
    </w:lvl>
    <w:lvl w:ilvl="6" w:tplc="0409000F" w:tentative="1">
      <w:start w:val="1"/>
      <w:numFmt w:val="decimal"/>
      <w:lvlText w:val="%7."/>
      <w:lvlJc w:val="left"/>
      <w:pPr>
        <w:ind w:left="3375" w:hanging="420"/>
      </w:pPr>
    </w:lvl>
    <w:lvl w:ilvl="7" w:tplc="04090019" w:tentative="1">
      <w:start w:val="1"/>
      <w:numFmt w:val="lowerLetter"/>
      <w:lvlText w:val="%8)"/>
      <w:lvlJc w:val="left"/>
      <w:pPr>
        <w:ind w:left="3795" w:hanging="420"/>
      </w:pPr>
    </w:lvl>
    <w:lvl w:ilvl="8" w:tplc="0409001B" w:tentative="1">
      <w:start w:val="1"/>
      <w:numFmt w:val="lowerRoman"/>
      <w:lvlText w:val="%9."/>
      <w:lvlJc w:val="right"/>
      <w:pPr>
        <w:ind w:left="4215" w:hanging="420"/>
      </w:pPr>
    </w:lvl>
  </w:abstractNum>
  <w:abstractNum w:abstractNumId="7">
    <w:nsid w:val="2CD406CE"/>
    <w:multiLevelType w:val="hybridMultilevel"/>
    <w:tmpl w:val="8C2871A8"/>
    <w:lvl w:ilvl="0" w:tplc="DB329A06">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8">
    <w:nsid w:val="34596A0E"/>
    <w:multiLevelType w:val="hybridMultilevel"/>
    <w:tmpl w:val="B1327BA2"/>
    <w:lvl w:ilvl="0" w:tplc="BB8C5DBC">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9">
    <w:nsid w:val="38D46E70"/>
    <w:multiLevelType w:val="hybridMultilevel"/>
    <w:tmpl w:val="3DE852F2"/>
    <w:lvl w:ilvl="0" w:tplc="FACCEA8A">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0">
    <w:nsid w:val="42711F60"/>
    <w:multiLevelType w:val="hybridMultilevel"/>
    <w:tmpl w:val="E4EAAC54"/>
    <w:lvl w:ilvl="0" w:tplc="1AA0EAB6">
      <w:start w:val="1"/>
      <w:numFmt w:val="lowerLetter"/>
      <w:lvlText w:val="(%1)"/>
      <w:lvlJc w:val="left"/>
      <w:pPr>
        <w:ind w:left="1140" w:hanging="705"/>
      </w:pPr>
      <w:rPr>
        <w:rFonts w:hint="default"/>
      </w:rPr>
    </w:lvl>
    <w:lvl w:ilvl="1" w:tplc="04090019" w:tentative="1">
      <w:start w:val="1"/>
      <w:numFmt w:val="lowerLetter"/>
      <w:lvlText w:val="%2)"/>
      <w:lvlJc w:val="left"/>
      <w:pPr>
        <w:ind w:left="1275" w:hanging="420"/>
      </w:pPr>
    </w:lvl>
    <w:lvl w:ilvl="2" w:tplc="0409001B" w:tentative="1">
      <w:start w:val="1"/>
      <w:numFmt w:val="lowerRoman"/>
      <w:lvlText w:val="%3."/>
      <w:lvlJc w:val="right"/>
      <w:pPr>
        <w:ind w:left="1695" w:hanging="420"/>
      </w:pPr>
    </w:lvl>
    <w:lvl w:ilvl="3" w:tplc="0409000F" w:tentative="1">
      <w:start w:val="1"/>
      <w:numFmt w:val="decimal"/>
      <w:lvlText w:val="%4."/>
      <w:lvlJc w:val="left"/>
      <w:pPr>
        <w:ind w:left="2115" w:hanging="420"/>
      </w:pPr>
    </w:lvl>
    <w:lvl w:ilvl="4" w:tplc="04090019" w:tentative="1">
      <w:start w:val="1"/>
      <w:numFmt w:val="lowerLetter"/>
      <w:lvlText w:val="%5)"/>
      <w:lvlJc w:val="left"/>
      <w:pPr>
        <w:ind w:left="2535" w:hanging="420"/>
      </w:pPr>
    </w:lvl>
    <w:lvl w:ilvl="5" w:tplc="0409001B" w:tentative="1">
      <w:start w:val="1"/>
      <w:numFmt w:val="lowerRoman"/>
      <w:lvlText w:val="%6."/>
      <w:lvlJc w:val="right"/>
      <w:pPr>
        <w:ind w:left="2955" w:hanging="420"/>
      </w:pPr>
    </w:lvl>
    <w:lvl w:ilvl="6" w:tplc="0409000F" w:tentative="1">
      <w:start w:val="1"/>
      <w:numFmt w:val="decimal"/>
      <w:lvlText w:val="%7."/>
      <w:lvlJc w:val="left"/>
      <w:pPr>
        <w:ind w:left="3375" w:hanging="420"/>
      </w:pPr>
    </w:lvl>
    <w:lvl w:ilvl="7" w:tplc="04090019" w:tentative="1">
      <w:start w:val="1"/>
      <w:numFmt w:val="lowerLetter"/>
      <w:lvlText w:val="%8)"/>
      <w:lvlJc w:val="left"/>
      <w:pPr>
        <w:ind w:left="3795" w:hanging="420"/>
      </w:pPr>
    </w:lvl>
    <w:lvl w:ilvl="8" w:tplc="0409001B" w:tentative="1">
      <w:start w:val="1"/>
      <w:numFmt w:val="lowerRoman"/>
      <w:lvlText w:val="%9."/>
      <w:lvlJc w:val="right"/>
      <w:pPr>
        <w:ind w:left="4215" w:hanging="420"/>
      </w:pPr>
    </w:lvl>
  </w:abstractNum>
  <w:abstractNum w:abstractNumId="11">
    <w:nsid w:val="43721D3E"/>
    <w:multiLevelType w:val="hybridMultilevel"/>
    <w:tmpl w:val="2048E780"/>
    <w:lvl w:ilvl="0" w:tplc="C44C3236">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2">
    <w:nsid w:val="4C052DC1"/>
    <w:multiLevelType w:val="hybridMultilevel"/>
    <w:tmpl w:val="74487B66"/>
    <w:lvl w:ilvl="0" w:tplc="13C82C3C">
      <w:start w:val="1"/>
      <w:numFmt w:val="lowerLetter"/>
      <w:lvlText w:val="(%1)"/>
      <w:lvlJc w:val="left"/>
      <w:pPr>
        <w:ind w:left="1140" w:hanging="705"/>
      </w:pPr>
      <w:rPr>
        <w:rFonts w:hint="default"/>
      </w:rPr>
    </w:lvl>
    <w:lvl w:ilvl="1" w:tplc="04090019" w:tentative="1">
      <w:start w:val="1"/>
      <w:numFmt w:val="lowerLetter"/>
      <w:lvlText w:val="%2)"/>
      <w:lvlJc w:val="left"/>
      <w:pPr>
        <w:ind w:left="1275" w:hanging="420"/>
      </w:pPr>
    </w:lvl>
    <w:lvl w:ilvl="2" w:tplc="0409001B" w:tentative="1">
      <w:start w:val="1"/>
      <w:numFmt w:val="lowerRoman"/>
      <w:lvlText w:val="%3."/>
      <w:lvlJc w:val="right"/>
      <w:pPr>
        <w:ind w:left="1695" w:hanging="420"/>
      </w:pPr>
    </w:lvl>
    <w:lvl w:ilvl="3" w:tplc="0409000F" w:tentative="1">
      <w:start w:val="1"/>
      <w:numFmt w:val="decimal"/>
      <w:lvlText w:val="%4."/>
      <w:lvlJc w:val="left"/>
      <w:pPr>
        <w:ind w:left="2115" w:hanging="420"/>
      </w:pPr>
    </w:lvl>
    <w:lvl w:ilvl="4" w:tplc="04090019" w:tentative="1">
      <w:start w:val="1"/>
      <w:numFmt w:val="lowerLetter"/>
      <w:lvlText w:val="%5)"/>
      <w:lvlJc w:val="left"/>
      <w:pPr>
        <w:ind w:left="2535" w:hanging="420"/>
      </w:pPr>
    </w:lvl>
    <w:lvl w:ilvl="5" w:tplc="0409001B" w:tentative="1">
      <w:start w:val="1"/>
      <w:numFmt w:val="lowerRoman"/>
      <w:lvlText w:val="%6."/>
      <w:lvlJc w:val="right"/>
      <w:pPr>
        <w:ind w:left="2955" w:hanging="420"/>
      </w:pPr>
    </w:lvl>
    <w:lvl w:ilvl="6" w:tplc="0409000F" w:tentative="1">
      <w:start w:val="1"/>
      <w:numFmt w:val="decimal"/>
      <w:lvlText w:val="%7."/>
      <w:lvlJc w:val="left"/>
      <w:pPr>
        <w:ind w:left="3375" w:hanging="420"/>
      </w:pPr>
    </w:lvl>
    <w:lvl w:ilvl="7" w:tplc="04090019" w:tentative="1">
      <w:start w:val="1"/>
      <w:numFmt w:val="lowerLetter"/>
      <w:lvlText w:val="%8)"/>
      <w:lvlJc w:val="left"/>
      <w:pPr>
        <w:ind w:left="3795" w:hanging="420"/>
      </w:pPr>
    </w:lvl>
    <w:lvl w:ilvl="8" w:tplc="0409001B" w:tentative="1">
      <w:start w:val="1"/>
      <w:numFmt w:val="lowerRoman"/>
      <w:lvlText w:val="%9."/>
      <w:lvlJc w:val="right"/>
      <w:pPr>
        <w:ind w:left="4215" w:hanging="420"/>
      </w:pPr>
    </w:lvl>
  </w:abstractNum>
  <w:abstractNum w:abstractNumId="13">
    <w:nsid w:val="58DE792C"/>
    <w:multiLevelType w:val="hybridMultilevel"/>
    <w:tmpl w:val="D980BD58"/>
    <w:lvl w:ilvl="0" w:tplc="2468F08C">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4">
    <w:nsid w:val="5A10579A"/>
    <w:multiLevelType w:val="hybridMultilevel"/>
    <w:tmpl w:val="FBD2407C"/>
    <w:lvl w:ilvl="0" w:tplc="934C3E3C">
      <w:start w:val="1"/>
      <w:numFmt w:val="lowerLetter"/>
      <w:lvlText w:val="(%1)"/>
      <w:lvlJc w:val="left"/>
      <w:pPr>
        <w:ind w:left="1140" w:hanging="705"/>
      </w:pPr>
      <w:rPr>
        <w:rFonts w:hint="default"/>
      </w:rPr>
    </w:lvl>
    <w:lvl w:ilvl="1" w:tplc="04090019" w:tentative="1">
      <w:start w:val="1"/>
      <w:numFmt w:val="lowerLetter"/>
      <w:lvlText w:val="%2)"/>
      <w:lvlJc w:val="left"/>
      <w:pPr>
        <w:ind w:left="1275" w:hanging="420"/>
      </w:pPr>
    </w:lvl>
    <w:lvl w:ilvl="2" w:tplc="0409001B" w:tentative="1">
      <w:start w:val="1"/>
      <w:numFmt w:val="lowerRoman"/>
      <w:lvlText w:val="%3."/>
      <w:lvlJc w:val="right"/>
      <w:pPr>
        <w:ind w:left="1695" w:hanging="420"/>
      </w:pPr>
    </w:lvl>
    <w:lvl w:ilvl="3" w:tplc="0409000F" w:tentative="1">
      <w:start w:val="1"/>
      <w:numFmt w:val="decimal"/>
      <w:lvlText w:val="%4."/>
      <w:lvlJc w:val="left"/>
      <w:pPr>
        <w:ind w:left="2115" w:hanging="420"/>
      </w:pPr>
    </w:lvl>
    <w:lvl w:ilvl="4" w:tplc="04090019" w:tentative="1">
      <w:start w:val="1"/>
      <w:numFmt w:val="lowerLetter"/>
      <w:lvlText w:val="%5)"/>
      <w:lvlJc w:val="left"/>
      <w:pPr>
        <w:ind w:left="2535" w:hanging="420"/>
      </w:pPr>
    </w:lvl>
    <w:lvl w:ilvl="5" w:tplc="0409001B" w:tentative="1">
      <w:start w:val="1"/>
      <w:numFmt w:val="lowerRoman"/>
      <w:lvlText w:val="%6."/>
      <w:lvlJc w:val="right"/>
      <w:pPr>
        <w:ind w:left="2955" w:hanging="420"/>
      </w:pPr>
    </w:lvl>
    <w:lvl w:ilvl="6" w:tplc="0409000F" w:tentative="1">
      <w:start w:val="1"/>
      <w:numFmt w:val="decimal"/>
      <w:lvlText w:val="%7."/>
      <w:lvlJc w:val="left"/>
      <w:pPr>
        <w:ind w:left="3375" w:hanging="420"/>
      </w:pPr>
    </w:lvl>
    <w:lvl w:ilvl="7" w:tplc="04090019" w:tentative="1">
      <w:start w:val="1"/>
      <w:numFmt w:val="lowerLetter"/>
      <w:lvlText w:val="%8)"/>
      <w:lvlJc w:val="left"/>
      <w:pPr>
        <w:ind w:left="3795" w:hanging="420"/>
      </w:pPr>
    </w:lvl>
    <w:lvl w:ilvl="8" w:tplc="0409001B" w:tentative="1">
      <w:start w:val="1"/>
      <w:numFmt w:val="lowerRoman"/>
      <w:lvlText w:val="%9."/>
      <w:lvlJc w:val="right"/>
      <w:pPr>
        <w:ind w:left="4215" w:hanging="420"/>
      </w:pPr>
    </w:lvl>
  </w:abstractNum>
  <w:abstractNum w:abstractNumId="15">
    <w:nsid w:val="5ABA5525"/>
    <w:multiLevelType w:val="hybridMultilevel"/>
    <w:tmpl w:val="7388AB42"/>
    <w:lvl w:ilvl="0" w:tplc="49C0D526">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6">
    <w:nsid w:val="5AF41F46"/>
    <w:multiLevelType w:val="hybridMultilevel"/>
    <w:tmpl w:val="9EC0D232"/>
    <w:lvl w:ilvl="0" w:tplc="F58A47EC">
      <w:start w:val="1"/>
      <w:numFmt w:val="lowerLetter"/>
      <w:lvlText w:val="(%1)"/>
      <w:lvlJc w:val="left"/>
      <w:pPr>
        <w:ind w:left="1140" w:hanging="705"/>
      </w:pPr>
      <w:rPr>
        <w:rFonts w:hint="default"/>
      </w:rPr>
    </w:lvl>
    <w:lvl w:ilvl="1" w:tplc="04090019" w:tentative="1">
      <w:start w:val="1"/>
      <w:numFmt w:val="lowerLetter"/>
      <w:lvlText w:val="%2)"/>
      <w:lvlJc w:val="left"/>
      <w:pPr>
        <w:ind w:left="1275" w:hanging="420"/>
      </w:pPr>
    </w:lvl>
    <w:lvl w:ilvl="2" w:tplc="0409001B" w:tentative="1">
      <w:start w:val="1"/>
      <w:numFmt w:val="lowerRoman"/>
      <w:lvlText w:val="%3."/>
      <w:lvlJc w:val="right"/>
      <w:pPr>
        <w:ind w:left="1695" w:hanging="420"/>
      </w:pPr>
    </w:lvl>
    <w:lvl w:ilvl="3" w:tplc="0409000F" w:tentative="1">
      <w:start w:val="1"/>
      <w:numFmt w:val="decimal"/>
      <w:lvlText w:val="%4."/>
      <w:lvlJc w:val="left"/>
      <w:pPr>
        <w:ind w:left="2115" w:hanging="420"/>
      </w:pPr>
    </w:lvl>
    <w:lvl w:ilvl="4" w:tplc="04090019" w:tentative="1">
      <w:start w:val="1"/>
      <w:numFmt w:val="lowerLetter"/>
      <w:lvlText w:val="%5)"/>
      <w:lvlJc w:val="left"/>
      <w:pPr>
        <w:ind w:left="2535" w:hanging="420"/>
      </w:pPr>
    </w:lvl>
    <w:lvl w:ilvl="5" w:tplc="0409001B" w:tentative="1">
      <w:start w:val="1"/>
      <w:numFmt w:val="lowerRoman"/>
      <w:lvlText w:val="%6."/>
      <w:lvlJc w:val="right"/>
      <w:pPr>
        <w:ind w:left="2955" w:hanging="420"/>
      </w:pPr>
    </w:lvl>
    <w:lvl w:ilvl="6" w:tplc="0409000F" w:tentative="1">
      <w:start w:val="1"/>
      <w:numFmt w:val="decimal"/>
      <w:lvlText w:val="%7."/>
      <w:lvlJc w:val="left"/>
      <w:pPr>
        <w:ind w:left="3375" w:hanging="420"/>
      </w:pPr>
    </w:lvl>
    <w:lvl w:ilvl="7" w:tplc="04090019" w:tentative="1">
      <w:start w:val="1"/>
      <w:numFmt w:val="lowerLetter"/>
      <w:lvlText w:val="%8)"/>
      <w:lvlJc w:val="left"/>
      <w:pPr>
        <w:ind w:left="3795" w:hanging="420"/>
      </w:pPr>
    </w:lvl>
    <w:lvl w:ilvl="8" w:tplc="0409001B" w:tentative="1">
      <w:start w:val="1"/>
      <w:numFmt w:val="lowerRoman"/>
      <w:lvlText w:val="%9."/>
      <w:lvlJc w:val="right"/>
      <w:pPr>
        <w:ind w:left="4215" w:hanging="420"/>
      </w:pPr>
    </w:lvl>
  </w:abstractNum>
  <w:abstractNum w:abstractNumId="17">
    <w:nsid w:val="602B2620"/>
    <w:multiLevelType w:val="hybridMultilevel"/>
    <w:tmpl w:val="CB2E4AD0"/>
    <w:lvl w:ilvl="0" w:tplc="7516456C">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8">
    <w:nsid w:val="615B38E0"/>
    <w:multiLevelType w:val="hybridMultilevel"/>
    <w:tmpl w:val="72861856"/>
    <w:lvl w:ilvl="0" w:tplc="65606EE4">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9">
    <w:nsid w:val="650A6E24"/>
    <w:multiLevelType w:val="hybridMultilevel"/>
    <w:tmpl w:val="5FEC5CF6"/>
    <w:lvl w:ilvl="0" w:tplc="4894EC50">
      <w:start w:val="1"/>
      <w:numFmt w:val="lowerLetter"/>
      <w:lvlText w:val="(%1)"/>
      <w:lvlJc w:val="left"/>
      <w:pPr>
        <w:ind w:left="1140" w:hanging="705"/>
      </w:pPr>
      <w:rPr>
        <w:rFonts w:hint="default"/>
      </w:rPr>
    </w:lvl>
    <w:lvl w:ilvl="1" w:tplc="04090019" w:tentative="1">
      <w:start w:val="1"/>
      <w:numFmt w:val="lowerLetter"/>
      <w:lvlText w:val="%2)"/>
      <w:lvlJc w:val="left"/>
      <w:pPr>
        <w:ind w:left="1275" w:hanging="420"/>
      </w:pPr>
    </w:lvl>
    <w:lvl w:ilvl="2" w:tplc="0409001B" w:tentative="1">
      <w:start w:val="1"/>
      <w:numFmt w:val="lowerRoman"/>
      <w:lvlText w:val="%3."/>
      <w:lvlJc w:val="right"/>
      <w:pPr>
        <w:ind w:left="1695" w:hanging="420"/>
      </w:pPr>
    </w:lvl>
    <w:lvl w:ilvl="3" w:tplc="0409000F" w:tentative="1">
      <w:start w:val="1"/>
      <w:numFmt w:val="decimal"/>
      <w:lvlText w:val="%4."/>
      <w:lvlJc w:val="left"/>
      <w:pPr>
        <w:ind w:left="2115" w:hanging="420"/>
      </w:pPr>
    </w:lvl>
    <w:lvl w:ilvl="4" w:tplc="04090019" w:tentative="1">
      <w:start w:val="1"/>
      <w:numFmt w:val="lowerLetter"/>
      <w:lvlText w:val="%5)"/>
      <w:lvlJc w:val="left"/>
      <w:pPr>
        <w:ind w:left="2535" w:hanging="420"/>
      </w:pPr>
    </w:lvl>
    <w:lvl w:ilvl="5" w:tplc="0409001B" w:tentative="1">
      <w:start w:val="1"/>
      <w:numFmt w:val="lowerRoman"/>
      <w:lvlText w:val="%6."/>
      <w:lvlJc w:val="right"/>
      <w:pPr>
        <w:ind w:left="2955" w:hanging="420"/>
      </w:pPr>
    </w:lvl>
    <w:lvl w:ilvl="6" w:tplc="0409000F" w:tentative="1">
      <w:start w:val="1"/>
      <w:numFmt w:val="decimal"/>
      <w:lvlText w:val="%7."/>
      <w:lvlJc w:val="left"/>
      <w:pPr>
        <w:ind w:left="3375" w:hanging="420"/>
      </w:pPr>
    </w:lvl>
    <w:lvl w:ilvl="7" w:tplc="04090019" w:tentative="1">
      <w:start w:val="1"/>
      <w:numFmt w:val="lowerLetter"/>
      <w:lvlText w:val="%8)"/>
      <w:lvlJc w:val="left"/>
      <w:pPr>
        <w:ind w:left="3795" w:hanging="420"/>
      </w:pPr>
    </w:lvl>
    <w:lvl w:ilvl="8" w:tplc="0409001B" w:tentative="1">
      <w:start w:val="1"/>
      <w:numFmt w:val="lowerRoman"/>
      <w:lvlText w:val="%9."/>
      <w:lvlJc w:val="right"/>
      <w:pPr>
        <w:ind w:left="4215" w:hanging="420"/>
      </w:pPr>
    </w:lvl>
  </w:abstractNum>
  <w:abstractNum w:abstractNumId="2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1">
    <w:nsid w:val="74745CE6"/>
    <w:multiLevelType w:val="hybridMultilevel"/>
    <w:tmpl w:val="33F48FC2"/>
    <w:lvl w:ilvl="0" w:tplc="738E7F04">
      <w:start w:val="1"/>
      <w:numFmt w:val="lowerLetter"/>
      <w:lvlText w:val="(%1)"/>
      <w:lvlJc w:val="left"/>
      <w:pPr>
        <w:ind w:left="1140" w:hanging="705"/>
      </w:pPr>
      <w:rPr>
        <w:rFonts w:hint="default"/>
      </w:rPr>
    </w:lvl>
    <w:lvl w:ilvl="1" w:tplc="04090019" w:tentative="1">
      <w:start w:val="1"/>
      <w:numFmt w:val="lowerLetter"/>
      <w:lvlText w:val="%2)"/>
      <w:lvlJc w:val="left"/>
      <w:pPr>
        <w:ind w:left="1275" w:hanging="420"/>
      </w:pPr>
    </w:lvl>
    <w:lvl w:ilvl="2" w:tplc="0409001B" w:tentative="1">
      <w:start w:val="1"/>
      <w:numFmt w:val="lowerRoman"/>
      <w:lvlText w:val="%3."/>
      <w:lvlJc w:val="right"/>
      <w:pPr>
        <w:ind w:left="1695" w:hanging="420"/>
      </w:pPr>
    </w:lvl>
    <w:lvl w:ilvl="3" w:tplc="0409000F" w:tentative="1">
      <w:start w:val="1"/>
      <w:numFmt w:val="decimal"/>
      <w:lvlText w:val="%4."/>
      <w:lvlJc w:val="left"/>
      <w:pPr>
        <w:ind w:left="2115" w:hanging="420"/>
      </w:pPr>
    </w:lvl>
    <w:lvl w:ilvl="4" w:tplc="04090019" w:tentative="1">
      <w:start w:val="1"/>
      <w:numFmt w:val="lowerLetter"/>
      <w:lvlText w:val="%5)"/>
      <w:lvlJc w:val="left"/>
      <w:pPr>
        <w:ind w:left="2535" w:hanging="420"/>
      </w:pPr>
    </w:lvl>
    <w:lvl w:ilvl="5" w:tplc="0409001B" w:tentative="1">
      <w:start w:val="1"/>
      <w:numFmt w:val="lowerRoman"/>
      <w:lvlText w:val="%6."/>
      <w:lvlJc w:val="right"/>
      <w:pPr>
        <w:ind w:left="2955" w:hanging="420"/>
      </w:pPr>
    </w:lvl>
    <w:lvl w:ilvl="6" w:tplc="0409000F" w:tentative="1">
      <w:start w:val="1"/>
      <w:numFmt w:val="decimal"/>
      <w:lvlText w:val="%7."/>
      <w:lvlJc w:val="left"/>
      <w:pPr>
        <w:ind w:left="3375" w:hanging="420"/>
      </w:pPr>
    </w:lvl>
    <w:lvl w:ilvl="7" w:tplc="04090019" w:tentative="1">
      <w:start w:val="1"/>
      <w:numFmt w:val="lowerLetter"/>
      <w:lvlText w:val="%8)"/>
      <w:lvlJc w:val="left"/>
      <w:pPr>
        <w:ind w:left="3795" w:hanging="420"/>
      </w:pPr>
    </w:lvl>
    <w:lvl w:ilvl="8" w:tplc="0409001B" w:tentative="1">
      <w:start w:val="1"/>
      <w:numFmt w:val="lowerRoman"/>
      <w:lvlText w:val="%9."/>
      <w:lvlJc w:val="right"/>
      <w:pPr>
        <w:ind w:left="4215" w:hanging="420"/>
      </w:pPr>
    </w:lvl>
  </w:abstractNum>
  <w:abstractNum w:abstractNumId="22">
    <w:nsid w:val="7C7C7389"/>
    <w:multiLevelType w:val="hybridMultilevel"/>
    <w:tmpl w:val="345E7BEA"/>
    <w:lvl w:ilvl="0" w:tplc="08AE59CA">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3">
    <w:nsid w:val="7EFE21C3"/>
    <w:multiLevelType w:val="hybridMultilevel"/>
    <w:tmpl w:val="6DB4246A"/>
    <w:lvl w:ilvl="0" w:tplc="2CCE4A94">
      <w:start w:val="1"/>
      <w:numFmt w:val="lowerLetter"/>
      <w:lvlText w:val="(%1)"/>
      <w:lvlJc w:val="left"/>
      <w:pPr>
        <w:ind w:left="1140" w:hanging="705"/>
      </w:pPr>
      <w:rPr>
        <w:rFonts w:hint="default"/>
      </w:rPr>
    </w:lvl>
    <w:lvl w:ilvl="1" w:tplc="04090019" w:tentative="1">
      <w:start w:val="1"/>
      <w:numFmt w:val="lowerLetter"/>
      <w:lvlText w:val="%2)"/>
      <w:lvlJc w:val="left"/>
      <w:pPr>
        <w:ind w:left="1275" w:hanging="420"/>
      </w:pPr>
    </w:lvl>
    <w:lvl w:ilvl="2" w:tplc="0409001B" w:tentative="1">
      <w:start w:val="1"/>
      <w:numFmt w:val="lowerRoman"/>
      <w:lvlText w:val="%3."/>
      <w:lvlJc w:val="right"/>
      <w:pPr>
        <w:ind w:left="1695" w:hanging="420"/>
      </w:pPr>
    </w:lvl>
    <w:lvl w:ilvl="3" w:tplc="0409000F" w:tentative="1">
      <w:start w:val="1"/>
      <w:numFmt w:val="decimal"/>
      <w:lvlText w:val="%4."/>
      <w:lvlJc w:val="left"/>
      <w:pPr>
        <w:ind w:left="2115" w:hanging="420"/>
      </w:pPr>
    </w:lvl>
    <w:lvl w:ilvl="4" w:tplc="04090019" w:tentative="1">
      <w:start w:val="1"/>
      <w:numFmt w:val="lowerLetter"/>
      <w:lvlText w:val="%5)"/>
      <w:lvlJc w:val="left"/>
      <w:pPr>
        <w:ind w:left="2535" w:hanging="420"/>
      </w:pPr>
    </w:lvl>
    <w:lvl w:ilvl="5" w:tplc="0409001B" w:tentative="1">
      <w:start w:val="1"/>
      <w:numFmt w:val="lowerRoman"/>
      <w:lvlText w:val="%6."/>
      <w:lvlJc w:val="right"/>
      <w:pPr>
        <w:ind w:left="2955" w:hanging="420"/>
      </w:pPr>
    </w:lvl>
    <w:lvl w:ilvl="6" w:tplc="0409000F" w:tentative="1">
      <w:start w:val="1"/>
      <w:numFmt w:val="decimal"/>
      <w:lvlText w:val="%7."/>
      <w:lvlJc w:val="left"/>
      <w:pPr>
        <w:ind w:left="3375" w:hanging="420"/>
      </w:pPr>
    </w:lvl>
    <w:lvl w:ilvl="7" w:tplc="04090019" w:tentative="1">
      <w:start w:val="1"/>
      <w:numFmt w:val="lowerLetter"/>
      <w:lvlText w:val="%8)"/>
      <w:lvlJc w:val="left"/>
      <w:pPr>
        <w:ind w:left="3795" w:hanging="420"/>
      </w:pPr>
    </w:lvl>
    <w:lvl w:ilvl="8" w:tplc="0409001B" w:tentative="1">
      <w:start w:val="1"/>
      <w:numFmt w:val="lowerRoman"/>
      <w:lvlText w:val="%9."/>
      <w:lvlJc w:val="right"/>
      <w:pPr>
        <w:ind w:left="4215" w:hanging="420"/>
      </w:pPr>
    </w:lvl>
  </w:abstractNum>
  <w:num w:numId="1">
    <w:abstractNumId w:val="3"/>
  </w:num>
  <w:num w:numId="2">
    <w:abstractNumId w:val="20"/>
  </w:num>
  <w:num w:numId="3">
    <w:abstractNumId w:val="4"/>
  </w:num>
  <w:num w:numId="4">
    <w:abstractNumId w:val="0"/>
  </w:num>
  <w:num w:numId="5">
    <w:abstractNumId w:val="2"/>
  </w:num>
  <w:num w:numId="6">
    <w:abstractNumId w:val="1"/>
  </w:num>
  <w:num w:numId="7">
    <w:abstractNumId w:val="22"/>
  </w:num>
  <w:num w:numId="8">
    <w:abstractNumId w:val="23"/>
  </w:num>
  <w:num w:numId="9">
    <w:abstractNumId w:val="13"/>
  </w:num>
  <w:num w:numId="10">
    <w:abstractNumId w:val="6"/>
  </w:num>
  <w:num w:numId="11">
    <w:abstractNumId w:val="17"/>
  </w:num>
  <w:num w:numId="12">
    <w:abstractNumId w:val="16"/>
  </w:num>
  <w:num w:numId="13">
    <w:abstractNumId w:val="7"/>
  </w:num>
  <w:num w:numId="14">
    <w:abstractNumId w:val="5"/>
  </w:num>
  <w:num w:numId="15">
    <w:abstractNumId w:val="11"/>
  </w:num>
  <w:num w:numId="16">
    <w:abstractNumId w:val="14"/>
  </w:num>
  <w:num w:numId="17">
    <w:abstractNumId w:val="15"/>
  </w:num>
  <w:num w:numId="18">
    <w:abstractNumId w:val="21"/>
  </w:num>
  <w:num w:numId="19">
    <w:abstractNumId w:val="9"/>
  </w:num>
  <w:num w:numId="20">
    <w:abstractNumId w:val="10"/>
  </w:num>
  <w:num w:numId="21">
    <w:abstractNumId w:val="8"/>
  </w:num>
  <w:num w:numId="22">
    <w:abstractNumId w:val="19"/>
  </w:num>
  <w:num w:numId="23">
    <w:abstractNumId w:val="18"/>
  </w:num>
  <w:num w:numId="24">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48"/>
  <w:embedSystemFonts/>
  <w:bordersDoNotSurroundHeader/>
  <w:bordersDoNotSurroundFooter/>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42"/>
  <w:drawingGridVerticalSpacing w:val="156"/>
  <w:displayHorizontalDrawingGridEvery w:val="0"/>
  <w:displayVerticalDrawingGridEvery w:val="2"/>
  <w:characterSpacingControl w:val="doNotCompress"/>
  <w:hdrShapeDefaults>
    <o:shapedefaults v:ext="edit" spidmax="4097"/>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6273C"/>
    <w:rsid w:val="00011483"/>
    <w:rsid w:val="00027815"/>
    <w:rsid w:val="000D319F"/>
    <w:rsid w:val="000E4D0E"/>
    <w:rsid w:val="00125AC6"/>
    <w:rsid w:val="00141185"/>
    <w:rsid w:val="0014492A"/>
    <w:rsid w:val="00144B69"/>
    <w:rsid w:val="00153E86"/>
    <w:rsid w:val="001B1BD1"/>
    <w:rsid w:val="001C3EF2"/>
    <w:rsid w:val="001D17F6"/>
    <w:rsid w:val="001D2C3F"/>
    <w:rsid w:val="00204B42"/>
    <w:rsid w:val="002231C3"/>
    <w:rsid w:val="0024417F"/>
    <w:rsid w:val="00250F8D"/>
    <w:rsid w:val="002E1C97"/>
    <w:rsid w:val="002F5834"/>
    <w:rsid w:val="00326EBF"/>
    <w:rsid w:val="00327FE4"/>
    <w:rsid w:val="00392F6C"/>
    <w:rsid w:val="003D7D4D"/>
    <w:rsid w:val="00413D23"/>
    <w:rsid w:val="00427F63"/>
    <w:rsid w:val="004A17D1"/>
    <w:rsid w:val="004C4A0A"/>
    <w:rsid w:val="00543EBA"/>
    <w:rsid w:val="00551C33"/>
    <w:rsid w:val="00581E42"/>
    <w:rsid w:val="00585164"/>
    <w:rsid w:val="005D0F8B"/>
    <w:rsid w:val="005E403A"/>
    <w:rsid w:val="005E7DA9"/>
    <w:rsid w:val="005F00C7"/>
    <w:rsid w:val="00645F38"/>
    <w:rsid w:val="00680656"/>
    <w:rsid w:val="006B1119"/>
    <w:rsid w:val="006E3E46"/>
    <w:rsid w:val="006E71B1"/>
    <w:rsid w:val="00705D89"/>
    <w:rsid w:val="007201CE"/>
    <w:rsid w:val="00731A42"/>
    <w:rsid w:val="00767E69"/>
    <w:rsid w:val="0077079A"/>
    <w:rsid w:val="007728E1"/>
    <w:rsid w:val="007A5599"/>
    <w:rsid w:val="008034A3"/>
    <w:rsid w:val="00816936"/>
    <w:rsid w:val="00856233"/>
    <w:rsid w:val="00860F27"/>
    <w:rsid w:val="00863E51"/>
    <w:rsid w:val="008B0560"/>
    <w:rsid w:val="008B2BFA"/>
    <w:rsid w:val="00936F03"/>
    <w:rsid w:val="009375AA"/>
    <w:rsid w:val="00943B69"/>
    <w:rsid w:val="00944CB3"/>
    <w:rsid w:val="009B09D7"/>
    <w:rsid w:val="009D35ED"/>
    <w:rsid w:val="00A03CB6"/>
    <w:rsid w:val="00A1364C"/>
    <w:rsid w:val="00A21076"/>
    <w:rsid w:val="00A3739A"/>
    <w:rsid w:val="00A52DAF"/>
    <w:rsid w:val="00A84072"/>
    <w:rsid w:val="00AC583F"/>
    <w:rsid w:val="00B16570"/>
    <w:rsid w:val="00B44B82"/>
    <w:rsid w:val="00B46226"/>
    <w:rsid w:val="00B53320"/>
    <w:rsid w:val="00BC6522"/>
    <w:rsid w:val="00BF3A74"/>
    <w:rsid w:val="00C121D5"/>
    <w:rsid w:val="00C134D9"/>
    <w:rsid w:val="00C17349"/>
    <w:rsid w:val="00C351AA"/>
    <w:rsid w:val="00C7253F"/>
    <w:rsid w:val="00CC1874"/>
    <w:rsid w:val="00D26A05"/>
    <w:rsid w:val="00D97B98"/>
    <w:rsid w:val="00DC671F"/>
    <w:rsid w:val="00DE4DA7"/>
    <w:rsid w:val="00E33B38"/>
    <w:rsid w:val="00E47FE5"/>
    <w:rsid w:val="00E574AF"/>
    <w:rsid w:val="00E6273C"/>
    <w:rsid w:val="00F714DA"/>
    <w:rsid w:val="00F90004"/>
    <w:rsid w:val="00FB432F"/>
    <w:rsid w:val="00FB456B"/>
    <w:rsid w:val="00FB5E40"/>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0" w:defQFormat="0" w:count="267">
    <w:lsdException w:name="Normal" w:semiHidden="0" w:uiPriority="0" w:qFormat="1"/>
    <w:lsdException w:name="heading 1" w:semiHidden="0" w:uiPriority="9"/>
    <w:lsdException w:name="heading 2" w:uiPriority="9" w:unhideWhenUsed="1"/>
    <w:lsdException w:name="heading 3" w:uiPriority="9" w:unhideWhenUsed="1" w:qFormat="1"/>
    <w:lsdException w:name="heading 4" w:uiPriority="9" w:unhideWhenUsed="1" w:qFormat="1"/>
    <w:lsdException w:name="heading 5" w:uiPriority="9" w:unhideWhenUsed="1" w:qFormat="1"/>
    <w:lsdException w:name="heading 6" w:uiPriority="9" w:unhideWhenUsed="1" w:qFormat="1"/>
    <w:lsdException w:name="heading 7" w:uiPriority="9" w:unhideWhenUsed="1" w:qFormat="1"/>
    <w:lsdException w:name="heading 8" w:uiPriority="9" w:unhideWhenUsed="1" w:qFormat="1"/>
    <w:lsdException w:name="heading 9" w:uiPriority="9" w:unhideWhenUsed="1"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unhideWhenUsed="1" w:qFormat="1"/>
    <w:lsdException w:name="header" w:uiPriority="0" w:unhideWhenUsed="1" w:qFormat="1"/>
    <w:lsdException w:name="footer" w:uiPriority="0" w:unhideWhenUsed="1" w:qFormat="1"/>
    <w:lsdException w:name="caption" w:uiPriority="35" w:unhideWhenUsed="1" w:qFormat="1"/>
    <w:lsdException w:name="footnote reference" w:uiPriority="0" w:unhideWhenUsed="1" w:qFormat="1"/>
    <w:lsdException w:name="page number" w:uiPriority="0" w:unhideWhenUsed="1" w:qFormat="1"/>
    <w:lsdException w:name="endnote reference" w:uiPriority="0" w:unhideWhenUsed="1" w:qFormat="1"/>
    <w:lsdException w:name="endnote text" w:uiPriority="0" w:unhideWhenUsed="1" w:qFormat="1"/>
    <w:lsdException w:name="Title" w:uiPriority="10"/>
    <w:lsdException w:name="Default Paragraph Font" w:uiPriority="1" w:unhideWhenUsed="1"/>
    <w:lsdException w:name="Subtitle" w:uiPriority="11"/>
    <w:lsdException w:name="Hyperlink" w:uiPriority="0"/>
    <w:lsdException w:name="Strong" w:uiPriority="22"/>
    <w:lsdException w:name="Emphasis" w:uiPriority="20"/>
    <w:lsdException w:name="HTML Top of Form" w:unhideWhenUsed="1"/>
    <w:lsdException w:name="HTML Bottom of Form" w:unhideWhenUsed="1"/>
    <w:lsdException w:name="Normal Table" w:unhideWhenUsed="1"/>
    <w:lsdException w:name="No List" w:unhideWhenUsed="1"/>
    <w:lsdException w:name="Outline List 1" w:unhideWhenUsed="1"/>
    <w:lsdException w:name="Outline List 2" w:unhideWhenUsed="1"/>
    <w:lsdException w:name="Outline List 3" w:unhideWhenUsed="1"/>
    <w:lsdException w:name="Table Simple 1" w:unhideWhenUsed="1"/>
    <w:lsdException w:name="Table Simple 2" w:unhideWhenUsed="1"/>
    <w:lsdException w:name="Table Simple 3" w:unhideWhenUsed="1"/>
    <w:lsdException w:name="Table Classic 1" w:unhideWhenUsed="1"/>
    <w:lsdException w:name="Table Classic 2" w:unhideWhenUsed="1"/>
    <w:lsdException w:name="Table Classic 3" w:unhideWhenUsed="1"/>
    <w:lsdException w:name="Table Classic 4" w:unhideWhenUsed="1"/>
    <w:lsdException w:name="Table Colorful 1" w:unhideWhenUsed="1"/>
    <w:lsdException w:name="Table Colorful 2" w:unhideWhenUsed="1"/>
    <w:lsdException w:name="Table Colorful 3" w:unhideWhenUsed="1"/>
    <w:lsdException w:name="Table Columns 1" w:unhideWhenUsed="1"/>
    <w:lsdException w:name="Table Columns 2" w:unhideWhenUsed="1"/>
    <w:lsdException w:name="Table Columns 3" w:unhideWhenUsed="1"/>
    <w:lsdException w:name="Table Columns 4" w:unhideWhenUsed="1"/>
    <w:lsdException w:name="Table Columns 5" w:unhideWhenUsed="1"/>
    <w:lsdException w:name="Table Grid 1" w:unhideWhenUsed="1"/>
    <w:lsdException w:name="Table Grid 2" w:unhideWhenUsed="1"/>
    <w:lsdException w:name="Table Grid 3" w:unhideWhenUsed="1"/>
    <w:lsdException w:name="Table Grid 4" w:unhideWhenUsed="1"/>
    <w:lsdException w:name="Table Grid 5" w:unhideWhenUsed="1"/>
    <w:lsdException w:name="Table Grid 6" w:unhideWhenUsed="1"/>
    <w:lsdException w:name="Table Grid 7" w:unhideWhenUsed="1"/>
    <w:lsdException w:name="Table Grid 8" w:unhideWhenUsed="1"/>
    <w:lsdException w:name="Table List 1" w:unhideWhenUsed="1"/>
    <w:lsdException w:name="Table List 2" w:unhideWhenUsed="1"/>
    <w:lsdException w:name="Table List 3" w:unhideWhenUsed="1"/>
    <w:lsdException w:name="Table List 4" w:unhideWhenUsed="1"/>
    <w:lsdException w:name="Table List 5" w:unhideWhenUsed="1"/>
    <w:lsdException w:name="Table List 6" w:unhideWhenUsed="1"/>
    <w:lsdException w:name="Table List 7" w:unhideWhenUsed="1"/>
    <w:lsdException w:name="Table List 8" w:unhideWhenUsed="1"/>
    <w:lsdException w:name="Table 3D effects 1" w:unhideWhenUsed="1"/>
    <w:lsdException w:name="Table 3D effects 2" w:unhideWhenUsed="1"/>
    <w:lsdException w:name="Table 3D effects 3" w:unhideWhenUsed="1"/>
    <w:lsdException w:name="Table Contemporary" w:unhideWhenUsed="1"/>
    <w:lsdException w:name="Table Elegant" w:unhideWhenUsed="1"/>
    <w:lsdException w:name="Table Professional" w:unhideWhenUsed="1"/>
    <w:lsdException w:name="Table Subtle 1" w:unhideWhenUsed="1"/>
    <w:lsdException w:name="Table Subtle 2" w:unhideWhenUsed="1"/>
    <w:lsdException w:name="Table Web 1" w:unhideWhenUsed="1"/>
    <w:lsdException w:name="Table Web 2" w:unhideWhenUsed="1"/>
    <w:lsdException w:name="Table Web 3" w:unhideWhenUsed="1"/>
    <w:lsdException w:name="Balloon Text" w:unhideWhenUsed="1"/>
    <w:lsdException w:name="Table Grid" w:semiHidden="0" w:uiPriority="59"/>
    <w:lsdException w:name="Table Theme" w:unhideWhenUsed="1"/>
    <w:lsdException w:name="No Spacing" w:uiPriority="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uiPriority="34"/>
    <w:lsdException w:name="Quote" w:uiPriority="29"/>
    <w:lsdException w:name="Intense Quote" w:uiPriority="30"/>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uiPriority="37"/>
    <w:lsdException w:name="TOC Heading" w:uiPriority="39" w:unhideWhenUsed="1" w:qFormat="1"/>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Char"/>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Char"/>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Char"/>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Char"/>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Char"/>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Char"/>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Char"/>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Char"/>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Char"/>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204B42"/>
    <w:pPr>
      <w:keepNext/>
      <w:keepLines/>
      <w:tabs>
        <w:tab w:val="clear" w:pos="431"/>
        <w:tab w:val="right" w:pos="851"/>
      </w:tabs>
      <w:spacing w:before="240" w:after="240" w:line="440" w:lineRule="exact"/>
      <w:ind w:left="1134" w:right="1134" w:hanging="1134"/>
      <w:outlineLvl w:val="0"/>
    </w:pPr>
    <w:rPr>
      <w:rFonts w:eastAsia="黑体"/>
      <w:sz w:val="34"/>
      <w:szCs w:val="34"/>
    </w:rPr>
  </w:style>
  <w:style w:type="paragraph" w:customStyle="1" w:styleId="HChGC">
    <w:name w:val="_ H _Ch_GC"/>
    <w:basedOn w:val="a"/>
    <w:next w:val="a"/>
    <w:qFormat/>
    <w:rsid w:val="00204B42"/>
    <w:pPr>
      <w:keepNext/>
      <w:keepLines/>
      <w:tabs>
        <w:tab w:val="clear" w:pos="431"/>
        <w:tab w:val="right" w:pos="851"/>
      </w:tabs>
      <w:spacing w:before="360" w:after="240" w:line="400" w:lineRule="exact"/>
      <w:ind w:left="1134" w:right="1134" w:hanging="1134"/>
      <w:outlineLvl w:val="1"/>
    </w:pPr>
    <w:rPr>
      <w:rFonts w:eastAsia="黑体"/>
      <w:sz w:val="28"/>
      <w:szCs w:val="28"/>
    </w:rPr>
  </w:style>
  <w:style w:type="paragraph" w:customStyle="1" w:styleId="H1GC">
    <w:name w:val="_ H_1_GC"/>
    <w:basedOn w:val="a"/>
    <w:next w:val="a"/>
    <w:qFormat/>
    <w:rsid w:val="00204B42"/>
    <w:pPr>
      <w:keepNext/>
      <w:keepLines/>
      <w:tabs>
        <w:tab w:val="clear" w:pos="431"/>
        <w:tab w:val="right" w:pos="851"/>
      </w:tabs>
      <w:spacing w:before="360" w:after="240"/>
      <w:ind w:left="1134" w:right="1134" w:hanging="1134"/>
      <w:outlineLvl w:val="2"/>
    </w:pPr>
    <w:rPr>
      <w:rFonts w:eastAsia="黑体"/>
      <w:sz w:val="24"/>
      <w:szCs w:val="24"/>
    </w:rPr>
  </w:style>
  <w:style w:type="paragraph" w:customStyle="1" w:styleId="H23GC">
    <w:name w:val="_ H_2/3_GC"/>
    <w:basedOn w:val="a"/>
    <w:next w:val="a"/>
    <w:qFormat/>
    <w:rsid w:val="001C3EF2"/>
    <w:pPr>
      <w:keepNext/>
      <w:keepLines/>
      <w:tabs>
        <w:tab w:val="clear" w:pos="431"/>
        <w:tab w:val="right" w:pos="851"/>
      </w:tabs>
      <w:spacing w:before="240" w:after="120"/>
      <w:ind w:left="1134" w:right="1134" w:hanging="1134"/>
      <w:outlineLvl w:val="3"/>
    </w:pPr>
    <w:rPr>
      <w:rFonts w:eastAsia="黑体"/>
      <w:snapToGrid/>
      <w:sz w:val="22"/>
      <w:szCs w:val="22"/>
    </w:rPr>
  </w:style>
  <w:style w:type="paragraph" w:customStyle="1" w:styleId="H4GC">
    <w:name w:val="_ H_4_GC"/>
    <w:basedOn w:val="a"/>
    <w:next w:val="a"/>
    <w:qFormat/>
    <w:rsid w:val="00204B42"/>
    <w:pPr>
      <w:keepNext/>
      <w:keepLines/>
      <w:tabs>
        <w:tab w:val="clear" w:pos="431"/>
        <w:tab w:val="right" w:pos="851"/>
      </w:tabs>
      <w:spacing w:before="240" w:after="120"/>
      <w:ind w:left="1134" w:right="1134" w:hanging="1134"/>
      <w:outlineLvl w:val="4"/>
    </w:pPr>
    <w:rPr>
      <w:rFonts w:eastAsia="楷体"/>
      <w:sz w:val="23"/>
      <w:szCs w:val="23"/>
    </w:rPr>
  </w:style>
  <w:style w:type="paragraph" w:customStyle="1" w:styleId="H56GC">
    <w:name w:val="_ H_5/6_GC"/>
    <w:basedOn w:val="a"/>
    <w:next w:val="a"/>
    <w:qFormat/>
    <w:rsid w:val="00204B42"/>
    <w:pPr>
      <w:keepNext/>
      <w:keepLines/>
      <w:tabs>
        <w:tab w:val="clear" w:pos="431"/>
        <w:tab w:val="right" w:pos="851"/>
      </w:tabs>
      <w:spacing w:before="240" w:after="120"/>
      <w:ind w:left="1134" w:right="1134" w:hanging="1134"/>
      <w:outlineLvl w:val="5"/>
    </w:p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aliases w:val="5_G"/>
    <w:basedOn w:val="a"/>
    <w:link w:val="Char"/>
    <w:qFormat/>
    <w:rsid w:val="00551C33"/>
    <w:pPr>
      <w:keepLines/>
      <w:widowControl w:val="0"/>
      <w:tabs>
        <w:tab w:val="clear" w:pos="431"/>
        <w:tab w:val="right" w:pos="1021"/>
      </w:tabs>
      <w:overflowPunct/>
      <w:spacing w:after="120" w:line="240" w:lineRule="exact"/>
      <w:ind w:left="1134" w:right="1134" w:hanging="1134"/>
      <w:jc w:val="left"/>
    </w:pPr>
    <w:rPr>
      <w:snapToGrid/>
      <w:sz w:val="18"/>
      <w:szCs w:val="18"/>
    </w:rPr>
  </w:style>
  <w:style w:type="character" w:customStyle="1" w:styleId="Char">
    <w:name w:val="脚注文本 Char"/>
    <w:aliases w:val="5_G Char"/>
    <w:basedOn w:val="a0"/>
    <w:link w:val="a6"/>
    <w:rsid w:val="00551C33"/>
    <w:rPr>
      <w:sz w:val="18"/>
      <w:szCs w:val="18"/>
    </w:rPr>
  </w:style>
  <w:style w:type="character" w:styleId="a7">
    <w:name w:val="footnote reference"/>
    <w:aliases w:val="4_G"/>
    <w:basedOn w:val="a0"/>
    <w:qFormat/>
    <w:rsid w:val="00551C33"/>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8">
    <w:name w:val="目录段页次"/>
    <w:basedOn w:val="a"/>
    <w:qFormat/>
    <w:rsid w:val="0077079A"/>
    <w:pPr>
      <w:tabs>
        <w:tab w:val="clear" w:pos="431"/>
        <w:tab w:val="right" w:pos="851"/>
        <w:tab w:val="left" w:pos="1134"/>
        <w:tab w:val="left" w:pos="1565"/>
        <w:tab w:val="left" w:pos="1996"/>
        <w:tab w:val="right" w:leader="dot" w:pos="7655"/>
        <w:tab w:val="right" w:pos="8789"/>
        <w:tab w:val="right" w:pos="9554"/>
      </w:tabs>
      <w:ind w:left="1134" w:right="4253" w:hanging="1134"/>
    </w:pPr>
    <w:rPr>
      <w:szCs w:val="21"/>
    </w:rPr>
  </w:style>
  <w:style w:type="paragraph" w:customStyle="1" w:styleId="a9">
    <w:name w:val="目录页次"/>
    <w:basedOn w:val="a"/>
    <w:qFormat/>
    <w:rsid w:val="0077079A"/>
    <w:pPr>
      <w:tabs>
        <w:tab w:val="clear" w:pos="431"/>
        <w:tab w:val="right" w:pos="851"/>
        <w:tab w:val="left" w:pos="1134"/>
        <w:tab w:val="left" w:pos="1565"/>
        <w:tab w:val="left" w:pos="1996"/>
        <w:tab w:val="right" w:leader="dot" w:pos="8789"/>
        <w:tab w:val="right" w:pos="9554"/>
      </w:tabs>
      <w:ind w:left="1134" w:right="3119" w:hanging="1134"/>
    </w:pPr>
    <w:rPr>
      <w:szCs w:val="21"/>
    </w:rPr>
  </w:style>
  <w:style w:type="paragraph" w:customStyle="1" w:styleId="aa">
    <w:name w:val="缩进正文"/>
    <w:basedOn w:val="a"/>
    <w:qFormat/>
    <w:rsid w:val="00427F63"/>
    <w:pPr>
      <w:tabs>
        <w:tab w:val="left" w:pos="1134"/>
        <w:tab w:val="left" w:pos="1565"/>
        <w:tab w:val="left" w:pos="1996"/>
        <w:tab w:val="left" w:pos="2427"/>
      </w:tabs>
      <w:ind w:left="1565" w:right="1134"/>
    </w:pPr>
    <w:rPr>
      <w:szCs w:val="21"/>
    </w:rPr>
  </w:style>
  <w:style w:type="paragraph" w:styleId="ab">
    <w:name w:val="endnote text"/>
    <w:basedOn w:val="a"/>
    <w:link w:val="Char0"/>
    <w:qFormat/>
    <w:rsid w:val="00551C33"/>
  </w:style>
  <w:style w:type="character" w:customStyle="1" w:styleId="Char0">
    <w:name w:val="尾注文本 Char"/>
    <w:basedOn w:val="a0"/>
    <w:link w:val="ab"/>
    <w:rsid w:val="008B0560"/>
    <w:rPr>
      <w:rFonts w:ascii="Times New Roman" w:eastAsia="宋体" w:hAnsi="Times New Roman" w:cs="Times New Roman"/>
      <w:snapToGrid w:val="0"/>
      <w:kern w:val="0"/>
      <w:sz w:val="18"/>
      <w:szCs w:val="20"/>
    </w:rPr>
  </w:style>
  <w:style w:type="character" w:styleId="ac">
    <w:name w:val="endnote reference"/>
    <w:basedOn w:val="a0"/>
    <w:qFormat/>
    <w:rsid w:val="00551C33"/>
    <w:rPr>
      <w:rFonts w:ascii="Times New Roman" w:eastAsia="Times New Roman" w:hAnsi="Times New Roman"/>
      <w:caps w:val="0"/>
      <w:smallCaps w:val="0"/>
      <w:strike w:val="0"/>
      <w:dstrike w:val="0"/>
      <w:snapToGrid/>
      <w:vanish w:val="0"/>
      <w:color w:val="0000FF"/>
      <w:spacing w:val="0"/>
      <w:w w:val="100"/>
      <w:kern w:val="0"/>
      <w:position w:val="0"/>
      <w:sz w:val="21"/>
      <w:vertAlign w:val="superscript"/>
      <w14:cntxtAlts w14:val="0"/>
    </w:rPr>
  </w:style>
  <w:style w:type="paragraph" w:customStyle="1" w:styleId="ad">
    <w:name w:val="悬挂"/>
    <w:basedOn w:val="a"/>
    <w:qFormat/>
    <w:rsid w:val="00D97B98"/>
    <w:pPr>
      <w:tabs>
        <w:tab w:val="left" w:pos="1134"/>
        <w:tab w:val="left" w:pos="1565"/>
        <w:tab w:val="left" w:pos="1996"/>
        <w:tab w:val="left" w:pos="2427"/>
      </w:tabs>
      <w:spacing w:after="120"/>
      <w:ind w:left="1565" w:right="1134" w:hanging="431"/>
    </w:pPr>
  </w:style>
  <w:style w:type="paragraph" w:styleId="ae">
    <w:name w:val="footer"/>
    <w:basedOn w:val="a"/>
    <w:link w:val="Char1"/>
    <w:qFormat/>
    <w:rsid w:val="005F00C7"/>
    <w:pPr>
      <w:overflowPunct/>
      <w:spacing w:line="240" w:lineRule="auto"/>
      <w:jc w:val="left"/>
    </w:pPr>
    <w:rPr>
      <w:rFonts w:eastAsia="Times New Roman"/>
      <w:sz w:val="16"/>
      <w:szCs w:val="16"/>
      <w:lang w:val="en-GB" w:eastAsia="en-US"/>
    </w:rPr>
  </w:style>
  <w:style w:type="character" w:customStyle="1" w:styleId="Char1">
    <w:name w:val="页脚 Char"/>
    <w:basedOn w:val="a0"/>
    <w:link w:val="ae"/>
    <w:rsid w:val="005F00C7"/>
    <w:rPr>
      <w:rFonts w:eastAsia="Times New Roman"/>
      <w:snapToGrid w:val="0"/>
      <w:sz w:val="16"/>
      <w:szCs w:val="16"/>
      <w:lang w:val="en-GB" w:eastAsia="en-US"/>
    </w:rPr>
  </w:style>
  <w:style w:type="character" w:styleId="af">
    <w:name w:val="page number"/>
    <w:basedOn w:val="a0"/>
    <w:qFormat/>
    <w:rsid w:val="005F00C7"/>
    <w:rPr>
      <w:rFonts w:ascii="Times New Roman" w:hAnsi="Times New Roman"/>
      <w:b/>
      <w:i w:val="0"/>
      <w:snapToGrid w:val="0"/>
      <w:spacing w:val="0"/>
      <w:kern w:val="0"/>
      <w:sz w:val="18"/>
      <w14:cntxtAlts w14:val="0"/>
    </w:rPr>
  </w:style>
  <w:style w:type="paragraph" w:styleId="af0">
    <w:name w:val="header"/>
    <w:basedOn w:val="a"/>
    <w:link w:val="Char2"/>
    <w:qFormat/>
    <w:rsid w:val="005F00C7"/>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Char2">
    <w:name w:val="页眉 Char"/>
    <w:basedOn w:val="a0"/>
    <w:link w:val="af0"/>
    <w:rsid w:val="005F00C7"/>
    <w:rPr>
      <w:rFonts w:eastAsia="Times New Roman"/>
      <w:b/>
      <w:snapToGrid w:val="0"/>
      <w:sz w:val="18"/>
      <w:szCs w:val="18"/>
      <w:lang w:val="en-GB" w:eastAsia="en-US"/>
    </w:rPr>
  </w:style>
  <w:style w:type="character" w:customStyle="1" w:styleId="1Char">
    <w:name w:val="标题 1 Char"/>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Char">
    <w:name w:val="标题 2 Char"/>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Char">
    <w:name w:val="标题 3 Char"/>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Char">
    <w:name w:val="标题 4 Char"/>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Char">
    <w:name w:val="标题 5 Char"/>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Char">
    <w:name w:val="标题 6 Char"/>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Char">
    <w:name w:val="标题 7 Char"/>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Char">
    <w:name w:val="标题 8 Char"/>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Char">
    <w:name w:val="标题 9 Char"/>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styleId="af1">
    <w:name w:val="caption"/>
    <w:basedOn w:val="a"/>
    <w:next w:val="a"/>
    <w:uiPriority w:val="35"/>
    <w:semiHidden/>
    <w:qFormat/>
    <w:rsid w:val="008B0560"/>
    <w:pPr>
      <w:spacing w:after="200"/>
    </w:pPr>
    <w:rPr>
      <w:rFonts w:asciiTheme="minorHAnsi" w:eastAsiaTheme="minorEastAsia" w:hAnsiTheme="minorHAnsi"/>
      <w:b/>
      <w:bCs/>
      <w:snapToGrid/>
      <w:color w:val="4F81BD" w:themeColor="accent1"/>
      <w:sz w:val="18"/>
      <w:szCs w:val="18"/>
    </w:rPr>
  </w:style>
  <w:style w:type="paragraph" w:styleId="TOC">
    <w:name w:val="TOC Heading"/>
    <w:basedOn w:val="1"/>
    <w:next w:val="a"/>
    <w:uiPriority w:val="39"/>
    <w:semiHidden/>
    <w:qFormat/>
    <w:rsid w:val="008B0560"/>
    <w:pPr>
      <w:outlineLvl w:val="9"/>
    </w:pPr>
  </w:style>
  <w:style w:type="paragraph" w:styleId="af2">
    <w:name w:val="Balloon Text"/>
    <w:basedOn w:val="a"/>
    <w:link w:val="Char3"/>
    <w:uiPriority w:val="99"/>
    <w:semiHidden/>
    <w:rsid w:val="009B09D7"/>
    <w:rPr>
      <w:sz w:val="18"/>
      <w:szCs w:val="18"/>
    </w:rPr>
  </w:style>
  <w:style w:type="character" w:customStyle="1" w:styleId="Char3">
    <w:name w:val="批注框文本 Char"/>
    <w:basedOn w:val="a0"/>
    <w:link w:val="af2"/>
    <w:uiPriority w:val="99"/>
    <w:semiHidden/>
    <w:rsid w:val="00153E86"/>
    <w:rPr>
      <w:rFonts w:ascii="Times New Roman" w:eastAsia="宋体" w:hAnsi="Times New Roman" w:cs="Times New Roman"/>
      <w:snapToGrid w:val="0"/>
      <w:sz w:val="18"/>
      <w:szCs w:val="18"/>
    </w:rPr>
  </w:style>
  <w:style w:type="character" w:styleId="af3">
    <w:name w:val="Placeholder Text"/>
    <w:basedOn w:val="a0"/>
    <w:uiPriority w:val="99"/>
    <w:semiHidden/>
    <w:rsid w:val="00680656"/>
    <w:rPr>
      <w:color w:val="808080"/>
    </w:rPr>
  </w:style>
  <w:style w:type="character" w:styleId="af4">
    <w:name w:val="Hyperlink"/>
    <w:semiHidden/>
    <w:rsid w:val="00645F38"/>
    <w:rPr>
      <w:color w:val="auto"/>
      <w:u w:val="none"/>
    </w:rPr>
  </w:style>
  <w:style w:type="paragraph" w:customStyle="1" w:styleId="HChG">
    <w:name w:val="_ H _Ch_G"/>
    <w:basedOn w:val="a"/>
    <w:next w:val="a"/>
    <w:rsid w:val="007201CE"/>
    <w:pPr>
      <w:keepNext/>
      <w:keepLines/>
      <w:tabs>
        <w:tab w:val="clear" w:pos="431"/>
        <w:tab w:val="right" w:pos="851"/>
      </w:tabs>
      <w:suppressAutoHyphens/>
      <w:overflowPunct/>
      <w:adjustRightInd/>
      <w:snapToGrid/>
      <w:spacing w:before="360" w:after="240" w:line="300" w:lineRule="exact"/>
      <w:ind w:left="1134" w:right="1134" w:hanging="1134"/>
      <w:jc w:val="left"/>
    </w:pPr>
    <w:rPr>
      <w:b/>
      <w:snapToGrid/>
      <w:sz w:val="28"/>
      <w:lang w:val="en-GB"/>
    </w:rPr>
  </w:style>
  <w:style w:type="paragraph" w:customStyle="1" w:styleId="H1G">
    <w:name w:val="_ H_1_G"/>
    <w:basedOn w:val="a"/>
    <w:next w:val="a"/>
    <w:rsid w:val="007201CE"/>
    <w:pPr>
      <w:keepNext/>
      <w:keepLines/>
      <w:tabs>
        <w:tab w:val="clear" w:pos="431"/>
        <w:tab w:val="right" w:pos="851"/>
      </w:tabs>
      <w:suppressAutoHyphens/>
      <w:overflowPunct/>
      <w:adjustRightInd/>
      <w:snapToGrid/>
      <w:spacing w:before="360" w:after="240" w:line="270" w:lineRule="exact"/>
      <w:ind w:left="1134" w:right="1134" w:hanging="1134"/>
      <w:jc w:val="left"/>
    </w:pPr>
    <w:rPr>
      <w:b/>
      <w:snapToGrid/>
      <w:sz w:val="24"/>
      <w:lang w:val="en-GB"/>
    </w:rPr>
  </w:style>
  <w:style w:type="paragraph" w:customStyle="1" w:styleId="H23G">
    <w:name w:val="_ H_2/3_G"/>
    <w:basedOn w:val="a"/>
    <w:next w:val="a"/>
    <w:rsid w:val="007201CE"/>
    <w:pPr>
      <w:keepNext/>
      <w:keepLines/>
      <w:tabs>
        <w:tab w:val="clear" w:pos="431"/>
        <w:tab w:val="right" w:pos="851"/>
      </w:tabs>
      <w:suppressAutoHyphens/>
      <w:overflowPunct/>
      <w:adjustRightInd/>
      <w:snapToGrid/>
      <w:spacing w:before="240" w:after="120" w:line="240" w:lineRule="exact"/>
      <w:ind w:left="1134" w:right="1134" w:hanging="1134"/>
      <w:jc w:val="left"/>
    </w:pPr>
    <w:rPr>
      <w:b/>
      <w:snapToGrid/>
      <w:sz w:val="20"/>
      <w:lang w:val="en-GB"/>
    </w:rPr>
  </w:style>
  <w:style w:type="paragraph" w:customStyle="1" w:styleId="SingleTxtG">
    <w:name w:val="_ Single Txt_G"/>
    <w:basedOn w:val="a"/>
    <w:link w:val="SingleTxtGChar"/>
    <w:rsid w:val="007201CE"/>
    <w:pPr>
      <w:tabs>
        <w:tab w:val="clear" w:pos="431"/>
      </w:tabs>
      <w:suppressAutoHyphens/>
      <w:overflowPunct/>
      <w:adjustRightInd/>
      <w:snapToGrid/>
      <w:spacing w:after="120" w:line="240" w:lineRule="atLeast"/>
      <w:ind w:left="1134" w:right="1134"/>
    </w:pPr>
    <w:rPr>
      <w:snapToGrid/>
      <w:sz w:val="20"/>
      <w:lang w:val="en-GB"/>
    </w:rPr>
  </w:style>
  <w:style w:type="character" w:customStyle="1" w:styleId="SingleTxtGChar">
    <w:name w:val="_ Single Txt_G Char"/>
    <w:link w:val="SingleTxtG"/>
    <w:rsid w:val="007201CE"/>
    <w:rPr>
      <w:lang w:val="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0" w:defQFormat="0" w:count="267">
    <w:lsdException w:name="Normal" w:semiHidden="0" w:uiPriority="0" w:qFormat="1"/>
    <w:lsdException w:name="heading 1" w:semiHidden="0" w:uiPriority="9"/>
    <w:lsdException w:name="heading 2" w:uiPriority="9" w:unhideWhenUsed="1"/>
    <w:lsdException w:name="heading 3" w:uiPriority="9" w:unhideWhenUsed="1" w:qFormat="1"/>
    <w:lsdException w:name="heading 4" w:uiPriority="9" w:unhideWhenUsed="1" w:qFormat="1"/>
    <w:lsdException w:name="heading 5" w:uiPriority="9" w:unhideWhenUsed="1" w:qFormat="1"/>
    <w:lsdException w:name="heading 6" w:uiPriority="9" w:unhideWhenUsed="1" w:qFormat="1"/>
    <w:lsdException w:name="heading 7" w:uiPriority="9" w:unhideWhenUsed="1" w:qFormat="1"/>
    <w:lsdException w:name="heading 8" w:uiPriority="9" w:unhideWhenUsed="1" w:qFormat="1"/>
    <w:lsdException w:name="heading 9" w:uiPriority="9" w:unhideWhenUsed="1"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unhideWhenUsed="1" w:qFormat="1"/>
    <w:lsdException w:name="header" w:uiPriority="0" w:unhideWhenUsed="1" w:qFormat="1"/>
    <w:lsdException w:name="footer" w:uiPriority="0" w:unhideWhenUsed="1" w:qFormat="1"/>
    <w:lsdException w:name="caption" w:uiPriority="35" w:unhideWhenUsed="1" w:qFormat="1"/>
    <w:lsdException w:name="footnote reference" w:uiPriority="0" w:unhideWhenUsed="1" w:qFormat="1"/>
    <w:lsdException w:name="page number" w:uiPriority="0" w:unhideWhenUsed="1" w:qFormat="1"/>
    <w:lsdException w:name="endnote reference" w:uiPriority="0" w:unhideWhenUsed="1" w:qFormat="1"/>
    <w:lsdException w:name="endnote text" w:uiPriority="0" w:unhideWhenUsed="1" w:qFormat="1"/>
    <w:lsdException w:name="Title" w:uiPriority="10"/>
    <w:lsdException w:name="Default Paragraph Font" w:uiPriority="1" w:unhideWhenUsed="1"/>
    <w:lsdException w:name="Subtitle" w:uiPriority="11"/>
    <w:lsdException w:name="Hyperlink" w:uiPriority="0"/>
    <w:lsdException w:name="Strong" w:uiPriority="22"/>
    <w:lsdException w:name="Emphasis" w:uiPriority="20"/>
    <w:lsdException w:name="HTML Top of Form" w:unhideWhenUsed="1"/>
    <w:lsdException w:name="HTML Bottom of Form" w:unhideWhenUsed="1"/>
    <w:lsdException w:name="Normal Table" w:unhideWhenUsed="1"/>
    <w:lsdException w:name="No List" w:unhideWhenUsed="1"/>
    <w:lsdException w:name="Outline List 1" w:unhideWhenUsed="1"/>
    <w:lsdException w:name="Outline List 2" w:unhideWhenUsed="1"/>
    <w:lsdException w:name="Outline List 3" w:unhideWhenUsed="1"/>
    <w:lsdException w:name="Table Simple 1" w:unhideWhenUsed="1"/>
    <w:lsdException w:name="Table Simple 2" w:unhideWhenUsed="1"/>
    <w:lsdException w:name="Table Simple 3" w:unhideWhenUsed="1"/>
    <w:lsdException w:name="Table Classic 1" w:unhideWhenUsed="1"/>
    <w:lsdException w:name="Table Classic 2" w:unhideWhenUsed="1"/>
    <w:lsdException w:name="Table Classic 3" w:unhideWhenUsed="1"/>
    <w:lsdException w:name="Table Classic 4" w:unhideWhenUsed="1"/>
    <w:lsdException w:name="Table Colorful 1" w:unhideWhenUsed="1"/>
    <w:lsdException w:name="Table Colorful 2" w:unhideWhenUsed="1"/>
    <w:lsdException w:name="Table Colorful 3" w:unhideWhenUsed="1"/>
    <w:lsdException w:name="Table Columns 1" w:unhideWhenUsed="1"/>
    <w:lsdException w:name="Table Columns 2" w:unhideWhenUsed="1"/>
    <w:lsdException w:name="Table Columns 3" w:unhideWhenUsed="1"/>
    <w:lsdException w:name="Table Columns 4" w:unhideWhenUsed="1"/>
    <w:lsdException w:name="Table Columns 5" w:unhideWhenUsed="1"/>
    <w:lsdException w:name="Table Grid 1" w:unhideWhenUsed="1"/>
    <w:lsdException w:name="Table Grid 2" w:unhideWhenUsed="1"/>
    <w:lsdException w:name="Table Grid 3" w:unhideWhenUsed="1"/>
    <w:lsdException w:name="Table Grid 4" w:unhideWhenUsed="1"/>
    <w:lsdException w:name="Table Grid 5" w:unhideWhenUsed="1"/>
    <w:lsdException w:name="Table Grid 6" w:unhideWhenUsed="1"/>
    <w:lsdException w:name="Table Grid 7" w:unhideWhenUsed="1"/>
    <w:lsdException w:name="Table Grid 8" w:unhideWhenUsed="1"/>
    <w:lsdException w:name="Table List 1" w:unhideWhenUsed="1"/>
    <w:lsdException w:name="Table List 2" w:unhideWhenUsed="1"/>
    <w:lsdException w:name="Table List 3" w:unhideWhenUsed="1"/>
    <w:lsdException w:name="Table List 4" w:unhideWhenUsed="1"/>
    <w:lsdException w:name="Table List 5" w:unhideWhenUsed="1"/>
    <w:lsdException w:name="Table List 6" w:unhideWhenUsed="1"/>
    <w:lsdException w:name="Table List 7" w:unhideWhenUsed="1"/>
    <w:lsdException w:name="Table List 8" w:unhideWhenUsed="1"/>
    <w:lsdException w:name="Table 3D effects 1" w:unhideWhenUsed="1"/>
    <w:lsdException w:name="Table 3D effects 2" w:unhideWhenUsed="1"/>
    <w:lsdException w:name="Table 3D effects 3" w:unhideWhenUsed="1"/>
    <w:lsdException w:name="Table Contemporary" w:unhideWhenUsed="1"/>
    <w:lsdException w:name="Table Elegant" w:unhideWhenUsed="1"/>
    <w:lsdException w:name="Table Professional" w:unhideWhenUsed="1"/>
    <w:lsdException w:name="Table Subtle 1" w:unhideWhenUsed="1"/>
    <w:lsdException w:name="Table Subtle 2" w:unhideWhenUsed="1"/>
    <w:lsdException w:name="Table Web 1" w:unhideWhenUsed="1"/>
    <w:lsdException w:name="Table Web 2" w:unhideWhenUsed="1"/>
    <w:lsdException w:name="Table Web 3" w:unhideWhenUsed="1"/>
    <w:lsdException w:name="Balloon Text" w:unhideWhenUsed="1"/>
    <w:lsdException w:name="Table Grid" w:semiHidden="0" w:uiPriority="59"/>
    <w:lsdException w:name="Table Theme" w:unhideWhenUsed="1"/>
    <w:lsdException w:name="No Spacing" w:uiPriority="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uiPriority="34"/>
    <w:lsdException w:name="Quote" w:uiPriority="29"/>
    <w:lsdException w:name="Intense Quote" w:uiPriority="30"/>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uiPriority="37"/>
    <w:lsdException w:name="TOC Heading" w:uiPriority="39" w:unhideWhenUsed="1" w:qFormat="1"/>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Char"/>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Char"/>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Char"/>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Char"/>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Char"/>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Char"/>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Char"/>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Char"/>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Char"/>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204B42"/>
    <w:pPr>
      <w:keepNext/>
      <w:keepLines/>
      <w:tabs>
        <w:tab w:val="clear" w:pos="431"/>
        <w:tab w:val="right" w:pos="851"/>
      </w:tabs>
      <w:spacing w:before="240" w:after="240" w:line="440" w:lineRule="exact"/>
      <w:ind w:left="1134" w:right="1134" w:hanging="1134"/>
      <w:outlineLvl w:val="0"/>
    </w:pPr>
    <w:rPr>
      <w:rFonts w:eastAsia="黑体"/>
      <w:sz w:val="34"/>
      <w:szCs w:val="34"/>
    </w:rPr>
  </w:style>
  <w:style w:type="paragraph" w:customStyle="1" w:styleId="HChGC">
    <w:name w:val="_ H _Ch_GC"/>
    <w:basedOn w:val="a"/>
    <w:next w:val="a"/>
    <w:qFormat/>
    <w:rsid w:val="00204B42"/>
    <w:pPr>
      <w:keepNext/>
      <w:keepLines/>
      <w:tabs>
        <w:tab w:val="clear" w:pos="431"/>
        <w:tab w:val="right" w:pos="851"/>
      </w:tabs>
      <w:spacing w:before="360" w:after="240" w:line="400" w:lineRule="exact"/>
      <w:ind w:left="1134" w:right="1134" w:hanging="1134"/>
      <w:outlineLvl w:val="1"/>
    </w:pPr>
    <w:rPr>
      <w:rFonts w:eastAsia="黑体"/>
      <w:sz w:val="28"/>
      <w:szCs w:val="28"/>
    </w:rPr>
  </w:style>
  <w:style w:type="paragraph" w:customStyle="1" w:styleId="H1GC">
    <w:name w:val="_ H_1_GC"/>
    <w:basedOn w:val="a"/>
    <w:next w:val="a"/>
    <w:qFormat/>
    <w:rsid w:val="00204B42"/>
    <w:pPr>
      <w:keepNext/>
      <w:keepLines/>
      <w:tabs>
        <w:tab w:val="clear" w:pos="431"/>
        <w:tab w:val="right" w:pos="851"/>
      </w:tabs>
      <w:spacing w:before="360" w:after="240"/>
      <w:ind w:left="1134" w:right="1134" w:hanging="1134"/>
      <w:outlineLvl w:val="2"/>
    </w:pPr>
    <w:rPr>
      <w:rFonts w:eastAsia="黑体"/>
      <w:sz w:val="24"/>
      <w:szCs w:val="24"/>
    </w:rPr>
  </w:style>
  <w:style w:type="paragraph" w:customStyle="1" w:styleId="H23GC">
    <w:name w:val="_ H_2/3_GC"/>
    <w:basedOn w:val="a"/>
    <w:next w:val="a"/>
    <w:qFormat/>
    <w:rsid w:val="001C3EF2"/>
    <w:pPr>
      <w:keepNext/>
      <w:keepLines/>
      <w:tabs>
        <w:tab w:val="clear" w:pos="431"/>
        <w:tab w:val="right" w:pos="851"/>
      </w:tabs>
      <w:spacing w:before="240" w:after="120"/>
      <w:ind w:left="1134" w:right="1134" w:hanging="1134"/>
      <w:outlineLvl w:val="3"/>
    </w:pPr>
    <w:rPr>
      <w:rFonts w:eastAsia="黑体"/>
      <w:snapToGrid/>
      <w:sz w:val="22"/>
      <w:szCs w:val="22"/>
    </w:rPr>
  </w:style>
  <w:style w:type="paragraph" w:customStyle="1" w:styleId="H4GC">
    <w:name w:val="_ H_4_GC"/>
    <w:basedOn w:val="a"/>
    <w:next w:val="a"/>
    <w:qFormat/>
    <w:rsid w:val="00204B42"/>
    <w:pPr>
      <w:keepNext/>
      <w:keepLines/>
      <w:tabs>
        <w:tab w:val="clear" w:pos="431"/>
        <w:tab w:val="right" w:pos="851"/>
      </w:tabs>
      <w:spacing w:before="240" w:after="120"/>
      <w:ind w:left="1134" w:right="1134" w:hanging="1134"/>
      <w:outlineLvl w:val="4"/>
    </w:pPr>
    <w:rPr>
      <w:rFonts w:eastAsia="楷体"/>
      <w:sz w:val="23"/>
      <w:szCs w:val="23"/>
    </w:rPr>
  </w:style>
  <w:style w:type="paragraph" w:customStyle="1" w:styleId="H56GC">
    <w:name w:val="_ H_5/6_GC"/>
    <w:basedOn w:val="a"/>
    <w:next w:val="a"/>
    <w:qFormat/>
    <w:rsid w:val="00204B42"/>
    <w:pPr>
      <w:keepNext/>
      <w:keepLines/>
      <w:tabs>
        <w:tab w:val="clear" w:pos="431"/>
        <w:tab w:val="right" w:pos="851"/>
      </w:tabs>
      <w:spacing w:before="240" w:after="120"/>
      <w:ind w:left="1134" w:right="1134" w:hanging="1134"/>
      <w:outlineLvl w:val="5"/>
    </w:p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aliases w:val="5_G"/>
    <w:basedOn w:val="a"/>
    <w:link w:val="Char"/>
    <w:qFormat/>
    <w:rsid w:val="00551C33"/>
    <w:pPr>
      <w:keepLines/>
      <w:widowControl w:val="0"/>
      <w:tabs>
        <w:tab w:val="clear" w:pos="431"/>
        <w:tab w:val="right" w:pos="1021"/>
      </w:tabs>
      <w:overflowPunct/>
      <w:spacing w:after="120" w:line="240" w:lineRule="exact"/>
      <w:ind w:left="1134" w:right="1134" w:hanging="1134"/>
      <w:jc w:val="left"/>
    </w:pPr>
    <w:rPr>
      <w:snapToGrid/>
      <w:sz w:val="18"/>
      <w:szCs w:val="18"/>
    </w:rPr>
  </w:style>
  <w:style w:type="character" w:customStyle="1" w:styleId="Char">
    <w:name w:val="脚注文本 Char"/>
    <w:aliases w:val="5_G Char"/>
    <w:basedOn w:val="a0"/>
    <w:link w:val="a6"/>
    <w:rsid w:val="00551C33"/>
    <w:rPr>
      <w:sz w:val="18"/>
      <w:szCs w:val="18"/>
    </w:rPr>
  </w:style>
  <w:style w:type="character" w:styleId="a7">
    <w:name w:val="footnote reference"/>
    <w:aliases w:val="4_G"/>
    <w:basedOn w:val="a0"/>
    <w:qFormat/>
    <w:rsid w:val="00551C33"/>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8">
    <w:name w:val="目录段页次"/>
    <w:basedOn w:val="a"/>
    <w:qFormat/>
    <w:rsid w:val="0077079A"/>
    <w:pPr>
      <w:tabs>
        <w:tab w:val="clear" w:pos="431"/>
        <w:tab w:val="right" w:pos="851"/>
        <w:tab w:val="left" w:pos="1134"/>
        <w:tab w:val="left" w:pos="1565"/>
        <w:tab w:val="left" w:pos="1996"/>
        <w:tab w:val="right" w:leader="dot" w:pos="7655"/>
        <w:tab w:val="right" w:pos="8789"/>
        <w:tab w:val="right" w:pos="9554"/>
      </w:tabs>
      <w:ind w:left="1134" w:right="4253" w:hanging="1134"/>
    </w:pPr>
    <w:rPr>
      <w:szCs w:val="21"/>
    </w:rPr>
  </w:style>
  <w:style w:type="paragraph" w:customStyle="1" w:styleId="a9">
    <w:name w:val="目录页次"/>
    <w:basedOn w:val="a"/>
    <w:qFormat/>
    <w:rsid w:val="0077079A"/>
    <w:pPr>
      <w:tabs>
        <w:tab w:val="clear" w:pos="431"/>
        <w:tab w:val="right" w:pos="851"/>
        <w:tab w:val="left" w:pos="1134"/>
        <w:tab w:val="left" w:pos="1565"/>
        <w:tab w:val="left" w:pos="1996"/>
        <w:tab w:val="right" w:leader="dot" w:pos="8789"/>
        <w:tab w:val="right" w:pos="9554"/>
      </w:tabs>
      <w:ind w:left="1134" w:right="3119" w:hanging="1134"/>
    </w:pPr>
    <w:rPr>
      <w:szCs w:val="21"/>
    </w:rPr>
  </w:style>
  <w:style w:type="paragraph" w:customStyle="1" w:styleId="aa">
    <w:name w:val="缩进正文"/>
    <w:basedOn w:val="a"/>
    <w:qFormat/>
    <w:rsid w:val="00427F63"/>
    <w:pPr>
      <w:tabs>
        <w:tab w:val="left" w:pos="1134"/>
        <w:tab w:val="left" w:pos="1565"/>
        <w:tab w:val="left" w:pos="1996"/>
        <w:tab w:val="left" w:pos="2427"/>
      </w:tabs>
      <w:ind w:left="1565" w:right="1134"/>
    </w:pPr>
    <w:rPr>
      <w:szCs w:val="21"/>
    </w:rPr>
  </w:style>
  <w:style w:type="paragraph" w:styleId="ab">
    <w:name w:val="endnote text"/>
    <w:basedOn w:val="a"/>
    <w:link w:val="Char0"/>
    <w:qFormat/>
    <w:rsid w:val="00551C33"/>
  </w:style>
  <w:style w:type="character" w:customStyle="1" w:styleId="Char0">
    <w:name w:val="尾注文本 Char"/>
    <w:basedOn w:val="a0"/>
    <w:link w:val="ab"/>
    <w:rsid w:val="008B0560"/>
    <w:rPr>
      <w:rFonts w:ascii="Times New Roman" w:eastAsia="宋体" w:hAnsi="Times New Roman" w:cs="Times New Roman"/>
      <w:snapToGrid w:val="0"/>
      <w:kern w:val="0"/>
      <w:sz w:val="18"/>
      <w:szCs w:val="20"/>
    </w:rPr>
  </w:style>
  <w:style w:type="character" w:styleId="ac">
    <w:name w:val="endnote reference"/>
    <w:basedOn w:val="a0"/>
    <w:qFormat/>
    <w:rsid w:val="00551C33"/>
    <w:rPr>
      <w:rFonts w:ascii="Times New Roman" w:eastAsia="Times New Roman" w:hAnsi="Times New Roman"/>
      <w:caps w:val="0"/>
      <w:smallCaps w:val="0"/>
      <w:strike w:val="0"/>
      <w:dstrike w:val="0"/>
      <w:snapToGrid/>
      <w:vanish w:val="0"/>
      <w:color w:val="0000FF"/>
      <w:spacing w:val="0"/>
      <w:w w:val="100"/>
      <w:kern w:val="0"/>
      <w:position w:val="0"/>
      <w:sz w:val="21"/>
      <w:vertAlign w:val="superscript"/>
      <w14:cntxtAlts w14:val="0"/>
    </w:rPr>
  </w:style>
  <w:style w:type="paragraph" w:customStyle="1" w:styleId="ad">
    <w:name w:val="悬挂"/>
    <w:basedOn w:val="a"/>
    <w:qFormat/>
    <w:rsid w:val="00D97B98"/>
    <w:pPr>
      <w:tabs>
        <w:tab w:val="left" w:pos="1134"/>
        <w:tab w:val="left" w:pos="1565"/>
        <w:tab w:val="left" w:pos="1996"/>
        <w:tab w:val="left" w:pos="2427"/>
      </w:tabs>
      <w:spacing w:after="120"/>
      <w:ind w:left="1565" w:right="1134" w:hanging="431"/>
    </w:pPr>
  </w:style>
  <w:style w:type="paragraph" w:styleId="ae">
    <w:name w:val="footer"/>
    <w:basedOn w:val="a"/>
    <w:link w:val="Char1"/>
    <w:qFormat/>
    <w:rsid w:val="005F00C7"/>
    <w:pPr>
      <w:overflowPunct/>
      <w:spacing w:line="240" w:lineRule="auto"/>
      <w:jc w:val="left"/>
    </w:pPr>
    <w:rPr>
      <w:rFonts w:eastAsia="Times New Roman"/>
      <w:sz w:val="16"/>
      <w:szCs w:val="16"/>
      <w:lang w:val="en-GB" w:eastAsia="en-US"/>
    </w:rPr>
  </w:style>
  <w:style w:type="character" w:customStyle="1" w:styleId="Char1">
    <w:name w:val="页脚 Char"/>
    <w:basedOn w:val="a0"/>
    <w:link w:val="ae"/>
    <w:rsid w:val="005F00C7"/>
    <w:rPr>
      <w:rFonts w:eastAsia="Times New Roman"/>
      <w:snapToGrid w:val="0"/>
      <w:sz w:val="16"/>
      <w:szCs w:val="16"/>
      <w:lang w:val="en-GB" w:eastAsia="en-US"/>
    </w:rPr>
  </w:style>
  <w:style w:type="character" w:styleId="af">
    <w:name w:val="page number"/>
    <w:basedOn w:val="a0"/>
    <w:qFormat/>
    <w:rsid w:val="005F00C7"/>
    <w:rPr>
      <w:rFonts w:ascii="Times New Roman" w:hAnsi="Times New Roman"/>
      <w:b/>
      <w:i w:val="0"/>
      <w:snapToGrid w:val="0"/>
      <w:spacing w:val="0"/>
      <w:kern w:val="0"/>
      <w:sz w:val="18"/>
      <w14:cntxtAlts w14:val="0"/>
    </w:rPr>
  </w:style>
  <w:style w:type="paragraph" w:styleId="af0">
    <w:name w:val="header"/>
    <w:basedOn w:val="a"/>
    <w:link w:val="Char2"/>
    <w:qFormat/>
    <w:rsid w:val="005F00C7"/>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Char2">
    <w:name w:val="页眉 Char"/>
    <w:basedOn w:val="a0"/>
    <w:link w:val="af0"/>
    <w:rsid w:val="005F00C7"/>
    <w:rPr>
      <w:rFonts w:eastAsia="Times New Roman"/>
      <w:b/>
      <w:snapToGrid w:val="0"/>
      <w:sz w:val="18"/>
      <w:szCs w:val="18"/>
      <w:lang w:val="en-GB" w:eastAsia="en-US"/>
    </w:rPr>
  </w:style>
  <w:style w:type="character" w:customStyle="1" w:styleId="1Char">
    <w:name w:val="标题 1 Char"/>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Char">
    <w:name w:val="标题 2 Char"/>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Char">
    <w:name w:val="标题 3 Char"/>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Char">
    <w:name w:val="标题 4 Char"/>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Char">
    <w:name w:val="标题 5 Char"/>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Char">
    <w:name w:val="标题 6 Char"/>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Char">
    <w:name w:val="标题 7 Char"/>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Char">
    <w:name w:val="标题 8 Char"/>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Char">
    <w:name w:val="标题 9 Char"/>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styleId="af1">
    <w:name w:val="caption"/>
    <w:basedOn w:val="a"/>
    <w:next w:val="a"/>
    <w:uiPriority w:val="35"/>
    <w:semiHidden/>
    <w:qFormat/>
    <w:rsid w:val="008B0560"/>
    <w:pPr>
      <w:spacing w:after="200"/>
    </w:pPr>
    <w:rPr>
      <w:rFonts w:asciiTheme="minorHAnsi" w:eastAsiaTheme="minorEastAsia" w:hAnsiTheme="minorHAnsi"/>
      <w:b/>
      <w:bCs/>
      <w:snapToGrid/>
      <w:color w:val="4F81BD" w:themeColor="accent1"/>
      <w:sz w:val="18"/>
      <w:szCs w:val="18"/>
    </w:rPr>
  </w:style>
  <w:style w:type="paragraph" w:styleId="TOC">
    <w:name w:val="TOC Heading"/>
    <w:basedOn w:val="1"/>
    <w:next w:val="a"/>
    <w:uiPriority w:val="39"/>
    <w:semiHidden/>
    <w:qFormat/>
    <w:rsid w:val="008B0560"/>
    <w:pPr>
      <w:outlineLvl w:val="9"/>
    </w:pPr>
  </w:style>
  <w:style w:type="paragraph" w:styleId="af2">
    <w:name w:val="Balloon Text"/>
    <w:basedOn w:val="a"/>
    <w:link w:val="Char3"/>
    <w:uiPriority w:val="99"/>
    <w:semiHidden/>
    <w:rsid w:val="009B09D7"/>
    <w:rPr>
      <w:sz w:val="18"/>
      <w:szCs w:val="18"/>
    </w:rPr>
  </w:style>
  <w:style w:type="character" w:customStyle="1" w:styleId="Char3">
    <w:name w:val="批注框文本 Char"/>
    <w:basedOn w:val="a0"/>
    <w:link w:val="af2"/>
    <w:uiPriority w:val="99"/>
    <w:semiHidden/>
    <w:rsid w:val="00153E86"/>
    <w:rPr>
      <w:rFonts w:ascii="Times New Roman" w:eastAsia="宋体" w:hAnsi="Times New Roman" w:cs="Times New Roman"/>
      <w:snapToGrid w:val="0"/>
      <w:sz w:val="18"/>
      <w:szCs w:val="18"/>
    </w:rPr>
  </w:style>
  <w:style w:type="character" w:styleId="af3">
    <w:name w:val="Placeholder Text"/>
    <w:basedOn w:val="a0"/>
    <w:uiPriority w:val="99"/>
    <w:semiHidden/>
    <w:rsid w:val="00680656"/>
    <w:rPr>
      <w:color w:val="808080"/>
    </w:rPr>
  </w:style>
  <w:style w:type="character" w:styleId="af4">
    <w:name w:val="Hyperlink"/>
    <w:semiHidden/>
    <w:rsid w:val="00645F38"/>
    <w:rPr>
      <w:color w:val="auto"/>
      <w:u w:val="none"/>
    </w:rPr>
  </w:style>
  <w:style w:type="paragraph" w:customStyle="1" w:styleId="HChG">
    <w:name w:val="_ H _Ch_G"/>
    <w:basedOn w:val="a"/>
    <w:next w:val="a"/>
    <w:rsid w:val="007201CE"/>
    <w:pPr>
      <w:keepNext/>
      <w:keepLines/>
      <w:tabs>
        <w:tab w:val="clear" w:pos="431"/>
        <w:tab w:val="right" w:pos="851"/>
      </w:tabs>
      <w:suppressAutoHyphens/>
      <w:overflowPunct/>
      <w:adjustRightInd/>
      <w:snapToGrid/>
      <w:spacing w:before="360" w:after="240" w:line="300" w:lineRule="exact"/>
      <w:ind w:left="1134" w:right="1134" w:hanging="1134"/>
      <w:jc w:val="left"/>
    </w:pPr>
    <w:rPr>
      <w:b/>
      <w:snapToGrid/>
      <w:sz w:val="28"/>
      <w:lang w:val="en-GB"/>
    </w:rPr>
  </w:style>
  <w:style w:type="paragraph" w:customStyle="1" w:styleId="H1G">
    <w:name w:val="_ H_1_G"/>
    <w:basedOn w:val="a"/>
    <w:next w:val="a"/>
    <w:rsid w:val="007201CE"/>
    <w:pPr>
      <w:keepNext/>
      <w:keepLines/>
      <w:tabs>
        <w:tab w:val="clear" w:pos="431"/>
        <w:tab w:val="right" w:pos="851"/>
      </w:tabs>
      <w:suppressAutoHyphens/>
      <w:overflowPunct/>
      <w:adjustRightInd/>
      <w:snapToGrid/>
      <w:spacing w:before="360" w:after="240" w:line="270" w:lineRule="exact"/>
      <w:ind w:left="1134" w:right="1134" w:hanging="1134"/>
      <w:jc w:val="left"/>
    </w:pPr>
    <w:rPr>
      <w:b/>
      <w:snapToGrid/>
      <w:sz w:val="24"/>
      <w:lang w:val="en-GB"/>
    </w:rPr>
  </w:style>
  <w:style w:type="paragraph" w:customStyle="1" w:styleId="H23G">
    <w:name w:val="_ H_2/3_G"/>
    <w:basedOn w:val="a"/>
    <w:next w:val="a"/>
    <w:rsid w:val="007201CE"/>
    <w:pPr>
      <w:keepNext/>
      <w:keepLines/>
      <w:tabs>
        <w:tab w:val="clear" w:pos="431"/>
        <w:tab w:val="right" w:pos="851"/>
      </w:tabs>
      <w:suppressAutoHyphens/>
      <w:overflowPunct/>
      <w:adjustRightInd/>
      <w:snapToGrid/>
      <w:spacing w:before="240" w:after="120" w:line="240" w:lineRule="exact"/>
      <w:ind w:left="1134" w:right="1134" w:hanging="1134"/>
      <w:jc w:val="left"/>
    </w:pPr>
    <w:rPr>
      <w:b/>
      <w:snapToGrid/>
      <w:sz w:val="20"/>
      <w:lang w:val="en-GB"/>
    </w:rPr>
  </w:style>
  <w:style w:type="paragraph" w:customStyle="1" w:styleId="SingleTxtG">
    <w:name w:val="_ Single Txt_G"/>
    <w:basedOn w:val="a"/>
    <w:link w:val="SingleTxtGChar"/>
    <w:rsid w:val="007201CE"/>
    <w:pPr>
      <w:tabs>
        <w:tab w:val="clear" w:pos="431"/>
      </w:tabs>
      <w:suppressAutoHyphens/>
      <w:overflowPunct/>
      <w:adjustRightInd/>
      <w:snapToGrid/>
      <w:spacing w:after="120" w:line="240" w:lineRule="atLeast"/>
      <w:ind w:left="1134" w:right="1134"/>
    </w:pPr>
    <w:rPr>
      <w:snapToGrid/>
      <w:sz w:val="20"/>
      <w:lang w:val="en-GB"/>
    </w:rPr>
  </w:style>
  <w:style w:type="character" w:customStyle="1" w:styleId="SingleTxtGChar">
    <w:name w:val="_ Single Txt_G Char"/>
    <w:link w:val="SingleTxtG"/>
    <w:rsid w:val="007201CE"/>
    <w:rPr>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RPD.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00A518D-C332-4347-B92B-17AC528F30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0</TotalTime>
  <Pages>9</Pages>
  <Words>6465</Words>
  <Characters>6887</Characters>
  <Application>Microsoft Office Word</Application>
  <DocSecurity>0</DocSecurity>
  <Lines>272</Lines>
  <Paragraphs>130</Paragraphs>
  <ScaleCrop>false</ScaleCrop>
  <Company>DCM</Company>
  <LinksUpToDate>false</LinksUpToDate>
  <CharactersWithSpaces>7103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1419201</dc:title>
  <dc:subject>CRPD/C/ECU/CO/1</dc:subject>
  <dc:creator>RNIE</dc:creator>
  <cp:keywords/>
  <dc:description/>
  <cp:lastModifiedBy>NIE R.Z</cp:lastModifiedBy>
  <cp:revision>2</cp:revision>
  <cp:lastPrinted>2015-02-10T16:39:00Z</cp:lastPrinted>
  <dcterms:created xsi:type="dcterms:W3CDTF">2015-02-10T16:39:00Z</dcterms:created>
  <dcterms:modified xsi:type="dcterms:W3CDTF">2015-02-10T16:39:00Z</dcterms:modified>
</cp:coreProperties>
</file>