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087482B1" w14:textId="77777777" w:rsidTr="005B51C4">
        <w:trPr>
          <w:trHeight w:hRule="exact" w:val="851"/>
        </w:trPr>
        <w:tc>
          <w:tcPr>
            <w:tcW w:w="1274" w:type="dxa"/>
            <w:tcBorders>
              <w:bottom w:val="single" w:sz="4" w:space="0" w:color="auto"/>
            </w:tcBorders>
            <w:shd w:val="clear" w:color="auto" w:fill="auto"/>
          </w:tcPr>
          <w:p w14:paraId="5223E003" w14:textId="77777777" w:rsidR="006B3E27" w:rsidRPr="00100FC8" w:rsidRDefault="006B3E27" w:rsidP="005B51C4">
            <w:pPr>
              <w:jc w:val="center"/>
              <w:rPr>
                <w:rFonts w:hint="cs"/>
                <w:sz w:val="56"/>
                <w:szCs w:val="56"/>
                <w:rtl/>
              </w:rPr>
            </w:pPr>
          </w:p>
        </w:tc>
        <w:tc>
          <w:tcPr>
            <w:tcW w:w="4537" w:type="dxa"/>
            <w:tcBorders>
              <w:bottom w:val="single" w:sz="4" w:space="0" w:color="auto"/>
            </w:tcBorders>
            <w:shd w:val="clear" w:color="auto" w:fill="auto"/>
            <w:vAlign w:val="bottom"/>
          </w:tcPr>
          <w:p w14:paraId="4555C235"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06085368" w14:textId="77777777" w:rsidR="006B3E27" w:rsidRPr="005B51C4" w:rsidRDefault="00100FC8" w:rsidP="00B672B1">
            <w:pPr>
              <w:bidi w:val="0"/>
              <w:spacing w:after="20"/>
              <w:jc w:val="left"/>
              <w:rPr>
                <w:szCs w:val="20"/>
              </w:rPr>
            </w:pPr>
            <w:r w:rsidRPr="00100FC8">
              <w:rPr>
                <w:sz w:val="40"/>
                <w:szCs w:val="20"/>
              </w:rPr>
              <w:t>CCPR</w:t>
            </w:r>
            <w:r>
              <w:rPr>
                <w:szCs w:val="20"/>
              </w:rPr>
              <w:t>/C/</w:t>
            </w:r>
            <w:r w:rsidRPr="00315335">
              <w:rPr>
                <w:szCs w:val="20"/>
              </w:rPr>
              <w:t>129</w:t>
            </w:r>
            <w:r>
              <w:rPr>
                <w:szCs w:val="20"/>
              </w:rPr>
              <w:t>/</w:t>
            </w:r>
            <w:r w:rsidRPr="00315335">
              <w:rPr>
                <w:szCs w:val="20"/>
              </w:rPr>
              <w:t>2</w:t>
            </w:r>
            <w:r>
              <w:rPr>
                <w:szCs w:val="20"/>
              </w:rPr>
              <w:t>/Add.</w:t>
            </w:r>
            <w:r w:rsidRPr="00315335">
              <w:rPr>
                <w:szCs w:val="20"/>
              </w:rPr>
              <w:t>4</w:t>
            </w:r>
          </w:p>
        </w:tc>
      </w:tr>
      <w:tr w:rsidR="006B3E27" w:rsidRPr="00ED7442" w14:paraId="581F1379" w14:textId="77777777" w:rsidTr="005B51C4">
        <w:trPr>
          <w:trHeight w:hRule="exact" w:val="2835"/>
        </w:trPr>
        <w:tc>
          <w:tcPr>
            <w:tcW w:w="1274" w:type="dxa"/>
            <w:tcBorders>
              <w:top w:val="single" w:sz="4" w:space="0" w:color="auto"/>
              <w:bottom w:val="single" w:sz="12" w:space="0" w:color="auto"/>
            </w:tcBorders>
            <w:shd w:val="clear" w:color="auto" w:fill="auto"/>
          </w:tcPr>
          <w:p w14:paraId="78C685D5" w14:textId="1DB2D784" w:rsidR="006B3E27" w:rsidRPr="005B51C4" w:rsidRDefault="00750CC2" w:rsidP="005B51C4">
            <w:pPr>
              <w:jc w:val="center"/>
              <w:rPr>
                <w:sz w:val="56"/>
                <w:szCs w:val="56"/>
                <w:rtl/>
              </w:rPr>
            </w:pPr>
            <w:r>
              <w:rPr>
                <w:noProof/>
                <w:sz w:val="56"/>
                <w:szCs w:val="56"/>
              </w:rPr>
              <w:drawing>
                <wp:inline distT="0" distB="0" distL="0" distR="0" wp14:anchorId="60A7D4EA" wp14:editId="0E48E62C">
                  <wp:extent cx="629285" cy="60769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07695"/>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3092BCB"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1E20ED8" w14:textId="77777777" w:rsidR="006B3E27" w:rsidRDefault="00B672B1" w:rsidP="00B672B1">
            <w:pPr>
              <w:bidi w:val="0"/>
              <w:spacing w:before="240"/>
              <w:jc w:val="left"/>
              <w:rPr>
                <w:szCs w:val="20"/>
              </w:rPr>
            </w:pPr>
            <w:r>
              <w:rPr>
                <w:szCs w:val="20"/>
              </w:rPr>
              <w:t>Distr.</w:t>
            </w:r>
            <w:r w:rsidRPr="004F4510">
              <w:t>:</w:t>
            </w:r>
            <w:r>
              <w:rPr>
                <w:szCs w:val="20"/>
              </w:rPr>
              <w:t xml:space="preserve"> General</w:t>
            </w:r>
          </w:p>
          <w:p w14:paraId="1860574D" w14:textId="5D8B2BB3" w:rsidR="00B672B1" w:rsidRDefault="00D9780D" w:rsidP="00B672B1">
            <w:pPr>
              <w:bidi w:val="0"/>
              <w:jc w:val="left"/>
              <w:rPr>
                <w:szCs w:val="20"/>
              </w:rPr>
            </w:pPr>
            <w:r w:rsidRPr="00315335">
              <w:t>8</w:t>
            </w:r>
            <w:r>
              <w:t xml:space="preserve"> September </w:t>
            </w:r>
            <w:r w:rsidRPr="00315335">
              <w:t>2020</w:t>
            </w:r>
          </w:p>
          <w:p w14:paraId="4301EEDA" w14:textId="77777777" w:rsidR="00B672B1" w:rsidRDefault="00B672B1" w:rsidP="00B672B1">
            <w:pPr>
              <w:bidi w:val="0"/>
              <w:jc w:val="left"/>
              <w:rPr>
                <w:szCs w:val="20"/>
              </w:rPr>
            </w:pPr>
            <w:r>
              <w:rPr>
                <w:szCs w:val="20"/>
              </w:rPr>
              <w:t>Arabic</w:t>
            </w:r>
          </w:p>
          <w:p w14:paraId="3C34FEC8" w14:textId="77777777" w:rsidR="00B672B1" w:rsidRPr="005B51C4" w:rsidRDefault="00B672B1" w:rsidP="00B672B1">
            <w:pPr>
              <w:bidi w:val="0"/>
              <w:jc w:val="left"/>
              <w:rPr>
                <w:szCs w:val="20"/>
              </w:rPr>
            </w:pPr>
            <w:r>
              <w:rPr>
                <w:szCs w:val="20"/>
              </w:rPr>
              <w:t>Original</w:t>
            </w:r>
            <w:r w:rsidRPr="004F4510">
              <w:t>:</w:t>
            </w:r>
            <w:r>
              <w:rPr>
                <w:szCs w:val="20"/>
              </w:rPr>
              <w:t xml:space="preserve"> English</w:t>
            </w:r>
          </w:p>
        </w:tc>
      </w:tr>
    </w:tbl>
    <w:p w14:paraId="5FCF1A2A" w14:textId="77777777" w:rsidR="0035673D" w:rsidRPr="00AE3868" w:rsidRDefault="0035673D" w:rsidP="00D9780D">
      <w:pPr>
        <w:spacing w:before="120" w:line="320" w:lineRule="exact"/>
        <w:textDirection w:val="tbRlV"/>
        <w:rPr>
          <w:b/>
          <w:bCs/>
          <w:sz w:val="34"/>
          <w:szCs w:val="34"/>
          <w:lang w:eastAsia="zh-TW" w:bidi="en-GB"/>
        </w:rPr>
      </w:pPr>
      <w:r w:rsidRPr="0077458A">
        <w:rPr>
          <w:b/>
          <w:bCs/>
          <w:sz w:val="34"/>
          <w:szCs w:val="34"/>
          <w:rtl/>
        </w:rPr>
        <w:t>اللجنة المعنية بحقوق الإنسان</w:t>
      </w:r>
    </w:p>
    <w:p w14:paraId="272B996C" w14:textId="77777777" w:rsidR="0035673D" w:rsidRPr="0077458A" w:rsidRDefault="0035673D" w:rsidP="005F45F3">
      <w:pPr>
        <w:pStyle w:val="HChGA"/>
        <w:rPr>
          <w:lang w:val="ar-SA" w:eastAsia="zh-TW" w:bidi="en-GB"/>
        </w:rPr>
      </w:pPr>
      <w:r w:rsidRPr="0090490A">
        <w:rPr>
          <w:sz w:val="30"/>
          <w:rtl/>
        </w:rPr>
        <w:tab/>
      </w:r>
      <w:r w:rsidRPr="0090490A">
        <w:rPr>
          <w:sz w:val="30"/>
          <w:rtl/>
        </w:rPr>
        <w:tab/>
      </w:r>
      <w:r w:rsidRPr="0077458A">
        <w:rPr>
          <w:rtl/>
        </w:rPr>
        <w:t>تقرير متابعة الملاحظات الختامية للجنة المعنية بحقوق الإنسان</w:t>
      </w:r>
      <w:r w:rsidRPr="0077458A">
        <w:rPr>
          <w:rFonts w:ascii="Traditional Arabic"/>
        </w:rPr>
        <w:footnoteReference w:customMarkFollows="1" w:id="1"/>
        <w:t>*</w:t>
      </w:r>
      <w:bookmarkStart w:id="0" w:name="_Toc506807534"/>
      <w:bookmarkEnd w:id="0"/>
    </w:p>
    <w:p w14:paraId="4EA987BF" w14:textId="77777777" w:rsidR="0035673D" w:rsidRPr="005F45F3" w:rsidRDefault="0035673D" w:rsidP="005F45F3">
      <w:pPr>
        <w:pStyle w:val="H23GA"/>
        <w:rPr>
          <w:lang w:eastAsia="zh-TW" w:bidi="en-GB"/>
        </w:rPr>
      </w:pPr>
      <w:r w:rsidRPr="0090490A">
        <w:rPr>
          <w:rtl/>
        </w:rPr>
        <w:tab/>
      </w:r>
      <w:r w:rsidRPr="0090490A">
        <w:rPr>
          <w:rtl/>
        </w:rPr>
        <w:tab/>
        <w:t>إضافة</w:t>
      </w:r>
    </w:p>
    <w:p w14:paraId="58C9771D" w14:textId="77777777" w:rsidR="0035673D" w:rsidRPr="0077458A" w:rsidRDefault="0035673D" w:rsidP="005F45F3">
      <w:pPr>
        <w:pStyle w:val="H1GA"/>
        <w:rPr>
          <w:lang w:val="ar-SA" w:eastAsia="zh-TW" w:bidi="en-GB"/>
        </w:rPr>
      </w:pPr>
      <w:r w:rsidRPr="0077458A">
        <w:rPr>
          <w:rtl/>
        </w:rPr>
        <w:tab/>
      </w:r>
      <w:r w:rsidRPr="0077458A">
        <w:rPr>
          <w:rtl/>
        </w:rPr>
        <w:tab/>
        <w:t>تقييم المعلومات المتعلقة بمتابعة الملاحظات الختامية بشأن إيطاليا</w:t>
      </w:r>
    </w:p>
    <w:p w14:paraId="43EB6D60" w14:textId="77777777" w:rsidR="0035673D" w:rsidRPr="0090490A" w:rsidRDefault="0035673D" w:rsidP="00D9780D">
      <w:pPr>
        <w:pStyle w:val="SingleTxtGA"/>
        <w:tabs>
          <w:tab w:val="clear" w:pos="1928"/>
          <w:tab w:val="clear" w:pos="2608"/>
          <w:tab w:val="clear" w:pos="3289"/>
          <w:tab w:val="clear" w:pos="3969"/>
          <w:tab w:val="left" w:pos="3956"/>
        </w:tabs>
        <w:ind w:left="3970" w:hanging="2042"/>
        <w:rPr>
          <w:lang w:val="ar-SA" w:eastAsia="zh-TW" w:bidi="en-GB"/>
        </w:rPr>
      </w:pPr>
      <w:r>
        <w:rPr>
          <w:i/>
          <w:iCs/>
          <w:rtl/>
        </w:rPr>
        <w:t>ال</w:t>
      </w:r>
      <w:r w:rsidRPr="0090490A">
        <w:rPr>
          <w:i/>
          <w:iCs/>
          <w:rtl/>
        </w:rPr>
        <w:t xml:space="preserve">ملاحظات </w:t>
      </w:r>
      <w:r>
        <w:rPr>
          <w:i/>
          <w:iCs/>
          <w:rtl/>
        </w:rPr>
        <w:t>ال</w:t>
      </w:r>
      <w:r w:rsidRPr="0090490A">
        <w:rPr>
          <w:i/>
          <w:iCs/>
          <w:rtl/>
        </w:rPr>
        <w:t>ختامية</w:t>
      </w:r>
      <w:r w:rsidRPr="0090490A">
        <w:rPr>
          <w:rtl/>
        </w:rPr>
        <w:t xml:space="preserve"> </w:t>
      </w:r>
      <w:bookmarkStart w:id="1" w:name="_GoBack"/>
      <w:bookmarkEnd w:id="1"/>
      <w:r w:rsidRPr="0090490A">
        <w:rPr>
          <w:rtl/>
        </w:rPr>
        <w:tab/>
      </w:r>
      <w:r w:rsidRPr="009535F2">
        <w:rPr>
          <w:rFonts w:cs="Times New Roman"/>
          <w:szCs w:val="20"/>
        </w:rPr>
        <w:t>CCPR/C/ITA/CO/</w:t>
      </w:r>
      <w:r w:rsidRPr="00315335">
        <w:rPr>
          <w:szCs w:val="20"/>
        </w:rPr>
        <w:t>6</w:t>
      </w:r>
      <w:r w:rsidRPr="0090490A">
        <w:rPr>
          <w:rtl/>
        </w:rPr>
        <w:t xml:space="preserve">، </w:t>
      </w:r>
      <w:r w:rsidRPr="00315335">
        <w:rPr>
          <w:szCs w:val="20"/>
          <w:rtl/>
        </w:rPr>
        <w:t>23</w:t>
      </w:r>
      <w:r w:rsidRPr="0090490A">
        <w:rPr>
          <w:rtl/>
        </w:rPr>
        <w:t xml:space="preserve"> آذار/مارس </w:t>
      </w:r>
      <w:r w:rsidRPr="00315335">
        <w:rPr>
          <w:szCs w:val="20"/>
          <w:rtl/>
        </w:rPr>
        <w:t>2017</w:t>
      </w:r>
    </w:p>
    <w:p w14:paraId="39CFCD8C" w14:textId="77777777" w:rsidR="0035673D" w:rsidRPr="005F45F3" w:rsidRDefault="0035673D" w:rsidP="00D9780D">
      <w:pPr>
        <w:pStyle w:val="SingleTxtGA"/>
        <w:tabs>
          <w:tab w:val="clear" w:pos="1928"/>
          <w:tab w:val="clear" w:pos="2608"/>
          <w:tab w:val="clear" w:pos="3289"/>
          <w:tab w:val="clear" w:pos="3969"/>
          <w:tab w:val="left" w:pos="3956"/>
        </w:tabs>
        <w:ind w:left="3970" w:hanging="2042"/>
        <w:rPr>
          <w:lang w:eastAsia="zh-TW" w:bidi="en-GB"/>
        </w:rPr>
      </w:pPr>
      <w:r w:rsidRPr="0090490A">
        <w:rPr>
          <w:rtl/>
        </w:rPr>
        <w:t xml:space="preserve">(الدورة </w:t>
      </w:r>
      <w:r w:rsidRPr="00315335">
        <w:rPr>
          <w:szCs w:val="20"/>
          <w:rtl/>
        </w:rPr>
        <w:t>119</w:t>
      </w:r>
      <w:r w:rsidRPr="0090490A">
        <w:rPr>
          <w:rFonts w:ascii="Traditional Arabic"/>
          <w:rtl/>
        </w:rPr>
        <w:t>)</w:t>
      </w:r>
      <w:r w:rsidRPr="004F4510">
        <w:t>:</w:t>
      </w:r>
      <w:r w:rsidRPr="0090490A">
        <w:rPr>
          <w:rtl/>
        </w:rPr>
        <w:t xml:space="preserve"> </w:t>
      </w:r>
    </w:p>
    <w:p w14:paraId="740D4D3F" w14:textId="77777777" w:rsidR="0035673D" w:rsidRPr="009535F2" w:rsidRDefault="0035673D" w:rsidP="00D9780D">
      <w:pPr>
        <w:pStyle w:val="SingleTxtGA"/>
        <w:tabs>
          <w:tab w:val="clear" w:pos="1928"/>
          <w:tab w:val="clear" w:pos="2608"/>
          <w:tab w:val="clear" w:pos="3289"/>
          <w:tab w:val="clear" w:pos="3969"/>
          <w:tab w:val="left" w:pos="3956"/>
        </w:tabs>
        <w:ind w:left="3970" w:hanging="2042"/>
        <w:rPr>
          <w:lang w:eastAsia="zh-TW" w:bidi="en-GB"/>
        </w:rPr>
      </w:pPr>
      <w:r w:rsidRPr="0090490A">
        <w:rPr>
          <w:rtl/>
        </w:rPr>
        <w:t>فقرات المتابعة</w:t>
      </w:r>
      <w:r w:rsidRPr="004F4510">
        <w:rPr>
          <w:rtl/>
        </w:rPr>
        <w:t>:</w:t>
      </w:r>
      <w:r w:rsidRPr="0090490A">
        <w:rPr>
          <w:rtl/>
        </w:rPr>
        <w:tab/>
      </w:r>
      <w:r w:rsidRPr="00315335">
        <w:rPr>
          <w:szCs w:val="20"/>
          <w:rtl/>
        </w:rPr>
        <w:t>7</w:t>
      </w:r>
      <w:r w:rsidRPr="0090490A">
        <w:rPr>
          <w:rtl/>
        </w:rPr>
        <w:t xml:space="preserve"> و</w:t>
      </w:r>
      <w:r w:rsidRPr="00315335">
        <w:rPr>
          <w:szCs w:val="20"/>
          <w:rtl/>
        </w:rPr>
        <w:t>25</w:t>
      </w:r>
      <w:r w:rsidRPr="0090490A">
        <w:rPr>
          <w:rtl/>
        </w:rPr>
        <w:t xml:space="preserve"> و</w:t>
      </w:r>
      <w:r w:rsidRPr="00315335">
        <w:rPr>
          <w:szCs w:val="20"/>
          <w:rtl/>
        </w:rPr>
        <w:t>27</w:t>
      </w:r>
    </w:p>
    <w:p w14:paraId="3D595E7A" w14:textId="77777777" w:rsidR="0035673D" w:rsidRPr="008B5910" w:rsidRDefault="0035673D" w:rsidP="00D9780D">
      <w:pPr>
        <w:pStyle w:val="SingleTxtGA"/>
        <w:tabs>
          <w:tab w:val="clear" w:pos="1928"/>
          <w:tab w:val="clear" w:pos="2608"/>
          <w:tab w:val="clear" w:pos="3289"/>
          <w:tab w:val="clear" w:pos="3969"/>
          <w:tab w:val="left" w:pos="3956"/>
        </w:tabs>
        <w:ind w:left="3970" w:hanging="2042"/>
        <w:rPr>
          <w:lang w:eastAsia="zh-TW" w:bidi="en-GB"/>
        </w:rPr>
      </w:pPr>
      <w:r w:rsidRPr="0090490A">
        <w:rPr>
          <w:i/>
          <w:iCs/>
          <w:rtl/>
        </w:rPr>
        <w:t>رد المتابعة</w:t>
      </w:r>
      <w:r w:rsidRPr="004F4510">
        <w:rPr>
          <w:rtl/>
        </w:rPr>
        <w:t>:</w:t>
      </w:r>
      <w:r w:rsidRPr="0090490A">
        <w:rPr>
          <w:rtl/>
        </w:rPr>
        <w:tab/>
      </w:r>
      <w:r w:rsidRPr="009535F2">
        <w:rPr>
          <w:rFonts w:cs="Times New Roman"/>
          <w:szCs w:val="20"/>
        </w:rPr>
        <w:t>CCPR/C/ITA/CO/</w:t>
      </w:r>
      <w:r w:rsidRPr="00315335">
        <w:rPr>
          <w:szCs w:val="20"/>
        </w:rPr>
        <w:t>6</w:t>
      </w:r>
      <w:r w:rsidRPr="009535F2">
        <w:rPr>
          <w:rFonts w:cs="Times New Roman"/>
          <w:szCs w:val="20"/>
        </w:rPr>
        <w:t>/Add.</w:t>
      </w:r>
      <w:r w:rsidRPr="00315335">
        <w:rPr>
          <w:szCs w:val="20"/>
        </w:rPr>
        <w:t>1</w:t>
      </w:r>
      <w:r w:rsidRPr="0090490A">
        <w:rPr>
          <w:rtl/>
        </w:rPr>
        <w:t xml:space="preserve">، </w:t>
      </w:r>
      <w:r w:rsidRPr="00315335">
        <w:rPr>
          <w:szCs w:val="20"/>
          <w:rtl/>
        </w:rPr>
        <w:t>21</w:t>
      </w:r>
      <w:r w:rsidRPr="0090490A">
        <w:rPr>
          <w:rtl/>
        </w:rPr>
        <w:t xml:space="preserve"> آذار/مارس </w:t>
      </w:r>
      <w:r w:rsidRPr="00315335">
        <w:rPr>
          <w:szCs w:val="20"/>
          <w:rtl/>
        </w:rPr>
        <w:t>2018</w:t>
      </w:r>
    </w:p>
    <w:p w14:paraId="288A3A13" w14:textId="77777777" w:rsidR="0035673D" w:rsidRPr="0090490A" w:rsidRDefault="0035673D" w:rsidP="00D9780D">
      <w:pPr>
        <w:pStyle w:val="SingleTxtGA"/>
        <w:tabs>
          <w:tab w:val="clear" w:pos="1928"/>
          <w:tab w:val="clear" w:pos="2608"/>
          <w:tab w:val="clear" w:pos="3289"/>
          <w:tab w:val="clear" w:pos="3969"/>
          <w:tab w:val="left" w:pos="3956"/>
        </w:tabs>
        <w:ind w:left="3970" w:hanging="2042"/>
        <w:rPr>
          <w:lang w:val="ar-SA" w:eastAsia="zh-TW" w:bidi="en-GB"/>
        </w:rPr>
      </w:pPr>
      <w:r w:rsidRPr="0090490A">
        <w:rPr>
          <w:i/>
          <w:iCs/>
          <w:rtl/>
        </w:rPr>
        <w:t>تقييم اللجنة</w:t>
      </w:r>
      <w:r w:rsidRPr="004F4510">
        <w:t>:</w:t>
      </w:r>
      <w:r w:rsidRPr="0090490A">
        <w:rPr>
          <w:rtl/>
        </w:rPr>
        <w:t xml:space="preserve"> </w:t>
      </w:r>
      <w:r w:rsidRPr="0090490A">
        <w:rPr>
          <w:rtl/>
        </w:rPr>
        <w:tab/>
        <w:t xml:space="preserve">يلزم تقديم معلومات إضافية عن الفقرات </w:t>
      </w:r>
      <w:r w:rsidRPr="00315335">
        <w:rPr>
          <w:szCs w:val="20"/>
          <w:rtl/>
        </w:rPr>
        <w:t>7</w:t>
      </w:r>
      <w:r w:rsidRPr="0090490A">
        <w:rPr>
          <w:rFonts w:ascii="Traditional Arabic"/>
          <w:rtl/>
        </w:rPr>
        <w:t>[</w:t>
      </w:r>
      <w:r w:rsidRPr="0090490A">
        <w:rPr>
          <w:b/>
          <w:bCs/>
          <w:rtl/>
        </w:rPr>
        <w:t>جيم</w:t>
      </w:r>
      <w:r w:rsidRPr="0090490A">
        <w:rPr>
          <w:rFonts w:ascii="Traditional Arabic"/>
          <w:rtl/>
        </w:rPr>
        <w:t>]</w:t>
      </w:r>
      <w:r w:rsidRPr="0090490A">
        <w:rPr>
          <w:rtl/>
        </w:rPr>
        <w:t>، و</w:t>
      </w:r>
      <w:r w:rsidRPr="00315335">
        <w:rPr>
          <w:szCs w:val="20"/>
          <w:rtl/>
        </w:rPr>
        <w:t>25</w:t>
      </w:r>
      <w:r w:rsidRPr="0090490A">
        <w:rPr>
          <w:rFonts w:ascii="Traditional Arabic"/>
          <w:rtl/>
        </w:rPr>
        <w:t>[</w:t>
      </w:r>
      <w:r w:rsidRPr="0090490A">
        <w:rPr>
          <w:b/>
          <w:bCs/>
          <w:rtl/>
        </w:rPr>
        <w:t>جيم</w:t>
      </w:r>
      <w:r w:rsidRPr="0090490A">
        <w:rPr>
          <w:rFonts w:ascii="Traditional Arabic"/>
          <w:rtl/>
        </w:rPr>
        <w:t>]</w:t>
      </w:r>
      <w:r w:rsidRPr="0090490A">
        <w:rPr>
          <w:rtl/>
        </w:rPr>
        <w:t>، و</w:t>
      </w:r>
      <w:r w:rsidRPr="00315335">
        <w:rPr>
          <w:szCs w:val="20"/>
          <w:rtl/>
        </w:rPr>
        <w:t>27</w:t>
      </w:r>
      <w:r w:rsidRPr="0090490A">
        <w:rPr>
          <w:rFonts w:ascii="Traditional Arabic"/>
          <w:rtl/>
        </w:rPr>
        <w:t>[</w:t>
      </w:r>
      <w:r w:rsidRPr="0090490A">
        <w:rPr>
          <w:b/>
          <w:bCs/>
          <w:rtl/>
        </w:rPr>
        <w:t>باء</w:t>
      </w:r>
      <w:r w:rsidRPr="0090490A">
        <w:rPr>
          <w:rFonts w:ascii="Traditional Arabic"/>
          <w:rtl/>
        </w:rPr>
        <w:t>][</w:t>
      </w:r>
      <w:r w:rsidRPr="0090490A">
        <w:rPr>
          <w:b/>
          <w:bCs/>
          <w:rtl/>
        </w:rPr>
        <w:t>جيم</w:t>
      </w:r>
      <w:r w:rsidRPr="0090490A">
        <w:rPr>
          <w:rFonts w:ascii="Traditional Arabic"/>
          <w:rtl/>
        </w:rPr>
        <w:t>]</w:t>
      </w:r>
    </w:p>
    <w:p w14:paraId="59E2B6E1" w14:textId="77F464BD" w:rsidR="0035673D" w:rsidRPr="00567818" w:rsidRDefault="009535F2" w:rsidP="009535F2">
      <w:pPr>
        <w:pStyle w:val="H23GA"/>
        <w:rPr>
          <w:lang w:eastAsia="zh-TW" w:bidi="en-GB"/>
        </w:rPr>
      </w:pPr>
      <w:r>
        <w:rPr>
          <w:rtl/>
        </w:rPr>
        <w:tab/>
      </w:r>
      <w:r>
        <w:rPr>
          <w:rtl/>
        </w:rPr>
        <w:tab/>
      </w:r>
      <w:r w:rsidR="0035673D" w:rsidRPr="0090490A">
        <w:rPr>
          <w:rtl/>
        </w:rPr>
        <w:t xml:space="preserve">الفقرة </w:t>
      </w:r>
      <w:r w:rsidR="0035673D" w:rsidRPr="0090490A">
        <w:rPr>
          <w:rFonts w:ascii="Traditional Arabic"/>
          <w:rtl/>
        </w:rPr>
        <w:t>(</w:t>
      </w:r>
      <w:r w:rsidR="0035673D" w:rsidRPr="00315335">
        <w:rPr>
          <w:szCs w:val="20"/>
          <w:rtl/>
        </w:rPr>
        <w:t>7</w:t>
      </w:r>
      <w:r w:rsidR="0035673D" w:rsidRPr="0090490A">
        <w:rPr>
          <w:rFonts w:ascii="Traditional Arabic"/>
          <w:rtl/>
        </w:rPr>
        <w:t>)</w:t>
      </w:r>
      <w:r>
        <w:rPr>
          <w:rFonts w:ascii="Traditional Arabic" w:hint="cs"/>
          <w:rtl/>
        </w:rPr>
        <w:t>:</w:t>
      </w:r>
      <w:r>
        <w:rPr>
          <w:rFonts w:hint="cs"/>
          <w:rtl/>
        </w:rPr>
        <w:t xml:space="preserve"> </w:t>
      </w:r>
      <w:r w:rsidR="0035673D" w:rsidRPr="0090490A">
        <w:rPr>
          <w:rtl/>
        </w:rPr>
        <w:t>ال</w:t>
      </w:r>
      <w:r w:rsidR="0035673D">
        <w:rPr>
          <w:rtl/>
        </w:rPr>
        <w:t>مؤسس</w:t>
      </w:r>
      <w:r w:rsidR="0035673D" w:rsidRPr="0090490A">
        <w:rPr>
          <w:rtl/>
        </w:rPr>
        <w:t>ة الوطنية لحقوق الإنسان</w:t>
      </w:r>
    </w:p>
    <w:p w14:paraId="698EB69E" w14:textId="77777777" w:rsidR="0035673D" w:rsidRPr="009535F2" w:rsidRDefault="0035673D" w:rsidP="005F45F3">
      <w:pPr>
        <w:pStyle w:val="SingleTxtGA"/>
        <w:rPr>
          <w:b/>
          <w:bCs/>
          <w:lang w:val="ar-SA" w:eastAsia="zh-TW" w:bidi="en-GB"/>
        </w:rPr>
      </w:pPr>
      <w:r w:rsidRPr="009535F2">
        <w:rPr>
          <w:b/>
          <w:bCs/>
          <w:rtl/>
        </w:rPr>
        <w:tab/>
        <w:t>ينبغي للدولة الطرف أن تعجل بإنشاء مؤسسة وطنية لحقوق الإنسان امتثالاً للمبادئ المتعلقة بمركز المؤسسات الوطنية لتعزيز وحماية حقوق الإنسان (مبادئ باريس).</w:t>
      </w:r>
    </w:p>
    <w:p w14:paraId="2300C648" w14:textId="77777777" w:rsidR="0035673D" w:rsidRPr="00567818" w:rsidRDefault="0035673D" w:rsidP="009535F2">
      <w:pPr>
        <w:pStyle w:val="H23GA"/>
        <w:rPr>
          <w:lang w:eastAsia="zh-TW" w:bidi="en-GB"/>
        </w:rPr>
      </w:pPr>
      <w:r w:rsidRPr="0090490A">
        <w:rPr>
          <w:rtl/>
        </w:rPr>
        <w:tab/>
      </w:r>
      <w:r w:rsidRPr="0090490A">
        <w:rPr>
          <w:rtl/>
        </w:rPr>
        <w:tab/>
        <w:t xml:space="preserve">ملخص ردّ الدولة الطرف </w:t>
      </w:r>
    </w:p>
    <w:p w14:paraId="6FC38DCC" w14:textId="77777777" w:rsidR="0035673D" w:rsidRPr="00567818" w:rsidRDefault="0035673D" w:rsidP="005F45F3">
      <w:pPr>
        <w:pStyle w:val="SingleTxtGA"/>
        <w:rPr>
          <w:b/>
          <w:lang w:eastAsia="zh-TW" w:bidi="en-GB"/>
        </w:rPr>
      </w:pPr>
      <w:r w:rsidRPr="0090490A">
        <w:rPr>
          <w:rtl/>
        </w:rPr>
        <w:tab/>
        <w:t xml:space="preserve">تشير الدولة الطرف إلى أن فترة ولاية برلمانية جديدة بدأت في آذار/مارس </w:t>
      </w:r>
      <w:r w:rsidRPr="00315335">
        <w:rPr>
          <w:szCs w:val="20"/>
          <w:rtl/>
        </w:rPr>
        <w:t>2018</w:t>
      </w:r>
      <w:r w:rsidRPr="0090490A">
        <w:rPr>
          <w:rFonts w:ascii="Traditional Arabic"/>
          <w:rtl/>
        </w:rPr>
        <w:t>.</w:t>
      </w:r>
      <w:r w:rsidRPr="0090490A">
        <w:rPr>
          <w:rtl/>
        </w:rPr>
        <w:t xml:space="preserve"> واللجنة المشتركة بين الوزارات المعنية بحقوق الإنسان، بوصفها آلية وطنية للإبلاغ والمتابعة، ملتزمة بالعمل على إنشاء مؤسسة وطنية لحقوق الإنسان مستقلة تماماً.</w:t>
      </w:r>
    </w:p>
    <w:p w14:paraId="3C23BC8D" w14:textId="77777777" w:rsidR="0035673D" w:rsidRPr="005F45F3" w:rsidRDefault="0035673D" w:rsidP="005F45F3">
      <w:pPr>
        <w:pStyle w:val="H23GA"/>
        <w:rPr>
          <w:lang w:eastAsia="zh-TW" w:bidi="en-GB"/>
        </w:rPr>
      </w:pPr>
      <w:r w:rsidRPr="0090490A">
        <w:rPr>
          <w:rtl/>
        </w:rPr>
        <w:tab/>
      </w:r>
      <w:r w:rsidRPr="0090490A">
        <w:rPr>
          <w:rtl/>
        </w:rPr>
        <w:tab/>
        <w:t>تقييم اللجنة</w:t>
      </w:r>
      <w:r w:rsidRPr="004F4510">
        <w:rPr>
          <w:rtl/>
        </w:rPr>
        <w:t>:</w:t>
      </w:r>
    </w:p>
    <w:p w14:paraId="4205475D" w14:textId="77777777" w:rsidR="0035673D" w:rsidRPr="0090490A" w:rsidRDefault="0035673D" w:rsidP="005F45F3">
      <w:pPr>
        <w:pStyle w:val="SingleTxtGA"/>
        <w:rPr>
          <w:lang w:val="ar-SA" w:eastAsia="zh-TW" w:bidi="en-GB"/>
        </w:rPr>
      </w:pPr>
      <w:r w:rsidRPr="0090490A">
        <w:rPr>
          <w:rtl/>
        </w:rPr>
        <w:t>[</w:t>
      </w:r>
      <w:r w:rsidRPr="006B053F">
        <w:rPr>
          <w:b/>
          <w:bCs/>
          <w:rtl/>
        </w:rPr>
        <w:t>جيم</w:t>
      </w:r>
      <w:r w:rsidRPr="0090490A">
        <w:rPr>
          <w:rtl/>
        </w:rPr>
        <w:t>]</w:t>
      </w:r>
      <w:r w:rsidRPr="004F4510">
        <w:rPr>
          <w:rtl/>
        </w:rPr>
        <w:t>:</w:t>
      </w:r>
      <w:r w:rsidRPr="0090490A">
        <w:rPr>
          <w:rtl/>
        </w:rPr>
        <w:t xml:space="preserve"> تأسف اللجنة لعدم تقديم معلومات عن التدابير المحددة التي اتخذت لإنشاء مؤسسة وطنية لحقوق الإنسان امتثالا</w:t>
      </w:r>
      <w:r>
        <w:rPr>
          <w:rtl/>
        </w:rPr>
        <w:t>ً</w:t>
      </w:r>
      <w:r w:rsidRPr="0090490A">
        <w:rPr>
          <w:rtl/>
        </w:rPr>
        <w:t xml:space="preserve"> لمبادئ باريس. وتطلب اللجنة مجدداً إمدادها بالمعلومات وتكرر توصيتها.</w:t>
      </w:r>
    </w:p>
    <w:p w14:paraId="5F8F81F7" w14:textId="77777777" w:rsidR="0035673D" w:rsidRPr="00567818" w:rsidRDefault="0035673D" w:rsidP="005F45F3">
      <w:pPr>
        <w:pStyle w:val="H23GA"/>
        <w:rPr>
          <w:lang w:eastAsia="zh-TW" w:bidi="en-GB"/>
        </w:rPr>
      </w:pPr>
      <w:r w:rsidRPr="0090490A">
        <w:rPr>
          <w:rtl/>
        </w:rPr>
        <w:lastRenderedPageBreak/>
        <w:tab/>
      </w:r>
      <w:r w:rsidRPr="0090490A">
        <w:rPr>
          <w:rtl/>
        </w:rPr>
        <w:tab/>
        <w:t xml:space="preserve">الفقرة </w:t>
      </w:r>
      <w:r w:rsidRPr="00315335">
        <w:rPr>
          <w:szCs w:val="20"/>
          <w:rtl/>
        </w:rPr>
        <w:t>25</w:t>
      </w:r>
      <w:r w:rsidRPr="004F4510">
        <w:rPr>
          <w:rtl/>
        </w:rPr>
        <w:t>:</w:t>
      </w:r>
      <w:r w:rsidRPr="0090490A">
        <w:rPr>
          <w:rtl/>
        </w:rPr>
        <w:t xml:space="preserve"> </w:t>
      </w:r>
      <w:dir w:val="rtl">
        <w:r w:rsidRPr="0090490A">
          <w:rPr>
            <w:rtl/>
          </w:rPr>
          <w:t>المهاجرون و</w:t>
        </w:r>
        <w:r>
          <w:rPr>
            <w:rtl/>
          </w:rPr>
          <w:t>طالبو</w:t>
        </w:r>
        <w:r w:rsidRPr="0090490A">
          <w:rPr>
            <w:rtl/>
          </w:rPr>
          <w:t xml:space="preserve"> اللجوء واللاجئون</w:t>
        </w:r>
        <w:r w:rsidRPr="0090490A">
          <w:rPr>
            <w:rFonts w:cs="Times New Roman" w:hint="cs"/>
            <w:rtl/>
          </w:rPr>
          <w:t>‬</w:t>
        </w:r>
        <w:r>
          <w:t>‬</w:t>
        </w:r>
        <w:r>
          <w:t>‬</w:t>
        </w:r>
        <w:r>
          <w:t>‬</w:t>
        </w:r>
        <w:r>
          <w:t>‬</w:t>
        </w:r>
      </w:dir>
    </w:p>
    <w:p w14:paraId="1F79D000" w14:textId="169F075F" w:rsidR="0035673D" w:rsidRPr="009535F2" w:rsidRDefault="0035673D" w:rsidP="005F45F3">
      <w:pPr>
        <w:pStyle w:val="SingleTxtGA"/>
        <w:rPr>
          <w:b/>
          <w:bCs/>
          <w:lang w:eastAsia="zh-TW" w:bidi="en-GB"/>
        </w:rPr>
      </w:pPr>
      <w:r w:rsidRPr="0090490A">
        <w:rPr>
          <w:rtl/>
        </w:rPr>
        <w:tab/>
      </w:r>
      <w:r w:rsidRPr="009535F2">
        <w:rPr>
          <w:b/>
          <w:bCs/>
          <w:rtl/>
        </w:rPr>
        <w:t>ينبغي للدولة الطرف أن تقوم</w:t>
      </w:r>
      <w:r w:rsidR="00222149">
        <w:rPr>
          <w:b/>
          <w:bCs/>
          <w:rtl/>
        </w:rPr>
        <w:t xml:space="preserve"> </w:t>
      </w:r>
      <w:r w:rsidRPr="009535F2">
        <w:rPr>
          <w:b/>
          <w:bCs/>
          <w:rtl/>
        </w:rPr>
        <w:t>بما يلي</w:t>
      </w:r>
      <w:r w:rsidRPr="009535F2">
        <w:rPr>
          <w:b/>
          <w:bCs/>
          <w:rtl/>
        </w:rPr>
        <w:t>:</w:t>
      </w:r>
    </w:p>
    <w:p w14:paraId="1F2D5FBA" w14:textId="26B0536A" w:rsidR="0035673D" w:rsidRPr="009535F2" w:rsidRDefault="0035673D" w:rsidP="005F45F3">
      <w:pPr>
        <w:pStyle w:val="SingleTxtGA"/>
        <w:rPr>
          <w:b/>
          <w:bCs/>
          <w:lang w:eastAsia="zh-TW" w:bidi="en-GB"/>
        </w:rPr>
      </w:pPr>
      <w:r w:rsidRPr="009535F2">
        <w:rPr>
          <w:b/>
          <w:bCs/>
          <w:rtl/>
        </w:rPr>
        <w:tab/>
        <w:t>(أ)</w:t>
      </w:r>
      <w:r w:rsidRPr="009535F2">
        <w:rPr>
          <w:b/>
          <w:bCs/>
          <w:rtl/>
        </w:rPr>
        <w:tab/>
        <w:t xml:space="preserve">تنفيذ القانون رقم </w:t>
      </w:r>
      <w:r w:rsidRPr="00315335">
        <w:rPr>
          <w:b/>
          <w:bCs/>
          <w:szCs w:val="20"/>
          <w:rtl/>
        </w:rPr>
        <w:t>67</w:t>
      </w:r>
      <w:r w:rsidRPr="009535F2">
        <w:rPr>
          <w:rFonts w:ascii="Traditional Arabic"/>
          <w:b/>
          <w:bCs/>
          <w:rtl/>
        </w:rPr>
        <w:t>/</w:t>
      </w:r>
      <w:r w:rsidRPr="00315335">
        <w:rPr>
          <w:b/>
          <w:bCs/>
          <w:szCs w:val="20"/>
          <w:rtl/>
        </w:rPr>
        <w:t>2014</w:t>
      </w:r>
      <w:r w:rsidRPr="009535F2">
        <w:rPr>
          <w:b/>
          <w:bCs/>
          <w:rtl/>
        </w:rPr>
        <w:t xml:space="preserve"> بهدف إلغاء جريمة الدخول والإقامة غير الشرعيين؛</w:t>
      </w:r>
    </w:p>
    <w:p w14:paraId="2ABE203D" w14:textId="5C7C39CD" w:rsidR="0035673D" w:rsidRPr="009535F2" w:rsidRDefault="0035673D" w:rsidP="005F45F3">
      <w:pPr>
        <w:pStyle w:val="SingleTxtGA"/>
        <w:rPr>
          <w:b/>
          <w:bCs/>
          <w:lang w:eastAsia="zh-TW" w:bidi="en-GB"/>
        </w:rPr>
      </w:pPr>
      <w:r w:rsidRPr="009535F2">
        <w:rPr>
          <w:b/>
          <w:bCs/>
          <w:rtl/>
        </w:rPr>
        <w:tab/>
        <w:t>(ب)</w:t>
      </w:r>
      <w:r w:rsidRPr="009535F2">
        <w:rPr>
          <w:b/>
          <w:bCs/>
          <w:rtl/>
        </w:rPr>
        <w:tab/>
        <w:t>الامتناع عن طرد المهاجرين طرداً جماعياً، وكفالة استناد جميع أوامر الطرد إلى تقييم فردي لحالة كل مهاجر، مع مراعاة احتياجاته من حيث الحماية الخاصة، والحرص على تطبيق الاتفاقات الثنائية والمتعددة الأطراف بطريقة تكفل الاحترام الكامل للحقوق التي يكفلها العهد والامتثال الصارم لمبدأ عدم الإعادة القسرية، ووقف تنفيذ</w:t>
      </w:r>
      <w:r w:rsidR="00222149">
        <w:rPr>
          <w:b/>
          <w:bCs/>
          <w:rtl/>
        </w:rPr>
        <w:t xml:space="preserve"> </w:t>
      </w:r>
      <w:r w:rsidRPr="009535F2">
        <w:rPr>
          <w:b/>
          <w:bCs/>
          <w:rtl/>
        </w:rPr>
        <w:t>أي اتفاق لا يشمل ضمانات فعالة</w:t>
      </w:r>
      <w:r w:rsidR="00222149">
        <w:rPr>
          <w:b/>
          <w:bCs/>
          <w:rtl/>
        </w:rPr>
        <w:t xml:space="preserve"> </w:t>
      </w:r>
      <w:r w:rsidRPr="009535F2">
        <w:rPr>
          <w:b/>
          <w:bCs/>
          <w:rtl/>
        </w:rPr>
        <w:t>لحماية حقوق الإنسان؛</w:t>
      </w:r>
    </w:p>
    <w:p w14:paraId="5AE78A71" w14:textId="3F7085BF" w:rsidR="0035673D" w:rsidRPr="009535F2" w:rsidRDefault="0035673D" w:rsidP="005F45F3">
      <w:pPr>
        <w:pStyle w:val="SingleTxtGA"/>
        <w:rPr>
          <w:b/>
          <w:bCs/>
          <w:lang w:eastAsia="zh-TW" w:bidi="en-GB"/>
        </w:rPr>
      </w:pPr>
      <w:r w:rsidRPr="009535F2">
        <w:rPr>
          <w:b/>
          <w:bCs/>
          <w:rtl/>
        </w:rPr>
        <w:tab/>
        <w:t>(ج)</w:t>
      </w:r>
      <w:r w:rsidRPr="009535F2">
        <w:rPr>
          <w:b/>
          <w:bCs/>
          <w:rtl/>
        </w:rPr>
        <w:tab/>
        <w:t>كفالة ألا</w:t>
      </w:r>
      <w:r w:rsidR="001F4F28">
        <w:rPr>
          <w:rFonts w:hint="cs"/>
          <w:b/>
          <w:bCs/>
          <w:rtl/>
        </w:rPr>
        <w:t xml:space="preserve"> </w:t>
      </w:r>
      <w:r w:rsidRPr="009535F2">
        <w:rPr>
          <w:b/>
          <w:bCs/>
          <w:rtl/>
        </w:rPr>
        <w:t>يطبق تدبير احتجاز المهاجرين إلا لأقصر فترة ممكنة كملاذ أخير</w:t>
      </w:r>
      <w:r w:rsidR="00222149">
        <w:rPr>
          <w:b/>
          <w:bCs/>
          <w:rtl/>
        </w:rPr>
        <w:t xml:space="preserve">، </w:t>
      </w:r>
      <w:r w:rsidRPr="009535F2">
        <w:rPr>
          <w:b/>
          <w:bCs/>
          <w:rtl/>
        </w:rPr>
        <w:t>بعد التأكد، على أساس كل حالة على حدة، من أنه تدبير ضروري للغاية ومتناسب وقانوني وغير تعسفي؛</w:t>
      </w:r>
    </w:p>
    <w:p w14:paraId="7FB6F96C" w14:textId="54480F23" w:rsidR="0035673D" w:rsidRPr="009535F2" w:rsidRDefault="0035673D" w:rsidP="005F45F3">
      <w:pPr>
        <w:pStyle w:val="SingleTxtGA"/>
        <w:rPr>
          <w:b/>
          <w:bCs/>
          <w:lang w:eastAsia="zh-TW" w:bidi="en-GB"/>
        </w:rPr>
      </w:pPr>
      <w:r w:rsidRPr="009535F2">
        <w:rPr>
          <w:b/>
          <w:bCs/>
          <w:rtl/>
        </w:rPr>
        <w:tab/>
        <w:t>(د)</w:t>
      </w:r>
      <w:r w:rsidRPr="009535F2">
        <w:rPr>
          <w:b/>
          <w:bCs/>
          <w:rtl/>
        </w:rPr>
        <w:tab/>
        <w:t>تعزيز جهودها لزيادة عدد الأماكن المتاحة في مراكز الاستقبال واتخاذ جميع التدابير اللازمة لتحسينها دون تأخير؛</w:t>
      </w:r>
    </w:p>
    <w:p w14:paraId="298BA56A" w14:textId="50D124B6" w:rsidR="0035673D" w:rsidRPr="009535F2" w:rsidRDefault="0035673D" w:rsidP="005F45F3">
      <w:pPr>
        <w:pStyle w:val="SingleTxtGA"/>
        <w:rPr>
          <w:b/>
          <w:bCs/>
          <w:lang w:eastAsia="zh-TW" w:bidi="en-GB"/>
        </w:rPr>
      </w:pPr>
      <w:r w:rsidRPr="009535F2">
        <w:rPr>
          <w:b/>
          <w:bCs/>
          <w:rtl/>
        </w:rPr>
        <w:tab/>
        <w:t>(ه)</w:t>
      </w:r>
      <w:r w:rsidRPr="009535F2">
        <w:rPr>
          <w:b/>
          <w:bCs/>
          <w:rtl/>
        </w:rPr>
        <w:tab/>
        <w:t>تنفيذ إجراءات التشغيل الموحدة تنفيذاً كاملاً في البؤر الساخنة وتوفير المعلومات والمساعدة القانونية، عند الاقتضاء،</w:t>
      </w:r>
      <w:r w:rsidR="00222149">
        <w:rPr>
          <w:b/>
          <w:bCs/>
          <w:rtl/>
        </w:rPr>
        <w:t xml:space="preserve"> </w:t>
      </w:r>
      <w:r w:rsidRPr="009535F2">
        <w:rPr>
          <w:b/>
          <w:bCs/>
          <w:rtl/>
        </w:rPr>
        <w:t>في جميع مراكز الاستقبال من المستوى الأول، فيما يتصل بالإجراءات التمهيدية والفعلية للتحقق من الهوية وطلب اللجوء.</w:t>
      </w:r>
    </w:p>
    <w:p w14:paraId="6D558CAD" w14:textId="77777777" w:rsidR="0035673D" w:rsidRPr="008B5910" w:rsidRDefault="0035673D" w:rsidP="005F45F3">
      <w:pPr>
        <w:pStyle w:val="H23GA"/>
        <w:rPr>
          <w:lang w:eastAsia="zh-TW" w:bidi="en-GB"/>
        </w:rPr>
      </w:pPr>
      <w:r w:rsidRPr="0090490A">
        <w:rPr>
          <w:rtl/>
        </w:rPr>
        <w:tab/>
      </w:r>
      <w:r w:rsidRPr="0090490A">
        <w:rPr>
          <w:rtl/>
        </w:rPr>
        <w:tab/>
        <w:t>ملخص ردّ الدولة الطرف</w:t>
      </w:r>
    </w:p>
    <w:p w14:paraId="0602B965" w14:textId="7BE33BAF" w:rsidR="0035673D" w:rsidRPr="008B5910" w:rsidRDefault="0035673D" w:rsidP="005F45F3">
      <w:pPr>
        <w:pStyle w:val="SingleTxtGA"/>
        <w:rPr>
          <w:lang w:eastAsia="zh-TW" w:bidi="en-GB"/>
        </w:rPr>
      </w:pPr>
      <w:r>
        <w:rPr>
          <w:rtl/>
        </w:rPr>
        <w:tab/>
      </w:r>
      <w:r w:rsidRPr="0090490A">
        <w:rPr>
          <w:rtl/>
        </w:rPr>
        <w:t>(أ)</w:t>
      </w:r>
      <w:r w:rsidRPr="0090490A">
        <w:rPr>
          <w:rtl/>
        </w:rPr>
        <w:tab/>
        <w:t xml:space="preserve">تستشهد الدولة الطرف بالمرسومين التشريعيين رقم </w:t>
      </w:r>
      <w:r w:rsidRPr="00315335">
        <w:rPr>
          <w:szCs w:val="20"/>
          <w:rtl/>
        </w:rPr>
        <w:t>7</w:t>
      </w:r>
      <w:r w:rsidRPr="0090490A">
        <w:rPr>
          <w:rtl/>
        </w:rPr>
        <w:t xml:space="preserve"> و</w:t>
      </w:r>
      <w:r w:rsidRPr="00315335">
        <w:rPr>
          <w:szCs w:val="20"/>
          <w:rtl/>
        </w:rPr>
        <w:t>8</w:t>
      </w:r>
      <w:r w:rsidRPr="0090490A">
        <w:rPr>
          <w:rtl/>
        </w:rPr>
        <w:t xml:space="preserve"> لعام </w:t>
      </w:r>
      <w:r w:rsidRPr="00315335">
        <w:rPr>
          <w:szCs w:val="20"/>
          <w:rtl/>
        </w:rPr>
        <w:t>2016</w:t>
      </w:r>
      <w:r w:rsidRPr="0090490A">
        <w:rPr>
          <w:rFonts w:ascii="Traditional Arabic"/>
          <w:rtl/>
        </w:rPr>
        <w:t>.</w:t>
      </w:r>
      <w:r w:rsidRPr="0090490A">
        <w:rPr>
          <w:rtl/>
        </w:rPr>
        <w:t xml:space="preserve"> وينص المرسوم التشريعي رقم </w:t>
      </w:r>
      <w:r w:rsidRPr="00315335">
        <w:rPr>
          <w:szCs w:val="20"/>
          <w:rtl/>
        </w:rPr>
        <w:t>7</w:t>
      </w:r>
      <w:r w:rsidRPr="0090490A">
        <w:rPr>
          <w:rtl/>
        </w:rPr>
        <w:t xml:space="preserve"> على المطالبة بالتعويض عن الضرر التي تخضع لعقوبات مالية لتحل محل بعض الجرائم</w:t>
      </w:r>
      <w:r>
        <w:rPr>
          <w:rtl/>
        </w:rPr>
        <w:t xml:space="preserve"> الجنائية</w:t>
      </w:r>
      <w:r w:rsidRPr="0090490A">
        <w:rPr>
          <w:rtl/>
        </w:rPr>
        <w:t xml:space="preserve">. وحوّل المرسوم التشريعي رقم </w:t>
      </w:r>
      <w:r w:rsidRPr="00315335">
        <w:rPr>
          <w:szCs w:val="20"/>
          <w:rtl/>
        </w:rPr>
        <w:t>8</w:t>
      </w:r>
      <w:r w:rsidRPr="0090490A">
        <w:rPr>
          <w:rtl/>
        </w:rPr>
        <w:t xml:space="preserve"> الجرائم التي كان يعاقب عليها في السابق بعقوبات مالية إلى جرائم إدارية. وبموجب المرسوم التشريعي رقم </w:t>
      </w:r>
      <w:r w:rsidRPr="00315335">
        <w:rPr>
          <w:szCs w:val="20"/>
          <w:rtl/>
        </w:rPr>
        <w:t>8</w:t>
      </w:r>
      <w:r w:rsidRPr="0090490A">
        <w:rPr>
          <w:rtl/>
        </w:rPr>
        <w:t>، فإن الجرائم التي يُعاقب عليها بعقوبة مالية فقط تُستبعد صراحة من عملية الشطب من قائمة الجرائم، لا سيما عدم امتثال أوامر الإبعاد الصادرة عن الشرطة والدخول والإقامة غير القانوني</w:t>
      </w:r>
      <w:r>
        <w:rPr>
          <w:rtl/>
        </w:rPr>
        <w:t>ي</w:t>
      </w:r>
      <w:r w:rsidRPr="0090490A">
        <w:rPr>
          <w:rtl/>
        </w:rPr>
        <w:t>ن إلى إيطاليا؛</w:t>
      </w:r>
    </w:p>
    <w:p w14:paraId="318F0493" w14:textId="7EB5A8BE" w:rsidR="0035673D" w:rsidRPr="008B5910" w:rsidRDefault="0035673D" w:rsidP="005F45F3">
      <w:pPr>
        <w:pStyle w:val="SingleTxtGA"/>
        <w:rPr>
          <w:lang w:eastAsia="zh-TW" w:bidi="en-GB"/>
        </w:rPr>
      </w:pPr>
      <w:r w:rsidRPr="0090490A">
        <w:rPr>
          <w:rtl/>
        </w:rPr>
        <w:tab/>
        <w:t>(ب)</w:t>
      </w:r>
      <w:r w:rsidRPr="0090490A">
        <w:rPr>
          <w:rtl/>
        </w:rPr>
        <w:tab/>
        <w:t>لا ينص النظام القانوني الإيطالي على الطرد الجماعي. ويجيز القانون الساري حالياً، وهو النص الموحد بشأن الهجرة، الطرد على أساس كل حالة على حدة، في حين أن المرسوم بقانون رقم</w:t>
      </w:r>
      <w:r w:rsidR="001F4F28">
        <w:rPr>
          <w:rFonts w:hint="cs"/>
          <w:rtl/>
        </w:rPr>
        <w:t> </w:t>
      </w:r>
      <w:r w:rsidRPr="00315335">
        <w:rPr>
          <w:szCs w:val="20"/>
          <w:rtl/>
        </w:rPr>
        <w:t>89</w:t>
      </w:r>
      <w:r w:rsidRPr="0090490A">
        <w:rPr>
          <w:rFonts w:ascii="Traditional Arabic"/>
          <w:rtl/>
        </w:rPr>
        <w:t>/</w:t>
      </w:r>
      <w:r w:rsidRPr="00315335">
        <w:rPr>
          <w:szCs w:val="20"/>
          <w:rtl/>
        </w:rPr>
        <w:t>2011</w:t>
      </w:r>
      <w:r w:rsidRPr="0090490A">
        <w:rPr>
          <w:rtl/>
        </w:rPr>
        <w:t xml:space="preserve">، الذي تحول إلى قانون بموجب القانون رقم </w:t>
      </w:r>
      <w:r w:rsidRPr="00315335">
        <w:rPr>
          <w:szCs w:val="20"/>
          <w:rtl/>
        </w:rPr>
        <w:t>129</w:t>
      </w:r>
      <w:r w:rsidRPr="0090490A">
        <w:rPr>
          <w:rFonts w:ascii="Traditional Arabic"/>
          <w:rtl/>
        </w:rPr>
        <w:t>/</w:t>
      </w:r>
      <w:r w:rsidRPr="00315335">
        <w:rPr>
          <w:szCs w:val="20"/>
          <w:rtl/>
        </w:rPr>
        <w:t>2011</w:t>
      </w:r>
      <w:r w:rsidRPr="0090490A">
        <w:rPr>
          <w:rtl/>
        </w:rPr>
        <w:t xml:space="preserve">، استحدث آلية طرد تزداد حدةً تدريجياً. وتحد المادة </w:t>
      </w:r>
      <w:r w:rsidRPr="00315335">
        <w:rPr>
          <w:szCs w:val="20"/>
          <w:rtl/>
        </w:rPr>
        <w:t>13</w:t>
      </w:r>
      <w:r w:rsidRPr="0090490A">
        <w:rPr>
          <w:rtl/>
        </w:rPr>
        <w:t xml:space="preserve"> من النص الموحد من طرد الأجانب الذين مارسوا الحق في لم شمل العائلة</w:t>
      </w:r>
      <w:r>
        <w:rPr>
          <w:rtl/>
        </w:rPr>
        <w:t>؛</w:t>
      </w:r>
      <w:r w:rsidRPr="0090490A">
        <w:rPr>
          <w:rtl/>
        </w:rPr>
        <w:t xml:space="preserve"> وتحظر المادة </w:t>
      </w:r>
      <w:r w:rsidRPr="00315335">
        <w:rPr>
          <w:szCs w:val="20"/>
          <w:rtl/>
        </w:rPr>
        <w:t>19</w:t>
      </w:r>
      <w:r w:rsidRPr="0090490A">
        <w:rPr>
          <w:rtl/>
        </w:rPr>
        <w:t xml:space="preserve"> طرد فئات معينة من الأجانب. وصدرت تعليمات إلى مكاتب الشرطة المحلية بأن تقيِّم بعناية وضع أي أجنبي يقيم خارج نطاق القانون على الأراضي الوطنية، وأن تجري مقابلات </w:t>
      </w:r>
      <w:r>
        <w:rPr>
          <w:rtl/>
        </w:rPr>
        <w:t>قصد</w:t>
      </w:r>
      <w:r w:rsidRPr="0090490A">
        <w:rPr>
          <w:rtl/>
        </w:rPr>
        <w:t xml:space="preserve"> الإبلاغ عن أي ضعف أو حاجة إلى الحماية.</w:t>
      </w:r>
    </w:p>
    <w:p w14:paraId="56AF4DAC" w14:textId="77777777" w:rsidR="0035673D" w:rsidRPr="008B5910" w:rsidRDefault="0035673D" w:rsidP="005F45F3">
      <w:pPr>
        <w:pStyle w:val="SingleTxtGA"/>
        <w:rPr>
          <w:lang w:eastAsia="zh-TW" w:bidi="en-GB"/>
        </w:rPr>
      </w:pPr>
      <w:r w:rsidRPr="0090490A">
        <w:rPr>
          <w:rtl/>
        </w:rPr>
        <w:tab/>
        <w:t xml:space="preserve">وتشكل جميع الاتفاقات الثنائية والمتعددة الأطراف المتعلقة بالهجرة واللجوء التي وقعتها الدولة الطرف تشريعات ملزمة في الإطار القانوني الوطني، مع امتثال مبدأَي حقوق الإنسان وعدم الإعادة القسرية امتثالاً تاماً. وتحظر المادة </w:t>
      </w:r>
      <w:r w:rsidRPr="00315335">
        <w:rPr>
          <w:szCs w:val="20"/>
          <w:rtl/>
        </w:rPr>
        <w:t>19</w:t>
      </w:r>
      <w:r w:rsidRPr="0090490A">
        <w:rPr>
          <w:rtl/>
        </w:rPr>
        <w:t xml:space="preserve"> من النص الموحد إعادة الأشخاص إلى دولة يُحتمل أن يتعرضوا فيها للاضطهاد؛</w:t>
      </w:r>
    </w:p>
    <w:p w14:paraId="1E43AA42" w14:textId="30C19324" w:rsidR="0035673D" w:rsidRPr="008B5910" w:rsidRDefault="0035673D" w:rsidP="005F45F3">
      <w:pPr>
        <w:pStyle w:val="SingleTxtGA"/>
        <w:rPr>
          <w:lang w:eastAsia="zh-TW" w:bidi="en-GB"/>
        </w:rPr>
      </w:pPr>
      <w:r>
        <w:rPr>
          <w:rtl/>
        </w:rPr>
        <w:lastRenderedPageBreak/>
        <w:tab/>
      </w:r>
      <w:r w:rsidRPr="0090490A">
        <w:rPr>
          <w:rtl/>
        </w:rPr>
        <w:t>(ج)</w:t>
      </w:r>
      <w:r w:rsidRPr="0090490A">
        <w:rPr>
          <w:rtl/>
        </w:rPr>
        <w:tab/>
        <w:t>ويجب أن تصادق السلطة القضائية على أي تدابير لاحتجاز المهاجرين في غضون</w:t>
      </w:r>
      <w:r w:rsidR="006E67C5">
        <w:rPr>
          <w:rFonts w:hint="cs"/>
          <w:rtl/>
        </w:rPr>
        <w:t> </w:t>
      </w:r>
      <w:r w:rsidRPr="00315335">
        <w:rPr>
          <w:szCs w:val="20"/>
          <w:rtl/>
        </w:rPr>
        <w:t>48</w:t>
      </w:r>
      <w:r w:rsidRPr="0090490A">
        <w:rPr>
          <w:rtl/>
        </w:rPr>
        <w:t xml:space="preserve"> ساعة من تنفيذها. ويجوز الإذن بهذا الاحتجاز لمدة أقصاها </w:t>
      </w:r>
      <w:r w:rsidRPr="00315335">
        <w:rPr>
          <w:szCs w:val="20"/>
          <w:rtl/>
        </w:rPr>
        <w:t>30</w:t>
      </w:r>
      <w:r w:rsidRPr="0090490A">
        <w:rPr>
          <w:rtl/>
        </w:rPr>
        <w:t xml:space="preserve"> يوماً قابلة للتمديد بموجب قرار قضائي لمدة </w:t>
      </w:r>
      <w:r w:rsidRPr="00315335">
        <w:rPr>
          <w:szCs w:val="20"/>
          <w:rtl/>
        </w:rPr>
        <w:t>30</w:t>
      </w:r>
      <w:r w:rsidRPr="0090490A">
        <w:rPr>
          <w:rtl/>
        </w:rPr>
        <w:t xml:space="preserve"> يوماً إضافي</w:t>
      </w:r>
      <w:r>
        <w:rPr>
          <w:rtl/>
        </w:rPr>
        <w:t>اً</w:t>
      </w:r>
      <w:r w:rsidRPr="0090490A">
        <w:rPr>
          <w:rtl/>
        </w:rPr>
        <w:t>. ويجوز للقاضي أن يمنح تمديدات إضافية، وإن كان لا ي</w:t>
      </w:r>
      <w:r>
        <w:rPr>
          <w:rtl/>
        </w:rPr>
        <w:t>باح</w:t>
      </w:r>
      <w:r w:rsidRPr="0090490A">
        <w:rPr>
          <w:rtl/>
        </w:rPr>
        <w:t xml:space="preserve"> أن تتجاوز فترة الاحتجاز </w:t>
      </w:r>
      <w:r w:rsidRPr="00315335">
        <w:rPr>
          <w:szCs w:val="20"/>
          <w:rtl/>
        </w:rPr>
        <w:t>90</w:t>
      </w:r>
      <w:r w:rsidRPr="0090490A">
        <w:rPr>
          <w:rtl/>
        </w:rPr>
        <w:t xml:space="preserve"> يوماً.</w:t>
      </w:r>
    </w:p>
    <w:p w14:paraId="24E77999" w14:textId="57D4F9F7" w:rsidR="0035673D" w:rsidRPr="00B01806" w:rsidRDefault="0035673D" w:rsidP="005F45F3">
      <w:pPr>
        <w:pStyle w:val="SingleTxtGA"/>
        <w:rPr>
          <w:lang w:eastAsia="zh-TW" w:bidi="en-GB"/>
        </w:rPr>
      </w:pPr>
      <w:r w:rsidRPr="0090490A">
        <w:rPr>
          <w:rtl/>
        </w:rPr>
        <w:tab/>
        <w:t>ولا ت</w:t>
      </w:r>
      <w:r>
        <w:rPr>
          <w:rtl/>
        </w:rPr>
        <w:t>جيز</w:t>
      </w:r>
      <w:r w:rsidRPr="0090490A">
        <w:rPr>
          <w:rtl/>
        </w:rPr>
        <w:t xml:space="preserve"> المادة </w:t>
      </w:r>
      <w:r w:rsidRPr="00315335">
        <w:rPr>
          <w:szCs w:val="20"/>
          <w:rtl/>
        </w:rPr>
        <w:t>14</w:t>
      </w:r>
      <w:r w:rsidRPr="0090490A">
        <w:rPr>
          <w:rtl/>
        </w:rPr>
        <w:t xml:space="preserve"> من النص الموحد هذا الاحتجاز إلا </w:t>
      </w:r>
      <w:r>
        <w:rPr>
          <w:rtl/>
        </w:rPr>
        <w:t>كملاذ أخير</w:t>
      </w:r>
      <w:r w:rsidR="00101DFD">
        <w:rPr>
          <w:rFonts w:hint="cs"/>
          <w:rtl/>
        </w:rPr>
        <w:t xml:space="preserve"> </w:t>
      </w:r>
      <w:r w:rsidRPr="0090490A">
        <w:rPr>
          <w:rtl/>
        </w:rPr>
        <w:t>وفي الحالات التي لا تتوفر فيها تدابير أقل صرامة. ويتوقف اللجوء إلى الاحتجاز على استيفاء شروط مسبقة محددة، إضافة إلى اشتراط المصادقة القضائية المسبقة والخضوع لآجال زمنية إلزامية. وت</w:t>
      </w:r>
      <w:r>
        <w:rPr>
          <w:rtl/>
        </w:rPr>
        <w:t>بيح</w:t>
      </w:r>
      <w:r w:rsidRPr="0090490A">
        <w:rPr>
          <w:rtl/>
        </w:rPr>
        <w:t xml:space="preserve"> المادة </w:t>
      </w:r>
      <w:r w:rsidRPr="00315335">
        <w:rPr>
          <w:szCs w:val="20"/>
          <w:rtl/>
        </w:rPr>
        <w:t>13</w:t>
      </w:r>
      <w:r w:rsidRPr="0090490A">
        <w:rPr>
          <w:rtl/>
        </w:rPr>
        <w:t xml:space="preserve"> من النص الموحد بدائل الاحتجاز في بعض الحالات؛</w:t>
      </w:r>
    </w:p>
    <w:p w14:paraId="5F30B155" w14:textId="7D58D6DA" w:rsidR="0035673D" w:rsidRPr="008B5910" w:rsidRDefault="0035673D" w:rsidP="005F45F3">
      <w:pPr>
        <w:pStyle w:val="SingleTxtGA"/>
        <w:rPr>
          <w:lang w:eastAsia="zh-TW" w:bidi="en-GB"/>
        </w:rPr>
      </w:pPr>
      <w:r w:rsidRPr="0090490A">
        <w:rPr>
          <w:rtl/>
        </w:rPr>
        <w:tab/>
        <w:t>(د)</w:t>
      </w:r>
      <w:r w:rsidRPr="0090490A">
        <w:rPr>
          <w:rtl/>
        </w:rPr>
        <w:tab/>
        <w:t>لم تُقَّدم أي معلومات</w:t>
      </w:r>
      <w:r w:rsidRPr="0090490A">
        <w:rPr>
          <w:rFonts w:cs="Times New Roman" w:hint="cs"/>
          <w:rtl/>
        </w:rPr>
        <w:t>‬</w:t>
      </w:r>
      <w:r w:rsidRPr="0090490A">
        <w:rPr>
          <w:rFonts w:ascii="Traditional Arabic" w:hAnsi="Traditional Arabic" w:hint="cs"/>
          <w:rtl/>
        </w:rPr>
        <w:t>؛</w:t>
      </w:r>
      <w:r w:rsidRPr="0090490A">
        <w:rPr>
          <w:rtl/>
        </w:rPr>
        <w:t xml:space="preserve"> </w:t>
      </w:r>
    </w:p>
    <w:p w14:paraId="6A0FE00B" w14:textId="1A916B7A" w:rsidR="0035673D" w:rsidRPr="0090490A" w:rsidRDefault="0035673D" w:rsidP="005F45F3">
      <w:pPr>
        <w:pStyle w:val="SingleTxtGA"/>
        <w:rPr>
          <w:lang w:val="ar-SA" w:eastAsia="zh-TW" w:bidi="en-GB"/>
        </w:rPr>
      </w:pPr>
      <w:r>
        <w:rPr>
          <w:rtl/>
        </w:rPr>
        <w:tab/>
      </w:r>
      <w:r w:rsidRPr="0090490A">
        <w:rPr>
          <w:rtl/>
        </w:rPr>
        <w:t>(هـ)</w:t>
      </w:r>
      <w:r w:rsidRPr="0090490A">
        <w:rPr>
          <w:rtl/>
        </w:rPr>
        <w:tab/>
        <w:t xml:space="preserve">تكرر الدولة الطرف المعلومات الواردة في ردودها الخطية على قائمة المسائل </w:t>
      </w:r>
      <w:r w:rsidRPr="0090490A">
        <w:rPr>
          <w:rFonts w:ascii="Traditional Arabic"/>
          <w:rtl/>
        </w:rPr>
        <w:t>(</w:t>
      </w:r>
      <w:r w:rsidRPr="006E67C5">
        <w:rPr>
          <w:rFonts w:cs="Times New Roman"/>
          <w:szCs w:val="20"/>
        </w:rPr>
        <w:t>CCPR/C/ITA/Q/</w:t>
      </w:r>
      <w:r w:rsidRPr="00315335">
        <w:rPr>
          <w:szCs w:val="20"/>
        </w:rPr>
        <w:t>6</w:t>
      </w:r>
      <w:r w:rsidRPr="006E67C5">
        <w:rPr>
          <w:rFonts w:cs="Times New Roman"/>
          <w:szCs w:val="20"/>
        </w:rPr>
        <w:t>/Add.</w:t>
      </w:r>
      <w:r w:rsidRPr="00315335">
        <w:rPr>
          <w:szCs w:val="20"/>
        </w:rPr>
        <w:t>1</w:t>
      </w:r>
      <w:r w:rsidRPr="0090490A">
        <w:rPr>
          <w:rtl/>
        </w:rPr>
        <w:t xml:space="preserve">، الفقرة </w:t>
      </w:r>
      <w:r w:rsidRPr="00315335">
        <w:rPr>
          <w:szCs w:val="20"/>
          <w:rtl/>
        </w:rPr>
        <w:t>43</w:t>
      </w:r>
      <w:r w:rsidRPr="0090490A">
        <w:rPr>
          <w:rFonts w:ascii="Traditional Arabic"/>
          <w:rtl/>
        </w:rPr>
        <w:t>)</w:t>
      </w:r>
      <w:r w:rsidRPr="0090490A">
        <w:rPr>
          <w:rtl/>
        </w:rPr>
        <w:t xml:space="preserve">، وهي أن </w:t>
      </w:r>
      <w:r>
        <w:rPr>
          <w:rtl/>
        </w:rPr>
        <w:t xml:space="preserve">إجراءات </w:t>
      </w:r>
      <w:r w:rsidRPr="0090490A">
        <w:rPr>
          <w:rtl/>
        </w:rPr>
        <w:t>التشغيل الموحدة أحيلت إلى المقاطعات ومقار الشرطة في البلديات التي توجد فيها</w:t>
      </w:r>
      <w:r w:rsidR="00101DFD">
        <w:rPr>
          <w:rFonts w:hint="cs"/>
          <w:rtl/>
        </w:rPr>
        <w:t xml:space="preserve"> </w:t>
      </w:r>
      <w:r>
        <w:rPr>
          <w:rtl/>
        </w:rPr>
        <w:t>بؤر ساخنة</w:t>
      </w:r>
      <w:r w:rsidRPr="0090490A">
        <w:rPr>
          <w:rtl/>
        </w:rPr>
        <w:t>. وتشدد الدولة الطرف</w:t>
      </w:r>
      <w:r>
        <w:rPr>
          <w:rtl/>
        </w:rPr>
        <w:t xml:space="preserve"> أيضاً</w:t>
      </w:r>
      <w:r w:rsidRPr="0090490A">
        <w:rPr>
          <w:rtl/>
        </w:rPr>
        <w:t xml:space="preserve"> على أن </w:t>
      </w:r>
      <w:r>
        <w:rPr>
          <w:rtl/>
        </w:rPr>
        <w:t xml:space="preserve">إجراءات التشغيل </w:t>
      </w:r>
      <w:r w:rsidRPr="0090490A">
        <w:rPr>
          <w:rtl/>
        </w:rPr>
        <w:t xml:space="preserve">الموحدة تطبق في </w:t>
      </w:r>
      <w:r>
        <w:rPr>
          <w:rtl/>
        </w:rPr>
        <w:t xml:space="preserve">البؤر الساخنة </w:t>
      </w:r>
      <w:r w:rsidRPr="0090490A">
        <w:rPr>
          <w:rtl/>
        </w:rPr>
        <w:t>تطبيقاً كاملاً وأن معلومات وافية تقدم إلى المهاجرين.</w:t>
      </w:r>
    </w:p>
    <w:p w14:paraId="7E1301D9" w14:textId="77777777" w:rsidR="0035673D" w:rsidRPr="005F45F3" w:rsidRDefault="0035673D" w:rsidP="005F45F3">
      <w:pPr>
        <w:pStyle w:val="H23GA"/>
        <w:rPr>
          <w:lang w:eastAsia="zh-TW" w:bidi="en-GB"/>
        </w:rPr>
      </w:pPr>
      <w:r w:rsidRPr="0090490A">
        <w:rPr>
          <w:rtl/>
        </w:rPr>
        <w:tab/>
      </w:r>
      <w:r w:rsidRPr="0090490A">
        <w:rPr>
          <w:rtl/>
        </w:rPr>
        <w:tab/>
        <w:t>تقييم اللجنة</w:t>
      </w:r>
      <w:r>
        <w:rPr>
          <w:lang w:eastAsia="zh-TW" w:bidi="en-GB"/>
        </w:rPr>
        <w:t xml:space="preserve"> </w:t>
      </w:r>
    </w:p>
    <w:p w14:paraId="3A3AEBB3" w14:textId="29288052" w:rsidR="0035673D" w:rsidRPr="0090490A" w:rsidRDefault="0035673D" w:rsidP="005F45F3">
      <w:pPr>
        <w:pStyle w:val="SingleTxtGA"/>
        <w:rPr>
          <w:lang w:val="ar-SA" w:eastAsia="zh-TW" w:bidi="en-GB"/>
        </w:rPr>
      </w:pPr>
      <w:r w:rsidRPr="0090490A">
        <w:rPr>
          <w:rFonts w:ascii="Traditional Arabic"/>
          <w:rtl/>
        </w:rPr>
        <w:t>[</w:t>
      </w:r>
      <w:r w:rsidRPr="0090490A">
        <w:rPr>
          <w:b/>
          <w:bCs/>
          <w:rtl/>
        </w:rPr>
        <w:t>جيم</w:t>
      </w:r>
      <w:r w:rsidRPr="0090490A">
        <w:rPr>
          <w:rtl/>
        </w:rPr>
        <w:t>] (أ) و(ب) و(ج) و(د) و(ه)</w:t>
      </w:r>
      <w:r w:rsidRPr="004F4510">
        <w:rPr>
          <w:rtl/>
        </w:rPr>
        <w:t>:</w:t>
      </w:r>
      <w:r w:rsidRPr="0090490A">
        <w:rPr>
          <w:rtl/>
        </w:rPr>
        <w:t xml:space="preserve"> تحيط اللجنة علماً بالمعلومات التي قدمتها الدولة الطرف، لكنها تأسف لكون التدابير اتخذت قبل اعتماد الملاحظات الختامية. ولذلك تطلب اللجنة معلومات عن التدابير المتخذة منذ اعتماد الملاحظات الختامية لفعل ما يلي</w:t>
      </w:r>
      <w:r w:rsidRPr="004F4510">
        <w:rPr>
          <w:rtl/>
        </w:rPr>
        <w:t>:</w:t>
      </w:r>
      <w:r w:rsidRPr="0090490A">
        <w:rPr>
          <w:rFonts w:ascii="Traditional Arabic"/>
          <w:rtl/>
        </w:rPr>
        <w:t xml:space="preserve"> </w:t>
      </w:r>
      <w:r w:rsidRPr="00315335">
        <w:rPr>
          <w:rFonts w:ascii="Traditional Arabic"/>
          <w:szCs w:val="20"/>
          <w:rtl/>
        </w:rPr>
        <w:t>'</w:t>
      </w:r>
      <w:r w:rsidRPr="00315335">
        <w:rPr>
          <w:szCs w:val="20"/>
          <w:rtl/>
        </w:rPr>
        <w:t>1</w:t>
      </w:r>
      <w:r w:rsidRPr="00315335">
        <w:rPr>
          <w:rFonts w:ascii="Traditional Arabic"/>
          <w:szCs w:val="20"/>
          <w:rtl/>
        </w:rPr>
        <w:t>'</w:t>
      </w:r>
      <w:r w:rsidRPr="0090490A">
        <w:rPr>
          <w:rtl/>
        </w:rPr>
        <w:t xml:space="preserve"> تنفيذ القانون رقم </w:t>
      </w:r>
      <w:r w:rsidRPr="00315335">
        <w:rPr>
          <w:szCs w:val="20"/>
          <w:rtl/>
        </w:rPr>
        <w:t>67</w:t>
      </w:r>
      <w:r w:rsidRPr="0090490A">
        <w:rPr>
          <w:rFonts w:ascii="Traditional Arabic"/>
          <w:rtl/>
        </w:rPr>
        <w:t>/</w:t>
      </w:r>
      <w:r w:rsidRPr="00315335">
        <w:rPr>
          <w:szCs w:val="20"/>
          <w:rtl/>
        </w:rPr>
        <w:t>2014</w:t>
      </w:r>
      <w:r>
        <w:rPr>
          <w:rtl/>
        </w:rPr>
        <w:t xml:space="preserve"> بغية</w:t>
      </w:r>
      <w:r w:rsidRPr="0090490A">
        <w:rPr>
          <w:rtl/>
        </w:rPr>
        <w:t xml:space="preserve"> إلغاء جريمة الدخول والإقامة غير </w:t>
      </w:r>
      <w:r>
        <w:rPr>
          <w:rtl/>
        </w:rPr>
        <w:t>الشرعيين</w:t>
      </w:r>
      <w:r w:rsidR="00222149">
        <w:rPr>
          <w:rtl/>
        </w:rPr>
        <w:t xml:space="preserve">؛ </w:t>
      </w:r>
      <w:r w:rsidRPr="00315335">
        <w:rPr>
          <w:rFonts w:ascii="Traditional Arabic"/>
          <w:szCs w:val="20"/>
          <w:rtl/>
        </w:rPr>
        <w:t>'</w:t>
      </w:r>
      <w:r w:rsidRPr="00315335">
        <w:rPr>
          <w:szCs w:val="20"/>
          <w:rtl/>
        </w:rPr>
        <w:t>2</w:t>
      </w:r>
      <w:r w:rsidRPr="00315335">
        <w:rPr>
          <w:rFonts w:ascii="Traditional Arabic"/>
          <w:szCs w:val="20"/>
          <w:rtl/>
        </w:rPr>
        <w:t>'</w:t>
      </w:r>
      <w:r w:rsidRPr="0090490A">
        <w:rPr>
          <w:rtl/>
        </w:rPr>
        <w:t xml:space="preserve"> الامتناع عن تنفيذ الطرد الجماعي للمهاجرين وضمان الاحترام العملي لشرط إجراء تقييمات لكل حالة على حدة قبل الطرد، وهو شرط يرد في النص الموحد؛ </w:t>
      </w:r>
      <w:r w:rsidRPr="00315335">
        <w:rPr>
          <w:rFonts w:ascii="Traditional Arabic"/>
          <w:szCs w:val="20"/>
          <w:rtl/>
        </w:rPr>
        <w:t>'</w:t>
      </w:r>
      <w:r w:rsidRPr="00315335">
        <w:rPr>
          <w:szCs w:val="20"/>
          <w:rtl/>
        </w:rPr>
        <w:t>3</w:t>
      </w:r>
      <w:r w:rsidRPr="00315335">
        <w:rPr>
          <w:rFonts w:ascii="Traditional Arabic"/>
          <w:szCs w:val="20"/>
          <w:rtl/>
        </w:rPr>
        <w:t>'</w:t>
      </w:r>
      <w:r w:rsidRPr="0090490A">
        <w:rPr>
          <w:rtl/>
        </w:rPr>
        <w:t xml:space="preserve"> ضمان عدم الإعادة القسرية للمهاجرين المطرودين؛ </w:t>
      </w:r>
      <w:r w:rsidRPr="00315335">
        <w:rPr>
          <w:rFonts w:ascii="Traditional Arabic"/>
          <w:szCs w:val="20"/>
          <w:rtl/>
        </w:rPr>
        <w:t>'</w:t>
      </w:r>
      <w:r w:rsidRPr="00315335">
        <w:rPr>
          <w:szCs w:val="20"/>
          <w:rtl/>
        </w:rPr>
        <w:t>4</w:t>
      </w:r>
      <w:r w:rsidRPr="00315335">
        <w:rPr>
          <w:rFonts w:ascii="Traditional Arabic"/>
          <w:szCs w:val="20"/>
          <w:rtl/>
        </w:rPr>
        <w:t>'</w:t>
      </w:r>
      <w:r w:rsidRPr="0090490A">
        <w:rPr>
          <w:rtl/>
        </w:rPr>
        <w:t xml:space="preserve"> التأكد من عدم احتجاز المهاجرين إلا لأقصر فترة ممكنة و</w:t>
      </w:r>
      <w:r>
        <w:rPr>
          <w:rtl/>
        </w:rPr>
        <w:t>عدم اللجوء إلى تدبير احتجازهم إلا كملاذ أخير</w:t>
      </w:r>
      <w:r w:rsidR="00222149">
        <w:rPr>
          <w:rtl/>
        </w:rPr>
        <w:t xml:space="preserve">، </w:t>
      </w:r>
      <w:r w:rsidRPr="0090490A">
        <w:rPr>
          <w:rtl/>
        </w:rPr>
        <w:t>بعد أن يتقرر، على أساس كل حالة على حدة، أنه</w:t>
      </w:r>
      <w:r>
        <w:rPr>
          <w:rtl/>
        </w:rPr>
        <w:t xml:space="preserve"> ضروري للغاية</w:t>
      </w:r>
      <w:r w:rsidRPr="0090490A">
        <w:rPr>
          <w:rtl/>
        </w:rPr>
        <w:t xml:space="preserve"> </w:t>
      </w:r>
      <w:r>
        <w:rPr>
          <w:rtl/>
        </w:rPr>
        <w:t>و</w:t>
      </w:r>
      <w:r w:rsidRPr="0090490A">
        <w:rPr>
          <w:rtl/>
        </w:rPr>
        <w:t>متناسب وقانوني وغير تعسفي</w:t>
      </w:r>
      <w:r w:rsidR="00222149">
        <w:rPr>
          <w:rtl/>
        </w:rPr>
        <w:t xml:space="preserve">؛ </w:t>
      </w:r>
      <w:r w:rsidRPr="00315335">
        <w:rPr>
          <w:rFonts w:ascii="Traditional Arabic"/>
          <w:szCs w:val="20"/>
          <w:rtl/>
        </w:rPr>
        <w:t>'</w:t>
      </w:r>
      <w:r w:rsidRPr="00315335">
        <w:rPr>
          <w:szCs w:val="20"/>
          <w:rtl/>
        </w:rPr>
        <w:t>5</w:t>
      </w:r>
      <w:r w:rsidRPr="00315335">
        <w:rPr>
          <w:rFonts w:ascii="Traditional Arabic"/>
          <w:szCs w:val="20"/>
          <w:rtl/>
        </w:rPr>
        <w:t>'</w:t>
      </w:r>
      <w:r w:rsidRPr="0090490A">
        <w:rPr>
          <w:rtl/>
        </w:rPr>
        <w:t xml:space="preserve"> زيادة عدد الأماكن المتاحة في مراكز الاستقبال وتحسين الظروف فيها؛ </w:t>
      </w:r>
      <w:r w:rsidRPr="00315335">
        <w:rPr>
          <w:rFonts w:ascii="Traditional Arabic"/>
          <w:szCs w:val="20"/>
          <w:rtl/>
        </w:rPr>
        <w:t>'</w:t>
      </w:r>
      <w:r w:rsidRPr="00315335">
        <w:rPr>
          <w:szCs w:val="20"/>
          <w:rtl/>
        </w:rPr>
        <w:t>6</w:t>
      </w:r>
      <w:r w:rsidRPr="00315335">
        <w:rPr>
          <w:rFonts w:ascii="Traditional Arabic"/>
          <w:szCs w:val="20"/>
          <w:rtl/>
        </w:rPr>
        <w:t>'</w:t>
      </w:r>
      <w:r w:rsidRPr="0090490A">
        <w:rPr>
          <w:rtl/>
        </w:rPr>
        <w:t xml:space="preserve"> ضمان تطبيق </w:t>
      </w:r>
      <w:r>
        <w:rPr>
          <w:rtl/>
        </w:rPr>
        <w:t xml:space="preserve">إجراءات </w:t>
      </w:r>
      <w:r w:rsidRPr="0090490A">
        <w:rPr>
          <w:rtl/>
        </w:rPr>
        <w:t>التشغيل الموحدة في الممارسة العملية.</w:t>
      </w:r>
    </w:p>
    <w:p w14:paraId="01711443" w14:textId="77777777" w:rsidR="0035673D" w:rsidRPr="004A4C1B" w:rsidRDefault="0035673D" w:rsidP="005F45F3">
      <w:pPr>
        <w:pStyle w:val="H23GA"/>
        <w:rPr>
          <w:lang w:eastAsia="zh-TW" w:bidi="en-GB"/>
        </w:rPr>
      </w:pPr>
      <w:r w:rsidRPr="0090490A">
        <w:rPr>
          <w:rtl/>
        </w:rPr>
        <w:tab/>
      </w:r>
      <w:r w:rsidRPr="0090490A">
        <w:rPr>
          <w:rtl/>
        </w:rPr>
        <w:tab/>
        <w:t xml:space="preserve">الفقرة </w:t>
      </w:r>
      <w:r w:rsidRPr="00315335">
        <w:rPr>
          <w:szCs w:val="20"/>
          <w:rtl/>
        </w:rPr>
        <w:t>27</w:t>
      </w:r>
      <w:r w:rsidRPr="004F4510">
        <w:t>:</w:t>
      </w:r>
      <w:r w:rsidRPr="0090490A">
        <w:rPr>
          <w:rtl/>
        </w:rPr>
        <w:t xml:space="preserve"> القصر غير المصحوبين</w:t>
      </w:r>
      <w:r>
        <w:rPr>
          <w:rtl/>
        </w:rPr>
        <w:t xml:space="preserve"> بمرافق</w:t>
      </w:r>
    </w:p>
    <w:p w14:paraId="6A2306D5" w14:textId="42A214C5" w:rsidR="0035673D" w:rsidRPr="00A37482" w:rsidRDefault="0035673D" w:rsidP="005F45F3">
      <w:pPr>
        <w:pStyle w:val="SingleTxtGA"/>
        <w:rPr>
          <w:b/>
          <w:bCs/>
          <w:lang w:eastAsia="zh-TW" w:bidi="en-GB"/>
        </w:rPr>
      </w:pPr>
      <w:r w:rsidRPr="00A37482">
        <w:rPr>
          <w:b/>
          <w:bCs/>
          <w:rtl/>
        </w:rPr>
        <w:tab/>
        <w:t>ينبغي للدولة الطرف أن تقوم</w:t>
      </w:r>
      <w:r w:rsidR="00222149">
        <w:rPr>
          <w:b/>
          <w:bCs/>
          <w:rtl/>
        </w:rPr>
        <w:t xml:space="preserve"> </w:t>
      </w:r>
      <w:r w:rsidRPr="00A37482">
        <w:rPr>
          <w:b/>
          <w:bCs/>
          <w:rtl/>
        </w:rPr>
        <w:t>بما يلي</w:t>
      </w:r>
      <w:r w:rsidRPr="00A37482">
        <w:rPr>
          <w:b/>
          <w:bCs/>
          <w:rtl/>
        </w:rPr>
        <w:t>:</w:t>
      </w:r>
    </w:p>
    <w:p w14:paraId="5CCA17EF" w14:textId="73CE39A5" w:rsidR="0035673D" w:rsidRPr="00A37482" w:rsidRDefault="0035673D" w:rsidP="005F45F3">
      <w:pPr>
        <w:pStyle w:val="SingleTxtGA"/>
        <w:rPr>
          <w:b/>
          <w:bCs/>
          <w:lang w:eastAsia="zh-TW" w:bidi="en-GB"/>
        </w:rPr>
      </w:pPr>
      <w:r w:rsidRPr="00A37482">
        <w:rPr>
          <w:b/>
          <w:bCs/>
          <w:rtl/>
        </w:rPr>
        <w:tab/>
        <w:t>(أ)</w:t>
      </w:r>
      <w:r w:rsidRPr="00A37482">
        <w:rPr>
          <w:b/>
          <w:bCs/>
          <w:rtl/>
        </w:rPr>
        <w:tab/>
        <w:t>كفالة استناد إجراء تقدير سن الأطفال</w:t>
      </w:r>
      <w:r w:rsidR="00222149">
        <w:rPr>
          <w:b/>
          <w:bCs/>
          <w:rtl/>
        </w:rPr>
        <w:t xml:space="preserve"> </w:t>
      </w:r>
      <w:r w:rsidRPr="00A37482">
        <w:rPr>
          <w:b/>
          <w:bCs/>
          <w:rtl/>
        </w:rPr>
        <w:t>إلى أساليب مأمونة وسليمة علمياً، مع مراعاة سلامتهم</w:t>
      </w:r>
      <w:r w:rsidR="00222149">
        <w:rPr>
          <w:b/>
          <w:bCs/>
          <w:rtl/>
        </w:rPr>
        <w:t xml:space="preserve"> </w:t>
      </w:r>
      <w:r w:rsidRPr="00A37482">
        <w:rPr>
          <w:b/>
          <w:bCs/>
          <w:rtl/>
        </w:rPr>
        <w:t>العقلية؛</w:t>
      </w:r>
    </w:p>
    <w:p w14:paraId="5005091C" w14:textId="56081700" w:rsidR="0035673D" w:rsidRPr="00A37482" w:rsidRDefault="0035673D" w:rsidP="005F45F3">
      <w:pPr>
        <w:pStyle w:val="SingleTxtGA"/>
        <w:rPr>
          <w:b/>
          <w:bCs/>
          <w:lang w:eastAsia="zh-TW" w:bidi="en-GB"/>
        </w:rPr>
      </w:pPr>
      <w:r w:rsidRPr="00A37482">
        <w:rPr>
          <w:b/>
          <w:bCs/>
          <w:rtl/>
        </w:rPr>
        <w:tab/>
        <w:t>(ب)</w:t>
      </w:r>
      <w:r w:rsidRPr="00A37482">
        <w:rPr>
          <w:b/>
          <w:bCs/>
          <w:rtl/>
        </w:rPr>
        <w:tab/>
        <w:t>استعراض إجراءات الوصاية على الأطفال لكفالة أن يتم في الوقت المناسب تعيين وصي قانوني لكل طفل غير مصحوب بمرافق ؛</w:t>
      </w:r>
    </w:p>
    <w:p w14:paraId="6C3B567A" w14:textId="4118A197" w:rsidR="0035673D" w:rsidRPr="00A37482" w:rsidRDefault="0035673D" w:rsidP="005F45F3">
      <w:pPr>
        <w:pStyle w:val="SingleTxtGA"/>
        <w:rPr>
          <w:b/>
          <w:bCs/>
          <w:lang w:eastAsia="zh-TW" w:bidi="en-GB"/>
        </w:rPr>
      </w:pPr>
      <w:r w:rsidRPr="00A37482">
        <w:rPr>
          <w:b/>
          <w:bCs/>
          <w:rtl/>
        </w:rPr>
        <w:tab/>
        <w:t>(ج)</w:t>
      </w:r>
      <w:r w:rsidRPr="00A37482">
        <w:rPr>
          <w:b/>
          <w:bCs/>
          <w:rtl/>
        </w:rPr>
        <w:tab/>
        <w:t>الحرص على توفير الظروف الملائمة للقصر غير المصحوبين في مرافق الاستقبال، بما في ذلك</w:t>
      </w:r>
      <w:r w:rsidR="00222149">
        <w:rPr>
          <w:b/>
          <w:bCs/>
          <w:rtl/>
        </w:rPr>
        <w:t xml:space="preserve"> </w:t>
      </w:r>
      <w:r w:rsidRPr="00A37482">
        <w:rPr>
          <w:b/>
          <w:bCs/>
          <w:rtl/>
        </w:rPr>
        <w:t>فصلهم عن البالغين؛</w:t>
      </w:r>
    </w:p>
    <w:p w14:paraId="3B718852" w14:textId="60C63811" w:rsidR="0035673D" w:rsidRPr="00A37482" w:rsidRDefault="0035673D" w:rsidP="005F45F3">
      <w:pPr>
        <w:pStyle w:val="SingleTxtGA"/>
        <w:rPr>
          <w:b/>
          <w:bCs/>
          <w:lang w:eastAsia="zh-TW" w:bidi="en-GB"/>
        </w:rPr>
      </w:pPr>
      <w:r w:rsidRPr="00A37482">
        <w:rPr>
          <w:b/>
          <w:bCs/>
          <w:rtl/>
        </w:rPr>
        <w:tab/>
        <w:t>(د)</w:t>
      </w:r>
      <w:r w:rsidRPr="00A37482">
        <w:rPr>
          <w:b/>
          <w:bCs/>
          <w:rtl/>
        </w:rPr>
        <w:tab/>
        <w:t>اتخاذ التدابير اللازمة لمنع اختفاء الأطفال ومعرفة مكان وجود المفقودين.</w:t>
      </w:r>
    </w:p>
    <w:p w14:paraId="0D879153" w14:textId="77777777" w:rsidR="0035673D" w:rsidRPr="005F45F3" w:rsidRDefault="0035673D" w:rsidP="005F45F3">
      <w:pPr>
        <w:pStyle w:val="H23GA"/>
        <w:rPr>
          <w:lang w:eastAsia="zh-TW" w:bidi="en-GB"/>
        </w:rPr>
      </w:pPr>
      <w:r w:rsidRPr="0090490A">
        <w:rPr>
          <w:rtl/>
        </w:rPr>
        <w:lastRenderedPageBreak/>
        <w:tab/>
      </w:r>
      <w:r w:rsidRPr="0090490A">
        <w:rPr>
          <w:rtl/>
        </w:rPr>
        <w:tab/>
        <w:t>ملخص ردّ الدولة الطرف</w:t>
      </w:r>
    </w:p>
    <w:p w14:paraId="24DEE755" w14:textId="26880BC2" w:rsidR="0035673D" w:rsidRPr="00C1174B" w:rsidRDefault="0035673D" w:rsidP="005F45F3">
      <w:pPr>
        <w:pStyle w:val="SingleTxtGA"/>
        <w:rPr>
          <w:lang w:eastAsia="zh-TW" w:bidi="en-GB"/>
        </w:rPr>
      </w:pPr>
      <w:r w:rsidRPr="0090490A">
        <w:rPr>
          <w:rtl/>
        </w:rPr>
        <w:tab/>
        <w:t>(أ)</w:t>
      </w:r>
      <w:r w:rsidRPr="0090490A">
        <w:rPr>
          <w:rtl/>
        </w:rPr>
        <w:tab/>
        <w:t xml:space="preserve">تفيد الدولة الطرف بأنه منذ بدء نفاذ القانون رقم </w:t>
      </w:r>
      <w:r w:rsidRPr="00315335">
        <w:rPr>
          <w:szCs w:val="20"/>
          <w:rtl/>
        </w:rPr>
        <w:t>47</w:t>
      </w:r>
      <w:r w:rsidRPr="0090490A">
        <w:rPr>
          <w:rFonts w:ascii="Traditional Arabic"/>
          <w:rtl/>
        </w:rPr>
        <w:t>/</w:t>
      </w:r>
      <w:r w:rsidRPr="00315335">
        <w:rPr>
          <w:szCs w:val="20"/>
          <w:rtl/>
        </w:rPr>
        <w:t>2017</w:t>
      </w:r>
      <w:r w:rsidRPr="0090490A">
        <w:rPr>
          <w:rtl/>
        </w:rPr>
        <w:t>، وافقت إدارة الحريات المدنية والهجرة بوزارة الداخلية، ووزارة الصحة</w:t>
      </w:r>
      <w:r>
        <w:rPr>
          <w:rtl/>
        </w:rPr>
        <w:t>،</w:t>
      </w:r>
      <w:r w:rsidRPr="0090490A">
        <w:rPr>
          <w:rtl/>
        </w:rPr>
        <w:t xml:space="preserve"> على إجراء لتق</w:t>
      </w:r>
      <w:r>
        <w:rPr>
          <w:rtl/>
        </w:rPr>
        <w:t>دير</w:t>
      </w:r>
      <w:r w:rsidRPr="0090490A">
        <w:rPr>
          <w:rtl/>
        </w:rPr>
        <w:t xml:space="preserve"> </w:t>
      </w:r>
      <w:r>
        <w:rPr>
          <w:rtl/>
        </w:rPr>
        <w:t>السن</w:t>
      </w:r>
      <w:r w:rsidR="00222149">
        <w:rPr>
          <w:rtl/>
        </w:rPr>
        <w:t xml:space="preserve"> </w:t>
      </w:r>
      <w:r w:rsidRPr="0090490A">
        <w:rPr>
          <w:rtl/>
        </w:rPr>
        <w:t xml:space="preserve">سيعرض على </w:t>
      </w:r>
      <w:r>
        <w:rPr>
          <w:rtl/>
        </w:rPr>
        <w:t>"ال</w:t>
      </w:r>
      <w:r w:rsidRPr="0090490A">
        <w:rPr>
          <w:rtl/>
        </w:rPr>
        <w:t>مؤتمر</w:t>
      </w:r>
      <w:r>
        <w:rPr>
          <w:rtl/>
        </w:rPr>
        <w:t xml:space="preserve"> الجامع للدولة والأقاليم"</w:t>
      </w:r>
      <w:r w:rsidRPr="0090490A">
        <w:rPr>
          <w:rtl/>
        </w:rPr>
        <w:t xml:space="preserve"> للموافقة عليه بعد قبول جميع المؤسسات المعنية صاحبة المصلحة إياه. وتنظر المفوضية الأوروبية في تمويل مشروع لتوحيد الإجراءات بم</w:t>
      </w:r>
      <w:r>
        <w:rPr>
          <w:rtl/>
        </w:rPr>
        <w:t>قتضى</w:t>
      </w:r>
      <w:r w:rsidRPr="0090490A">
        <w:rPr>
          <w:rtl/>
        </w:rPr>
        <w:t xml:space="preserve"> اللوائح الحالية ريثما يوافَق عليه.</w:t>
      </w:r>
    </w:p>
    <w:p w14:paraId="165D7AFA" w14:textId="4DBDF8B6" w:rsidR="0035673D" w:rsidRPr="0090490A" w:rsidRDefault="0035673D" w:rsidP="0035673D">
      <w:pPr>
        <w:pStyle w:val="SingleTxtGA"/>
        <w:rPr>
          <w:lang w:val="ar-SA" w:eastAsia="zh-TW" w:bidi="en-GB"/>
        </w:rPr>
      </w:pPr>
      <w:r w:rsidRPr="0090490A">
        <w:rPr>
          <w:rtl/>
        </w:rPr>
        <w:tab/>
        <w:t xml:space="preserve">وتنص المادة </w:t>
      </w:r>
      <w:r w:rsidRPr="00315335">
        <w:rPr>
          <w:szCs w:val="20"/>
          <w:rtl/>
        </w:rPr>
        <w:t>19</w:t>
      </w:r>
      <w:r w:rsidRPr="0090490A">
        <w:rPr>
          <w:rtl/>
        </w:rPr>
        <w:t xml:space="preserve"> مكرراً من المرسوم التشريعي رقم </w:t>
      </w:r>
      <w:r w:rsidRPr="00315335">
        <w:rPr>
          <w:szCs w:val="20"/>
          <w:rtl/>
        </w:rPr>
        <w:t>142</w:t>
      </w:r>
      <w:r w:rsidRPr="0090490A">
        <w:rPr>
          <w:rFonts w:ascii="Traditional Arabic"/>
          <w:rtl/>
        </w:rPr>
        <w:t>/</w:t>
      </w:r>
      <w:r w:rsidRPr="00315335">
        <w:rPr>
          <w:szCs w:val="20"/>
          <w:rtl/>
        </w:rPr>
        <w:t>2015</w:t>
      </w:r>
      <w:r w:rsidRPr="0090490A">
        <w:rPr>
          <w:rtl/>
        </w:rPr>
        <w:t xml:space="preserve">، بالصيغة التي استحدثها القانون رقم </w:t>
      </w:r>
      <w:r w:rsidRPr="00315335">
        <w:rPr>
          <w:szCs w:val="20"/>
          <w:rtl/>
        </w:rPr>
        <w:t>47</w:t>
      </w:r>
      <w:r w:rsidRPr="0090490A">
        <w:rPr>
          <w:rFonts w:ascii="Traditional Arabic"/>
          <w:rtl/>
        </w:rPr>
        <w:t>/</w:t>
      </w:r>
      <w:r w:rsidRPr="00315335">
        <w:rPr>
          <w:szCs w:val="20"/>
          <w:rtl/>
        </w:rPr>
        <w:t>2017</w:t>
      </w:r>
      <w:r w:rsidRPr="0090490A">
        <w:rPr>
          <w:rtl/>
        </w:rPr>
        <w:t>، على متطلبات إجراء تق</w:t>
      </w:r>
      <w:r>
        <w:rPr>
          <w:rtl/>
        </w:rPr>
        <w:t>دير</w:t>
      </w:r>
      <w:r w:rsidR="00315335">
        <w:rPr>
          <w:rFonts w:hint="cs"/>
          <w:rtl/>
        </w:rPr>
        <w:t xml:space="preserve"> </w:t>
      </w:r>
      <w:r>
        <w:rPr>
          <w:rtl/>
        </w:rPr>
        <w:t>السن</w:t>
      </w:r>
      <w:r w:rsidRPr="0090490A">
        <w:rPr>
          <w:rtl/>
        </w:rPr>
        <w:t xml:space="preserve">. وتنص المادة </w:t>
      </w:r>
      <w:r w:rsidRPr="00315335">
        <w:rPr>
          <w:szCs w:val="20"/>
          <w:rtl/>
        </w:rPr>
        <w:t>5</w:t>
      </w:r>
      <w:r w:rsidRPr="0090490A">
        <w:rPr>
          <w:rtl/>
        </w:rPr>
        <w:t xml:space="preserve"> من هذا القانون على أنه إن استمرت الشكوك بشأن العمر حتى بعد </w:t>
      </w:r>
      <w:r>
        <w:rPr>
          <w:rtl/>
        </w:rPr>
        <w:t>تقديره</w:t>
      </w:r>
      <w:r w:rsidR="00222149">
        <w:rPr>
          <w:rtl/>
        </w:rPr>
        <w:t xml:space="preserve">، </w:t>
      </w:r>
      <w:r>
        <w:rPr>
          <w:rtl/>
        </w:rPr>
        <w:t>و</w:t>
      </w:r>
      <w:r w:rsidRPr="0090490A">
        <w:rPr>
          <w:rtl/>
        </w:rPr>
        <w:t>جب افتراض كون الطفل قاصرا</w:t>
      </w:r>
      <w:r>
        <w:rPr>
          <w:rtl/>
        </w:rPr>
        <w:t>ً</w:t>
      </w:r>
      <w:r w:rsidRPr="0090490A">
        <w:rPr>
          <w:rtl/>
        </w:rPr>
        <w:t xml:space="preserve"> </w:t>
      </w:r>
      <w:r>
        <w:rPr>
          <w:rtl/>
        </w:rPr>
        <w:t>بموجب</w:t>
      </w:r>
      <w:r w:rsidRPr="0090490A">
        <w:rPr>
          <w:rtl/>
        </w:rPr>
        <w:t xml:space="preserve"> القانون؛</w:t>
      </w:r>
    </w:p>
    <w:p w14:paraId="1B438D28" w14:textId="520D6A51" w:rsidR="0035673D" w:rsidRPr="00E20343" w:rsidRDefault="0035673D" w:rsidP="0035673D">
      <w:pPr>
        <w:pStyle w:val="SingleTxtGA"/>
        <w:rPr>
          <w:lang w:eastAsia="zh-TW" w:bidi="en-GB"/>
        </w:rPr>
      </w:pPr>
      <w:r>
        <w:rPr>
          <w:rtl/>
        </w:rPr>
        <w:tab/>
      </w:r>
      <w:r w:rsidRPr="0090490A">
        <w:rPr>
          <w:rtl/>
        </w:rPr>
        <w:t>(ب)</w:t>
      </w:r>
      <w:r w:rsidRPr="0090490A">
        <w:rPr>
          <w:rtl/>
        </w:rPr>
        <w:tab/>
        <w:t xml:space="preserve">ينص التشريع على أن من واجب القاضي الوصائي أن يشترط تعيين الوصي في غضون </w:t>
      </w:r>
      <w:r w:rsidRPr="00315335">
        <w:rPr>
          <w:szCs w:val="20"/>
          <w:rtl/>
        </w:rPr>
        <w:t>48</w:t>
      </w:r>
      <w:r w:rsidRPr="0090490A">
        <w:rPr>
          <w:rtl/>
        </w:rPr>
        <w:t xml:space="preserve"> ساعة من إخطار السلطة المتلقية. وتنص المادة </w:t>
      </w:r>
      <w:r w:rsidRPr="00315335">
        <w:rPr>
          <w:szCs w:val="20"/>
          <w:rtl/>
        </w:rPr>
        <w:t>11</w:t>
      </w:r>
      <w:r w:rsidRPr="0090490A">
        <w:rPr>
          <w:rtl/>
        </w:rPr>
        <w:t xml:space="preserve"> من القانون رقم </w:t>
      </w:r>
      <w:r w:rsidRPr="00315335">
        <w:rPr>
          <w:szCs w:val="20"/>
          <w:rtl/>
        </w:rPr>
        <w:t>47</w:t>
      </w:r>
      <w:r w:rsidRPr="0090490A">
        <w:rPr>
          <w:rFonts w:ascii="Traditional Arabic"/>
          <w:rtl/>
        </w:rPr>
        <w:t>/</w:t>
      </w:r>
      <w:r w:rsidRPr="00315335">
        <w:rPr>
          <w:szCs w:val="20"/>
          <w:rtl/>
        </w:rPr>
        <w:t>2017</w:t>
      </w:r>
      <w:r w:rsidRPr="0090490A">
        <w:rPr>
          <w:rtl/>
        </w:rPr>
        <w:t xml:space="preserve"> على وضع قائمة بـ"الأوصياء الطوعيين" في كل محكمة أحداث لاستخدام مواطنين عاديين يتولون حماية القاصرين الأجانب غير المصحوبين. ويرصد أمين المظالم الوطني المعني بالأطفال والمراهقين تدريب الأوصياء على </w:t>
      </w:r>
      <w:r>
        <w:rPr>
          <w:rtl/>
        </w:rPr>
        <w:t xml:space="preserve">التعامل مع </w:t>
      </w:r>
      <w:r w:rsidRPr="0090490A">
        <w:rPr>
          <w:rtl/>
        </w:rPr>
        <w:t>القاصرين غير المصحوبين واستخدامهم.</w:t>
      </w:r>
    </w:p>
    <w:p w14:paraId="098B0430" w14:textId="77777777" w:rsidR="0035673D" w:rsidRPr="00E20343" w:rsidRDefault="0035673D" w:rsidP="0035673D">
      <w:pPr>
        <w:pStyle w:val="SingleTxtGA"/>
        <w:rPr>
          <w:lang w:eastAsia="zh-TW" w:bidi="en-GB"/>
        </w:rPr>
      </w:pPr>
      <w:r w:rsidRPr="0090490A">
        <w:rPr>
          <w:rtl/>
        </w:rPr>
        <w:tab/>
        <w:t xml:space="preserve">وبموجب المرسوم التشريعي رقم </w:t>
      </w:r>
      <w:r w:rsidRPr="00315335">
        <w:rPr>
          <w:szCs w:val="20"/>
          <w:rtl/>
        </w:rPr>
        <w:t>220</w:t>
      </w:r>
      <w:r w:rsidRPr="0090490A">
        <w:rPr>
          <w:rFonts w:ascii="Traditional Arabic"/>
          <w:rtl/>
        </w:rPr>
        <w:t>/</w:t>
      </w:r>
      <w:r w:rsidRPr="00315335">
        <w:rPr>
          <w:szCs w:val="20"/>
          <w:rtl/>
        </w:rPr>
        <w:t>2017</w:t>
      </w:r>
      <w:r w:rsidRPr="0090490A">
        <w:rPr>
          <w:rtl/>
        </w:rPr>
        <w:t>، نُقلت صلاحية فتح</w:t>
      </w:r>
      <w:r>
        <w:rPr>
          <w:rtl/>
        </w:rPr>
        <w:t xml:space="preserve"> باب</w:t>
      </w:r>
      <w:r w:rsidRPr="0090490A">
        <w:rPr>
          <w:rtl/>
        </w:rPr>
        <w:t xml:space="preserve"> الحماية للقاصرين غير المصحوبين وإدارتها من محكمة القضاء العام إلى محكمة الأحداث، بهدف ضمان تعيين الأوصياء في الوقت المناسب؛</w:t>
      </w:r>
    </w:p>
    <w:p w14:paraId="352C51F2" w14:textId="30A8A3D0" w:rsidR="0035673D" w:rsidRPr="00E20343" w:rsidRDefault="0035673D" w:rsidP="0035673D">
      <w:pPr>
        <w:pStyle w:val="SingleTxtGA"/>
        <w:rPr>
          <w:lang w:eastAsia="zh-TW" w:bidi="en-GB"/>
        </w:rPr>
      </w:pPr>
      <w:r w:rsidRPr="0090490A">
        <w:rPr>
          <w:rtl/>
        </w:rPr>
        <w:tab/>
        <w:t>(ج)</w:t>
      </w:r>
      <w:r w:rsidRPr="0090490A">
        <w:rPr>
          <w:rtl/>
        </w:rPr>
        <w:tab/>
        <w:t xml:space="preserve">ينص القانون رقم </w:t>
      </w:r>
      <w:r w:rsidRPr="00315335">
        <w:rPr>
          <w:szCs w:val="20"/>
          <w:rtl/>
        </w:rPr>
        <w:t>47</w:t>
      </w:r>
      <w:r w:rsidRPr="0090490A">
        <w:rPr>
          <w:rFonts w:ascii="Traditional Arabic"/>
          <w:rtl/>
        </w:rPr>
        <w:t>/</w:t>
      </w:r>
      <w:r w:rsidRPr="00315335">
        <w:rPr>
          <w:szCs w:val="20"/>
          <w:rtl/>
        </w:rPr>
        <w:t>2017</w:t>
      </w:r>
      <w:r w:rsidRPr="0090490A">
        <w:rPr>
          <w:rtl/>
        </w:rPr>
        <w:t xml:space="preserve"> على نظام استقبال واحد، يرحَّب بم</w:t>
      </w:r>
      <w:r>
        <w:rPr>
          <w:rtl/>
        </w:rPr>
        <w:t>قتضا</w:t>
      </w:r>
      <w:r w:rsidRPr="0090490A">
        <w:rPr>
          <w:rtl/>
        </w:rPr>
        <w:t xml:space="preserve">ه بالقاصرين الأجانب غير المصحوبين في مرافق الاستقبال المعدة لهم حصراً. وحدد قرار صادر عن وزير الداخلية في عام </w:t>
      </w:r>
      <w:r w:rsidRPr="00315335">
        <w:rPr>
          <w:szCs w:val="20"/>
          <w:rtl/>
        </w:rPr>
        <w:t>2016</w:t>
      </w:r>
      <w:r w:rsidRPr="0090490A">
        <w:rPr>
          <w:rtl/>
        </w:rPr>
        <w:t xml:space="preserve"> الإجراءات المتعلقة باستقبال القاصرين غير المصحوبين وبالخدمات التي يجب تقديمها في مراكز الاستقبال المؤقتة والحكومية على حد سواء؛</w:t>
      </w:r>
    </w:p>
    <w:p w14:paraId="005086B6" w14:textId="3C9169A4" w:rsidR="0035673D" w:rsidRPr="00E20343" w:rsidRDefault="0035673D" w:rsidP="0035673D">
      <w:pPr>
        <w:pStyle w:val="SingleTxtGA"/>
        <w:rPr>
          <w:lang w:eastAsia="zh-TW" w:bidi="en-GB"/>
        </w:rPr>
      </w:pPr>
      <w:r>
        <w:rPr>
          <w:rtl/>
        </w:rPr>
        <w:tab/>
      </w:r>
      <w:r w:rsidRPr="0090490A">
        <w:rPr>
          <w:rtl/>
        </w:rPr>
        <w:t>(د)</w:t>
      </w:r>
      <w:r w:rsidRPr="0090490A">
        <w:rPr>
          <w:rtl/>
        </w:rPr>
        <w:tab/>
        <w:t xml:space="preserve">عادة ما يحاول القاصرون غير المصحوبين </w:t>
      </w:r>
      <w:r>
        <w:rPr>
          <w:rtl/>
        </w:rPr>
        <w:t xml:space="preserve">الذين يختفون </w:t>
      </w:r>
      <w:r w:rsidRPr="0090490A">
        <w:rPr>
          <w:rtl/>
        </w:rPr>
        <w:t xml:space="preserve">مواصلة طريق هجرتهم نحو وجهة مختلفة. وبموجب القانون الوطني، يُطلب من الشخص الحاضن المسؤول عن قاصر غير مصحوب أن يبلغ الشرطة فوراً إن فُقد القاصر، وذلك لتيسير المبادرة إلى </w:t>
      </w:r>
      <w:r>
        <w:rPr>
          <w:rtl/>
        </w:rPr>
        <w:t>ال</w:t>
      </w:r>
      <w:r w:rsidRPr="0090490A">
        <w:rPr>
          <w:rtl/>
        </w:rPr>
        <w:t>بحث</w:t>
      </w:r>
      <w:r>
        <w:rPr>
          <w:rtl/>
        </w:rPr>
        <w:t xml:space="preserve"> عنه</w:t>
      </w:r>
      <w:r w:rsidRPr="0090490A">
        <w:rPr>
          <w:rtl/>
        </w:rPr>
        <w:t xml:space="preserve"> فور</w:t>
      </w:r>
      <w:r>
        <w:rPr>
          <w:rtl/>
        </w:rPr>
        <w:t>اً</w:t>
      </w:r>
      <w:r w:rsidRPr="0090490A">
        <w:rPr>
          <w:rtl/>
        </w:rPr>
        <w:t xml:space="preserve">. وما فتئت إدارة الحريات المدنية والهجرة منذ عام </w:t>
      </w:r>
      <w:r w:rsidRPr="00315335">
        <w:rPr>
          <w:szCs w:val="20"/>
          <w:rtl/>
        </w:rPr>
        <w:t>2017</w:t>
      </w:r>
      <w:r w:rsidRPr="0090490A">
        <w:rPr>
          <w:rtl/>
        </w:rPr>
        <w:t xml:space="preserve"> تروّج مشروعا</w:t>
      </w:r>
      <w:r w:rsidR="005B40B6">
        <w:rPr>
          <w:rFonts w:hint="cs"/>
          <w:rtl/>
        </w:rPr>
        <w:t>ً</w:t>
      </w:r>
      <w:r w:rsidRPr="0090490A">
        <w:rPr>
          <w:rtl/>
        </w:rPr>
        <w:t xml:space="preserve"> بعنوان "العمل الرائد من أجل القاصرين غير المصحوبين</w:t>
      </w:r>
      <w:r w:rsidRPr="004F4510">
        <w:rPr>
          <w:rtl/>
        </w:rPr>
        <w:t>:</w:t>
      </w:r>
      <w:r w:rsidRPr="0090490A">
        <w:rPr>
          <w:rtl/>
        </w:rPr>
        <w:t xml:space="preserve"> تدخلات التعافي المبكر </w:t>
      </w:r>
      <w:r w:rsidRPr="0090490A">
        <w:rPr>
          <w:rFonts w:ascii="Traditional Arabic"/>
          <w:rtl/>
        </w:rPr>
        <w:t>(</w:t>
      </w:r>
      <w:r w:rsidRPr="00315335">
        <w:rPr>
          <w:rFonts w:cs="Times New Roman"/>
          <w:szCs w:val="20"/>
        </w:rPr>
        <w:t>PUERI</w:t>
      </w:r>
      <w:r w:rsidRPr="0090490A">
        <w:rPr>
          <w:rFonts w:ascii="Traditional Arabic"/>
          <w:rtl/>
        </w:rPr>
        <w:t>)</w:t>
      </w:r>
      <w:r>
        <w:rPr>
          <w:rFonts w:ascii="Traditional Arabic"/>
          <w:rtl/>
        </w:rPr>
        <w:t>"</w:t>
      </w:r>
      <w:r w:rsidRPr="0090490A">
        <w:rPr>
          <w:rFonts w:ascii="Traditional Arabic"/>
          <w:rtl/>
        </w:rPr>
        <w:t>.</w:t>
      </w:r>
      <w:r>
        <w:rPr>
          <w:rFonts w:ascii="Traditional Arabic"/>
          <w:rtl/>
        </w:rPr>
        <w:t xml:space="preserve"> </w:t>
      </w:r>
      <w:r w:rsidRPr="0090490A">
        <w:rPr>
          <w:rtl/>
        </w:rPr>
        <w:t>وسيساعد المشروع على تحديد مسارات استقبال القاصرين غير المصحوبين وتوفير المساعدة لهم وإدماجهم.</w:t>
      </w:r>
    </w:p>
    <w:p w14:paraId="2C4CA6C5" w14:textId="2C9ABB28" w:rsidR="0035673D" w:rsidRPr="0090490A" w:rsidRDefault="0035673D" w:rsidP="0035673D">
      <w:pPr>
        <w:pStyle w:val="SingleTxtGA"/>
        <w:rPr>
          <w:lang w:val="ar-SA" w:eastAsia="zh-TW" w:bidi="en-GB"/>
        </w:rPr>
      </w:pPr>
      <w:r w:rsidRPr="0090490A">
        <w:rPr>
          <w:rtl/>
        </w:rPr>
        <w:tab/>
        <w:t xml:space="preserve">وإضافة إلى ذلك، أُنشئ بموجب القانون رقم </w:t>
      </w:r>
      <w:r w:rsidRPr="00315335">
        <w:rPr>
          <w:szCs w:val="20"/>
          <w:rtl/>
        </w:rPr>
        <w:t>47</w:t>
      </w:r>
      <w:r w:rsidRPr="0090490A">
        <w:rPr>
          <w:rFonts w:ascii="Traditional Arabic"/>
          <w:rtl/>
        </w:rPr>
        <w:t>/</w:t>
      </w:r>
      <w:r w:rsidRPr="00315335">
        <w:rPr>
          <w:szCs w:val="20"/>
          <w:rtl/>
        </w:rPr>
        <w:t>2017</w:t>
      </w:r>
      <w:r w:rsidRPr="0090490A">
        <w:rPr>
          <w:rtl/>
        </w:rPr>
        <w:t xml:space="preserve"> نظام معلومات وطني بشأن القاصرين الأجانب غير المصحوبين </w:t>
      </w:r>
      <w:r>
        <w:rPr>
          <w:rtl/>
        </w:rPr>
        <w:t>قصد</w:t>
      </w:r>
      <w:r w:rsidRPr="0090490A">
        <w:rPr>
          <w:rtl/>
        </w:rPr>
        <w:t xml:space="preserve"> تجميع تقارير عن القاصرين غير المصحوبين الموجودين على الأراضي الوطنية من قبل جميع الهيئات أو السلطات المعنية، ونتائج </w:t>
      </w:r>
      <w:r>
        <w:rPr>
          <w:rtl/>
        </w:rPr>
        <w:t xml:space="preserve">عمليات تقدير </w:t>
      </w:r>
      <w:r w:rsidRPr="0090490A">
        <w:rPr>
          <w:rtl/>
        </w:rPr>
        <w:t>ال</w:t>
      </w:r>
      <w:r>
        <w:rPr>
          <w:rtl/>
        </w:rPr>
        <w:t xml:space="preserve">سن </w:t>
      </w:r>
      <w:r w:rsidRPr="0090490A">
        <w:rPr>
          <w:rtl/>
        </w:rPr>
        <w:t>التي تجريها السلطات القضائية. وسيسهّل وصول السلطات إلى النظام، من خلال الإحالات المرجعية للبيانات، تحديد هوية القاصرين غير المصحوبين الذين فروا من تدابير الاستقبال ولكنهم ما زالوا موجودين في إيطاليا.</w:t>
      </w:r>
    </w:p>
    <w:p w14:paraId="13A6A551" w14:textId="77777777" w:rsidR="0035673D" w:rsidRPr="003A012D" w:rsidRDefault="0035673D" w:rsidP="005F45F3">
      <w:pPr>
        <w:pStyle w:val="H23GA"/>
        <w:rPr>
          <w:lang w:eastAsia="zh-TW" w:bidi="en-GB"/>
        </w:rPr>
      </w:pPr>
      <w:r w:rsidRPr="0090490A">
        <w:rPr>
          <w:rtl/>
        </w:rPr>
        <w:tab/>
      </w:r>
      <w:r w:rsidRPr="0090490A">
        <w:rPr>
          <w:rtl/>
        </w:rPr>
        <w:tab/>
        <w:t>تقييم اللجنة</w:t>
      </w:r>
    </w:p>
    <w:p w14:paraId="7B20DCCE" w14:textId="7FFDFC7F" w:rsidR="0035673D" w:rsidRPr="00BC7213" w:rsidRDefault="0035673D" w:rsidP="0035673D">
      <w:pPr>
        <w:pStyle w:val="SingleTxtGA"/>
        <w:rPr>
          <w:lang w:eastAsia="zh-TW" w:bidi="en-GB"/>
        </w:rPr>
      </w:pPr>
      <w:r w:rsidRPr="0090490A">
        <w:rPr>
          <w:rFonts w:ascii="Traditional Arabic"/>
          <w:rtl/>
        </w:rPr>
        <w:t>[</w:t>
      </w:r>
      <w:r w:rsidRPr="0090490A">
        <w:rPr>
          <w:b/>
          <w:bCs/>
          <w:rtl/>
        </w:rPr>
        <w:t>باء</w:t>
      </w:r>
      <w:r w:rsidRPr="0090490A">
        <w:rPr>
          <w:rtl/>
        </w:rPr>
        <w:t>] (أ) و(ب) و(د)</w:t>
      </w:r>
      <w:r w:rsidRPr="004F4510">
        <w:rPr>
          <w:rtl/>
        </w:rPr>
        <w:t>:</w:t>
      </w:r>
      <w:r w:rsidRPr="0090490A">
        <w:rPr>
          <w:rtl/>
        </w:rPr>
        <w:t xml:space="preserve"> ترحب اللجنة بالحكم الجديد الذي ينص على افتراض أن الطفل قاصر بمقتضى القانون، في حالة الشك في العمر. وترحب أيضا</w:t>
      </w:r>
      <w:r>
        <w:rPr>
          <w:rtl/>
        </w:rPr>
        <w:t>ً</w:t>
      </w:r>
      <w:r w:rsidRPr="0090490A">
        <w:rPr>
          <w:rtl/>
        </w:rPr>
        <w:t xml:space="preserve"> بالاتفاق بين الإدارات </w:t>
      </w:r>
      <w:r>
        <w:rPr>
          <w:rtl/>
        </w:rPr>
        <w:t>المتعلق</w:t>
      </w:r>
      <w:r w:rsidRPr="0090490A">
        <w:rPr>
          <w:rtl/>
        </w:rPr>
        <w:t xml:space="preserve"> </w:t>
      </w:r>
      <w:r>
        <w:rPr>
          <w:rtl/>
        </w:rPr>
        <w:t>ب</w:t>
      </w:r>
      <w:r w:rsidRPr="0090490A">
        <w:rPr>
          <w:rtl/>
        </w:rPr>
        <w:t>إجراء تق</w:t>
      </w:r>
      <w:r>
        <w:rPr>
          <w:rtl/>
        </w:rPr>
        <w:t>دير</w:t>
      </w:r>
      <w:r w:rsidR="00A37482">
        <w:rPr>
          <w:rFonts w:hint="cs"/>
          <w:rtl/>
        </w:rPr>
        <w:t xml:space="preserve"> </w:t>
      </w:r>
      <w:r>
        <w:rPr>
          <w:rtl/>
        </w:rPr>
        <w:t>السن</w:t>
      </w:r>
      <w:r w:rsidRPr="0090490A">
        <w:rPr>
          <w:rtl/>
        </w:rPr>
        <w:t>. وتطلب معلومات عما يلي</w:t>
      </w:r>
      <w:r w:rsidRPr="004F4510">
        <w:rPr>
          <w:rtl/>
        </w:rPr>
        <w:t>:</w:t>
      </w:r>
      <w:r w:rsidRPr="0090490A">
        <w:rPr>
          <w:rFonts w:ascii="Traditional Arabic"/>
          <w:rtl/>
        </w:rPr>
        <w:t xml:space="preserve"> </w:t>
      </w:r>
      <w:r w:rsidRPr="00315335">
        <w:rPr>
          <w:rFonts w:ascii="Traditional Arabic"/>
          <w:szCs w:val="20"/>
          <w:rtl/>
        </w:rPr>
        <w:t>'</w:t>
      </w:r>
      <w:r w:rsidRPr="00315335">
        <w:rPr>
          <w:szCs w:val="20"/>
          <w:rtl/>
        </w:rPr>
        <w:t>1</w:t>
      </w:r>
      <w:r w:rsidRPr="00315335">
        <w:rPr>
          <w:rFonts w:ascii="Traditional Arabic"/>
          <w:szCs w:val="20"/>
          <w:rtl/>
        </w:rPr>
        <w:t>'</w:t>
      </w:r>
      <w:r w:rsidRPr="0090490A">
        <w:rPr>
          <w:rtl/>
        </w:rPr>
        <w:t xml:space="preserve"> مضمون الإجراء؛ </w:t>
      </w:r>
      <w:r w:rsidRPr="00315335">
        <w:rPr>
          <w:rFonts w:ascii="Traditional Arabic"/>
          <w:szCs w:val="20"/>
          <w:rtl/>
        </w:rPr>
        <w:t>'</w:t>
      </w:r>
      <w:r w:rsidRPr="00315335">
        <w:rPr>
          <w:szCs w:val="20"/>
          <w:rtl/>
        </w:rPr>
        <w:t>2</w:t>
      </w:r>
      <w:r w:rsidRPr="00315335">
        <w:rPr>
          <w:rFonts w:ascii="Traditional Arabic"/>
          <w:szCs w:val="20"/>
          <w:rtl/>
        </w:rPr>
        <w:t>'</w:t>
      </w:r>
      <w:r w:rsidRPr="0090490A">
        <w:rPr>
          <w:rtl/>
        </w:rPr>
        <w:t xml:space="preserve"> الوضع من حيث موافقة </w:t>
      </w:r>
      <w:r>
        <w:rPr>
          <w:rtl/>
        </w:rPr>
        <w:t>"ال</w:t>
      </w:r>
      <w:r w:rsidRPr="0090490A">
        <w:rPr>
          <w:rtl/>
        </w:rPr>
        <w:t>مؤتمر</w:t>
      </w:r>
      <w:r>
        <w:rPr>
          <w:rtl/>
        </w:rPr>
        <w:t xml:space="preserve"> الجامع للدولة والأقاليم"</w:t>
      </w:r>
      <w:r w:rsidRPr="0090490A">
        <w:rPr>
          <w:rtl/>
        </w:rPr>
        <w:t xml:space="preserve">؛ </w:t>
      </w:r>
      <w:r w:rsidRPr="00315335">
        <w:rPr>
          <w:rFonts w:ascii="Traditional Arabic"/>
          <w:szCs w:val="20"/>
          <w:rtl/>
        </w:rPr>
        <w:t>'</w:t>
      </w:r>
      <w:r w:rsidRPr="00315335">
        <w:rPr>
          <w:szCs w:val="20"/>
          <w:rtl/>
        </w:rPr>
        <w:t>3</w:t>
      </w:r>
      <w:r w:rsidRPr="00315335">
        <w:rPr>
          <w:rFonts w:ascii="Traditional Arabic"/>
          <w:szCs w:val="20"/>
          <w:rtl/>
        </w:rPr>
        <w:t>'</w:t>
      </w:r>
      <w:r w:rsidRPr="0090490A">
        <w:rPr>
          <w:rtl/>
        </w:rPr>
        <w:t xml:space="preserve"> وضع المشروع الذي تنظر فيه المفوضية الأوروبية حالياً. </w:t>
      </w:r>
    </w:p>
    <w:p w14:paraId="36C3B682" w14:textId="3D3575D6" w:rsidR="0035673D" w:rsidRPr="003A012D" w:rsidRDefault="0035673D" w:rsidP="0035673D">
      <w:pPr>
        <w:pStyle w:val="SingleTxtGA"/>
        <w:rPr>
          <w:lang w:eastAsia="zh-TW" w:bidi="en-GB"/>
        </w:rPr>
      </w:pPr>
      <w:r w:rsidRPr="0090490A">
        <w:rPr>
          <w:rtl/>
        </w:rPr>
        <w:lastRenderedPageBreak/>
        <w:tab/>
        <w:t>وترحب اللجنة</w:t>
      </w:r>
      <w:r>
        <w:rPr>
          <w:rtl/>
        </w:rPr>
        <w:t xml:space="preserve"> أيضاً</w:t>
      </w:r>
      <w:r w:rsidRPr="0090490A">
        <w:rPr>
          <w:rtl/>
        </w:rPr>
        <w:t xml:space="preserve"> بالتدابير المتخذة لإعادة النظر في إجراء إسنا</w:t>
      </w:r>
      <w:r>
        <w:rPr>
          <w:rtl/>
        </w:rPr>
        <w:t>د</w:t>
      </w:r>
      <w:r w:rsidRPr="0090490A">
        <w:rPr>
          <w:rtl/>
        </w:rPr>
        <w:t xml:space="preserve"> الوصاية، بما فيها استخدام "الأوصياء الطوعيين" ونقل الاختصاص إلى محاكم الأحداث. وتطلب معلومات عما يلي</w:t>
      </w:r>
      <w:r w:rsidRPr="004F4510">
        <w:rPr>
          <w:rtl/>
        </w:rPr>
        <w:t>:</w:t>
      </w:r>
      <w:r w:rsidRPr="0090490A">
        <w:rPr>
          <w:rFonts w:ascii="Traditional Arabic"/>
          <w:rtl/>
        </w:rPr>
        <w:t xml:space="preserve"> </w:t>
      </w:r>
      <w:r w:rsidRPr="00315335">
        <w:rPr>
          <w:rFonts w:ascii="Traditional Arabic"/>
          <w:szCs w:val="20"/>
          <w:rtl/>
        </w:rPr>
        <w:t>'</w:t>
      </w:r>
      <w:r w:rsidRPr="00315335">
        <w:rPr>
          <w:szCs w:val="20"/>
          <w:rtl/>
        </w:rPr>
        <w:t>1</w:t>
      </w:r>
      <w:r w:rsidRPr="00315335">
        <w:rPr>
          <w:rFonts w:ascii="Traditional Arabic"/>
          <w:szCs w:val="20"/>
          <w:rtl/>
        </w:rPr>
        <w:t>'</w:t>
      </w:r>
      <w:r w:rsidRPr="0090490A">
        <w:rPr>
          <w:rtl/>
        </w:rPr>
        <w:t xml:space="preserve"> الجهود التي يبذلها أمين المظالم الوطني المعني بالأطفال والمراهقين لتدريب الأوصياء الطوعيين والإشراف عليهم</w:t>
      </w:r>
      <w:r>
        <w:rPr>
          <w:rtl/>
        </w:rPr>
        <w:t xml:space="preserve"> بفعالية</w:t>
      </w:r>
      <w:r w:rsidRPr="0090490A">
        <w:rPr>
          <w:rtl/>
        </w:rPr>
        <w:t xml:space="preserve">؛ </w:t>
      </w:r>
      <w:r w:rsidRPr="00315335">
        <w:rPr>
          <w:rFonts w:ascii="Traditional Arabic"/>
          <w:szCs w:val="20"/>
          <w:rtl/>
        </w:rPr>
        <w:t>'</w:t>
      </w:r>
      <w:r w:rsidRPr="00315335">
        <w:rPr>
          <w:szCs w:val="20"/>
          <w:rtl/>
        </w:rPr>
        <w:t>2</w:t>
      </w:r>
      <w:r w:rsidRPr="00315335">
        <w:rPr>
          <w:rFonts w:ascii="Traditional Arabic"/>
          <w:szCs w:val="20"/>
          <w:rtl/>
        </w:rPr>
        <w:t>'</w:t>
      </w:r>
      <w:r w:rsidRPr="0090490A">
        <w:rPr>
          <w:rtl/>
        </w:rPr>
        <w:t xml:space="preserve"> التدابير المحددة المتخذة لاستخدام مواطنين عاديين أوصياءَ طوعيين؛ </w:t>
      </w:r>
      <w:r w:rsidRPr="00315335">
        <w:rPr>
          <w:rFonts w:ascii="Traditional Arabic"/>
          <w:szCs w:val="20"/>
          <w:rtl/>
        </w:rPr>
        <w:t>'</w:t>
      </w:r>
      <w:r w:rsidRPr="00315335">
        <w:rPr>
          <w:szCs w:val="20"/>
          <w:rtl/>
        </w:rPr>
        <w:t>3</w:t>
      </w:r>
      <w:r w:rsidRPr="00315335">
        <w:rPr>
          <w:rFonts w:ascii="Traditional Arabic"/>
          <w:szCs w:val="20"/>
          <w:rtl/>
        </w:rPr>
        <w:t>'</w:t>
      </w:r>
      <w:r w:rsidR="00A37482">
        <w:rPr>
          <w:rFonts w:hint="cs"/>
          <w:rtl/>
        </w:rPr>
        <w:t> </w:t>
      </w:r>
      <w:r w:rsidRPr="0090490A">
        <w:rPr>
          <w:rtl/>
        </w:rPr>
        <w:t xml:space="preserve">الأثر الذي أحدثه نقل الاختصاص إلى محاكم الأحداث على فترة انتظار القاصرين غير المصحوبين </w:t>
      </w:r>
      <w:r>
        <w:rPr>
          <w:rtl/>
        </w:rPr>
        <w:t xml:space="preserve">في المتوسط </w:t>
      </w:r>
      <w:r w:rsidRPr="0090490A">
        <w:rPr>
          <w:rtl/>
        </w:rPr>
        <w:t>للحصول على أوصياء.</w:t>
      </w:r>
    </w:p>
    <w:p w14:paraId="0D3D73D1" w14:textId="77777777" w:rsidR="0035673D" w:rsidRPr="003A012D" w:rsidRDefault="0035673D" w:rsidP="0035673D">
      <w:pPr>
        <w:pStyle w:val="SingleTxtGA"/>
        <w:rPr>
          <w:lang w:eastAsia="zh-TW" w:bidi="en-GB"/>
        </w:rPr>
      </w:pPr>
      <w:r w:rsidRPr="0090490A">
        <w:rPr>
          <w:rtl/>
        </w:rPr>
        <w:tab/>
        <w:t>وترحب اللجنة بالتدابير التي اتخذتها الدولة الطرف لترويج مشروع التدخلات المتعلقة بالتعافي المبكر وإنشاء نظام المعلومات الوطني بشأن القاصرين الأجانب غير المصحوبين. وتطلب معلومات عما يلي</w:t>
      </w:r>
      <w:r w:rsidRPr="004F4510">
        <w:rPr>
          <w:rtl/>
        </w:rPr>
        <w:t>:</w:t>
      </w:r>
      <w:r w:rsidRPr="0090490A">
        <w:rPr>
          <w:rFonts w:ascii="Traditional Arabic"/>
          <w:rtl/>
        </w:rPr>
        <w:t xml:space="preserve"> </w:t>
      </w:r>
      <w:r w:rsidRPr="00315335">
        <w:rPr>
          <w:rFonts w:ascii="Traditional Arabic"/>
          <w:szCs w:val="20"/>
          <w:rtl/>
        </w:rPr>
        <w:t>'</w:t>
      </w:r>
      <w:r w:rsidRPr="00315335">
        <w:rPr>
          <w:szCs w:val="20"/>
          <w:rtl/>
        </w:rPr>
        <w:t>1</w:t>
      </w:r>
      <w:r w:rsidRPr="00315335">
        <w:rPr>
          <w:rFonts w:ascii="Traditional Arabic"/>
          <w:szCs w:val="20"/>
          <w:rtl/>
        </w:rPr>
        <w:t>'</w:t>
      </w:r>
      <w:r w:rsidRPr="0090490A">
        <w:rPr>
          <w:rtl/>
        </w:rPr>
        <w:t xml:space="preserve"> التدابير المتخذة لاستعمال النظام لتيسير عمليات البحث عن القاصرين المفقودين غير المصحوبين؛ </w:t>
      </w:r>
      <w:r w:rsidRPr="00315335">
        <w:rPr>
          <w:rFonts w:ascii="Traditional Arabic"/>
          <w:szCs w:val="20"/>
          <w:rtl/>
        </w:rPr>
        <w:t>'</w:t>
      </w:r>
      <w:r w:rsidRPr="00315335">
        <w:rPr>
          <w:szCs w:val="20"/>
          <w:rtl/>
        </w:rPr>
        <w:t>2</w:t>
      </w:r>
      <w:r w:rsidRPr="00315335">
        <w:rPr>
          <w:rFonts w:ascii="Traditional Arabic"/>
          <w:szCs w:val="20"/>
          <w:rtl/>
        </w:rPr>
        <w:t>'</w:t>
      </w:r>
      <w:r w:rsidRPr="0090490A">
        <w:rPr>
          <w:rtl/>
        </w:rPr>
        <w:t xml:space="preserve"> معدلات اختفاء القاصرين غير المصحوبين قبل تنفيذ مشروع التدخلات المتعلقة بالتعافي المبكر</w:t>
      </w:r>
      <w:r w:rsidRPr="00D258DA">
        <w:rPr>
          <w:rtl/>
        </w:rPr>
        <w:t xml:space="preserve"> </w:t>
      </w:r>
      <w:r w:rsidRPr="0090490A">
        <w:rPr>
          <w:rtl/>
        </w:rPr>
        <w:t>وبعد</w:t>
      </w:r>
      <w:r>
        <w:rPr>
          <w:rtl/>
        </w:rPr>
        <w:t>ه</w:t>
      </w:r>
      <w:r w:rsidRPr="0090490A">
        <w:rPr>
          <w:rtl/>
        </w:rPr>
        <w:t>.</w:t>
      </w:r>
    </w:p>
    <w:p w14:paraId="0990E38F" w14:textId="77777777" w:rsidR="0035673D" w:rsidRPr="0090490A" w:rsidRDefault="0035673D" w:rsidP="0035673D">
      <w:pPr>
        <w:pStyle w:val="SingleTxtGA"/>
        <w:rPr>
          <w:lang w:val="ar-SA" w:eastAsia="zh-TW" w:bidi="en-GB"/>
        </w:rPr>
      </w:pPr>
      <w:r w:rsidRPr="0090490A">
        <w:rPr>
          <w:rFonts w:ascii="Traditional Arabic"/>
          <w:rtl/>
        </w:rPr>
        <w:t>[</w:t>
      </w:r>
      <w:r w:rsidRPr="0090490A">
        <w:rPr>
          <w:b/>
          <w:bCs/>
          <w:rtl/>
        </w:rPr>
        <w:t>جيم</w:t>
      </w:r>
      <w:r w:rsidRPr="0090490A">
        <w:rPr>
          <w:rtl/>
        </w:rPr>
        <w:t>] (ج)</w:t>
      </w:r>
      <w:r w:rsidRPr="004F4510">
        <w:rPr>
          <w:rtl/>
        </w:rPr>
        <w:t>:</w:t>
      </w:r>
      <w:r w:rsidRPr="0090490A">
        <w:rPr>
          <w:rtl/>
        </w:rPr>
        <w:t xml:space="preserve"> تأسف اللجنة ل</w:t>
      </w:r>
      <w:r>
        <w:rPr>
          <w:rtl/>
        </w:rPr>
        <w:t>انعدام</w:t>
      </w:r>
      <w:r w:rsidRPr="0090490A">
        <w:rPr>
          <w:rtl/>
        </w:rPr>
        <w:t xml:space="preserve"> معلومات محددة عن ظروف وجود القاصرين غير المصحوبين في مرافق الاستقبال. وتكرر طلبها الحصول على معلومات، لا سيما فيما يتعلق بفصل القاصرين غير المصحوبين عن البالغين في مرافق الاستقبال، وتكرر توصيتها.</w:t>
      </w:r>
    </w:p>
    <w:p w14:paraId="16769522" w14:textId="77777777" w:rsidR="0035673D" w:rsidRPr="0090490A" w:rsidRDefault="0035673D" w:rsidP="005F45F3">
      <w:pPr>
        <w:pStyle w:val="SingleTxtGA"/>
        <w:rPr>
          <w:lang w:val="ar-SA" w:eastAsia="zh-TW" w:bidi="en-GB"/>
        </w:rPr>
      </w:pPr>
      <w:r w:rsidRPr="0090490A">
        <w:rPr>
          <w:b/>
          <w:bCs/>
          <w:rtl/>
        </w:rPr>
        <w:t>الإجراء الموصى به</w:t>
      </w:r>
      <w:r w:rsidRPr="004F4510">
        <w:rPr>
          <w:rtl/>
        </w:rPr>
        <w:t>:</w:t>
      </w:r>
      <w:r w:rsidRPr="0090490A">
        <w:rPr>
          <w:rtl/>
        </w:rPr>
        <w:t xml:space="preserve"> ينبغي توجيه رسالة إلى الدولة الطرف لإبلاغها بوقف إجراء المتابعة. وينبغي إدراج المعلومات المطلوبة في تقرير الدولة الطرف الدوري المقبل.</w:t>
      </w:r>
      <w:bookmarkStart w:id="2" w:name="_Toc506807563"/>
    </w:p>
    <w:p w14:paraId="5E43E4F5" w14:textId="4A4D143E" w:rsidR="0035673D" w:rsidRPr="00B9212E" w:rsidRDefault="0035673D" w:rsidP="0035673D">
      <w:pPr>
        <w:pStyle w:val="SingleTxtGA"/>
        <w:rPr>
          <w:szCs w:val="20"/>
          <w:lang w:val="ar-SA" w:eastAsia="zh-TW" w:bidi="en-GB"/>
        </w:rPr>
      </w:pPr>
      <w:r w:rsidRPr="00E65F30">
        <w:rPr>
          <w:b/>
          <w:bCs/>
          <w:rtl/>
        </w:rPr>
        <w:t>التاريخ المقرر لتقديم التقرير الدوري المقبل</w:t>
      </w:r>
      <w:r w:rsidRPr="00E65F30">
        <w:rPr>
          <w:b/>
          <w:bCs/>
        </w:rPr>
        <w:t>:</w:t>
      </w:r>
      <w:r w:rsidRPr="0090490A">
        <w:rPr>
          <w:rtl/>
        </w:rPr>
        <w:t xml:space="preserve"> </w:t>
      </w:r>
      <w:r w:rsidRPr="00315335">
        <w:rPr>
          <w:szCs w:val="20"/>
          <w:rtl/>
        </w:rPr>
        <w:t>29</w:t>
      </w:r>
      <w:r w:rsidRPr="0090490A">
        <w:rPr>
          <w:rtl/>
        </w:rPr>
        <w:t xml:space="preserve"> آذار/مارس </w:t>
      </w:r>
      <w:r w:rsidRPr="00315335">
        <w:rPr>
          <w:szCs w:val="20"/>
          <w:rtl/>
        </w:rPr>
        <w:t>202</w:t>
      </w:r>
      <w:r w:rsidR="00E65F30">
        <w:rPr>
          <w:rFonts w:hint="cs"/>
          <w:szCs w:val="20"/>
          <w:rtl/>
        </w:rPr>
        <w:t>2</w:t>
      </w:r>
      <w:r w:rsidRPr="0090490A">
        <w:rPr>
          <w:rtl/>
        </w:rPr>
        <w:t>.</w:t>
      </w:r>
      <w:bookmarkEnd w:id="2"/>
    </w:p>
    <w:p w14:paraId="6DB38044" w14:textId="77777777" w:rsidR="0035673D" w:rsidRPr="0035673D" w:rsidRDefault="0035673D" w:rsidP="0035673D">
      <w:pPr>
        <w:pStyle w:val="SingleTxtG"/>
        <w:spacing w:before="240"/>
        <w:jc w:val="center"/>
      </w:pPr>
      <w:r>
        <w:rPr>
          <w:u w:val="single"/>
        </w:rPr>
        <w:tab/>
      </w:r>
      <w:r>
        <w:rPr>
          <w:u w:val="single"/>
        </w:rPr>
        <w:tab/>
      </w:r>
      <w:r>
        <w:rPr>
          <w:u w:val="single"/>
        </w:rPr>
        <w:tab/>
      </w:r>
    </w:p>
    <w:sectPr w:rsidR="0035673D" w:rsidRPr="0035673D" w:rsidSect="00100FC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6D132" w14:textId="77777777" w:rsidR="0029214E" w:rsidRPr="002901D9" w:rsidRDefault="0029214E" w:rsidP="002901D9">
      <w:pPr>
        <w:spacing w:after="60" w:line="240" w:lineRule="auto"/>
        <w:rPr>
          <w:i/>
          <w:iCs/>
        </w:rPr>
      </w:pPr>
      <w:r>
        <w:rPr>
          <w:rFonts w:hint="cs"/>
          <w:i/>
          <w:iCs/>
          <w:rtl/>
        </w:rPr>
        <w:t>الحواشي</w:t>
      </w:r>
    </w:p>
  </w:endnote>
  <w:endnote w:type="continuationSeparator" w:id="0">
    <w:p w14:paraId="64C8C17A" w14:textId="77777777" w:rsidR="0029214E" w:rsidRDefault="002921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22EAD" w14:textId="77777777" w:rsidR="00100FC8" w:rsidRPr="00B672B1" w:rsidRDefault="00B672B1" w:rsidP="00B672B1">
    <w:pPr>
      <w:pStyle w:val="Footer"/>
      <w:tabs>
        <w:tab w:val="right" w:pos="9598"/>
      </w:tabs>
      <w:rPr>
        <w:sz w:val="17"/>
      </w:rPr>
    </w:pPr>
    <w:r>
      <w:rPr>
        <w:sz w:val="17"/>
      </w:rPr>
      <w:t>GE.20-11628</w:t>
    </w:r>
    <w:r>
      <w:rPr>
        <w:sz w:val="17"/>
      </w:rPr>
      <w:tab/>
    </w:r>
    <w:r w:rsidRPr="00B672B1">
      <w:rPr>
        <w:b/>
        <w:sz w:val="18"/>
      </w:rPr>
      <w:fldChar w:fldCharType="begin"/>
    </w:r>
    <w:r w:rsidRPr="00B672B1">
      <w:rPr>
        <w:b/>
        <w:sz w:val="18"/>
      </w:rPr>
      <w:instrText xml:space="preserve"> PAGE  \* MERGEFORMAT </w:instrText>
    </w:r>
    <w:r w:rsidRPr="00B672B1">
      <w:rPr>
        <w:b/>
        <w:sz w:val="18"/>
      </w:rPr>
      <w:fldChar w:fldCharType="separate"/>
    </w:r>
    <w:r>
      <w:rPr>
        <w:b/>
        <w:sz w:val="18"/>
      </w:rPr>
      <w:t>2</w:t>
    </w:r>
    <w:r w:rsidRPr="00B672B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FA740" w14:textId="77777777" w:rsidR="006959B0" w:rsidRPr="00B672B1" w:rsidRDefault="00B672B1" w:rsidP="006959B0">
    <w:pPr>
      <w:pStyle w:val="Footer"/>
      <w:tabs>
        <w:tab w:val="right" w:pos="9599"/>
      </w:tabs>
      <w:jc w:val="left"/>
      <w:rPr>
        <w:b/>
        <w:sz w:val="18"/>
        <w:lang w:val="en-US"/>
      </w:rPr>
    </w:pPr>
    <w:r w:rsidRPr="00B672B1">
      <w:rPr>
        <w:b/>
        <w:sz w:val="18"/>
        <w:lang w:val="en-US"/>
      </w:rPr>
      <w:fldChar w:fldCharType="begin"/>
    </w:r>
    <w:r w:rsidRPr="00B672B1">
      <w:rPr>
        <w:b/>
        <w:sz w:val="18"/>
        <w:lang w:val="en-US"/>
      </w:rPr>
      <w:instrText xml:space="preserve"> PAGE  \* MERGEFORMAT </w:instrText>
    </w:r>
    <w:r w:rsidRPr="00B672B1">
      <w:rPr>
        <w:b/>
        <w:sz w:val="18"/>
        <w:lang w:val="en-US"/>
      </w:rPr>
      <w:fldChar w:fldCharType="separate"/>
    </w:r>
    <w:r w:rsidRPr="00B672B1">
      <w:rPr>
        <w:b/>
        <w:noProof/>
        <w:sz w:val="18"/>
        <w:lang w:val="en-US"/>
      </w:rPr>
      <w:t>3</w:t>
    </w:r>
    <w:r w:rsidRPr="00B672B1">
      <w:rPr>
        <w:b/>
        <w:sz w:val="18"/>
        <w:lang w:val="en-US"/>
      </w:rPr>
      <w:fldChar w:fldCharType="end"/>
    </w:r>
    <w:r>
      <w:rPr>
        <w:b/>
        <w:sz w:val="18"/>
        <w:lang w:val="en-US"/>
      </w:rPr>
      <w:tab/>
    </w:r>
    <w:r>
      <w:rPr>
        <w:sz w:val="17"/>
        <w:lang w:val="en-US"/>
      </w:rPr>
      <w:t>GE.20-11628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549D3" w14:textId="612F62C2" w:rsidR="00DE50B1" w:rsidRDefault="00100FC8" w:rsidP="00982139">
    <w:pPr>
      <w:pStyle w:val="Footer"/>
      <w:spacing w:before="360"/>
      <w:jc w:val="right"/>
      <w:rPr>
        <w:sz w:val="20"/>
        <w:szCs w:val="20"/>
      </w:rPr>
    </w:pPr>
    <w:r>
      <w:rPr>
        <w:sz w:val="20"/>
        <w:szCs w:val="20"/>
      </w:rPr>
      <w:t>GE.20-11628</w:t>
    </w:r>
    <w:r w:rsidR="00750CC2">
      <w:rPr>
        <w:noProof/>
      </w:rPr>
      <w:drawing>
        <wp:anchor distT="0" distB="0" distL="114300" distR="114300" simplePos="0" relativeHeight="251657728" behindDoc="1" locked="1" layoutInCell="0" allowOverlap="1" wp14:anchorId="1B270DFA" wp14:editId="22458C98">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208DE571" w14:textId="771D3A81" w:rsidR="00100FC8" w:rsidRPr="00100FC8" w:rsidRDefault="00100FC8" w:rsidP="00100FC8">
    <w:pPr>
      <w:pStyle w:val="Footer"/>
      <w:jc w:val="right"/>
      <w:rPr>
        <w:rFonts w:ascii="C39T30Lfz" w:hAnsi="C39T30Lfz"/>
        <w:sz w:val="56"/>
        <w:szCs w:val="20"/>
      </w:rPr>
    </w:pPr>
    <w:r>
      <w:rPr>
        <w:rFonts w:ascii="C39T30Lfz" w:hAnsi="C39T30Lfz"/>
        <w:sz w:val="56"/>
        <w:szCs w:val="20"/>
      </w:rPr>
      <w:t>*2011628*</w:t>
    </w:r>
    <w:r w:rsidR="00750CC2">
      <w:rPr>
        <w:noProof/>
      </w:rPr>
      <w:drawing>
        <wp:anchor distT="0" distB="0" distL="114300" distR="114300" simplePos="0" relativeHeight="251659776" behindDoc="0" locked="0" layoutInCell="1" allowOverlap="1" wp14:anchorId="444FE71E" wp14:editId="1DEBB8CC">
          <wp:simplePos x="0" y="0"/>
          <wp:positionH relativeFrom="page">
            <wp:posOffset>719455</wp:posOffset>
          </wp:positionH>
          <wp:positionV relativeFrom="page">
            <wp:posOffset>9611995</wp:posOffset>
          </wp:positionV>
          <wp:extent cx="560070" cy="560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EFBD6" w14:textId="77777777" w:rsidR="0029214E" w:rsidRDefault="0029214E" w:rsidP="000437B8">
      <w:pPr>
        <w:pStyle w:val="Footer"/>
        <w:bidi/>
        <w:spacing w:after="80" w:line="200" w:lineRule="exact"/>
        <w:ind w:left="680"/>
        <w:rPr>
          <w:rFonts w:hint="cs"/>
          <w:rtl/>
        </w:rPr>
      </w:pPr>
      <w:r>
        <w:rPr>
          <w:rtl/>
        </w:rPr>
        <w:t>__________</w:t>
      </w:r>
    </w:p>
  </w:footnote>
  <w:footnote w:type="continuationSeparator" w:id="0">
    <w:p w14:paraId="2199190E" w14:textId="77777777" w:rsidR="0029214E" w:rsidRDefault="0029214E" w:rsidP="00656392">
      <w:pPr>
        <w:spacing w:line="240" w:lineRule="auto"/>
      </w:pPr>
      <w:r>
        <w:continuationSeparator/>
      </w:r>
    </w:p>
  </w:footnote>
  <w:footnote w:id="1">
    <w:p w14:paraId="7A9DAD5F" w14:textId="04588DE4" w:rsidR="0035673D" w:rsidRPr="00F35E24" w:rsidRDefault="0035673D" w:rsidP="005B40B6">
      <w:pPr>
        <w:pStyle w:val="FootnoteText1"/>
        <w:rPr>
          <w:lang w:val="ar-SA" w:eastAsia="zh-TW" w:bidi="en-GB"/>
        </w:rPr>
      </w:pPr>
      <w:r w:rsidRPr="00F35E24">
        <w:rPr>
          <w:rFonts w:ascii="Traditional Arabic"/>
          <w:sz w:val="26"/>
        </w:rPr>
        <w:t>*</w:t>
      </w:r>
      <w:r w:rsidRPr="00F35E24">
        <w:rPr>
          <w:sz w:val="26"/>
          <w:rtl/>
        </w:rPr>
        <w:tab/>
      </w:r>
      <w:r w:rsidRPr="005B40B6">
        <w:rPr>
          <w:sz w:val="24"/>
          <w:szCs w:val="24"/>
          <w:rtl/>
        </w:rPr>
        <w:t>اعتمدتها اللجنة في دورتها</w:t>
      </w:r>
      <w:r w:rsidRPr="00F35E24">
        <w:rPr>
          <w:sz w:val="26"/>
          <w:rtl/>
        </w:rPr>
        <w:t xml:space="preserve"> </w:t>
      </w:r>
      <w:r w:rsidRPr="005B40B6">
        <w:rPr>
          <w:sz w:val="26"/>
          <w:szCs w:val="18"/>
          <w:rtl/>
        </w:rPr>
        <w:t>129</w:t>
      </w:r>
      <w:r w:rsidRPr="00F35E24">
        <w:rPr>
          <w:rFonts w:ascii="Traditional Arabic"/>
          <w:sz w:val="26"/>
          <w:rtl/>
        </w:rPr>
        <w:t xml:space="preserve"> (</w:t>
      </w:r>
      <w:r w:rsidRPr="005B40B6">
        <w:rPr>
          <w:sz w:val="26"/>
          <w:szCs w:val="18"/>
          <w:rtl/>
        </w:rPr>
        <w:t>29</w:t>
      </w:r>
      <w:r w:rsidRPr="00F35E24">
        <w:rPr>
          <w:sz w:val="26"/>
          <w:rtl/>
        </w:rPr>
        <w:t xml:space="preserve"> </w:t>
      </w:r>
      <w:r w:rsidRPr="005B40B6">
        <w:rPr>
          <w:sz w:val="24"/>
          <w:szCs w:val="24"/>
          <w:rtl/>
        </w:rPr>
        <w:t>حزيران/يونيه -</w:t>
      </w:r>
      <w:r w:rsidRPr="00F35E24">
        <w:rPr>
          <w:sz w:val="26"/>
          <w:rtl/>
        </w:rPr>
        <w:t xml:space="preserve"> </w:t>
      </w:r>
      <w:r w:rsidRPr="005B40B6">
        <w:rPr>
          <w:sz w:val="26"/>
          <w:szCs w:val="18"/>
          <w:rtl/>
        </w:rPr>
        <w:t>24</w:t>
      </w:r>
      <w:r w:rsidRPr="00F35E24">
        <w:rPr>
          <w:sz w:val="26"/>
          <w:rtl/>
        </w:rPr>
        <w:t xml:space="preserve"> </w:t>
      </w:r>
      <w:r w:rsidRPr="005B40B6">
        <w:rPr>
          <w:sz w:val="24"/>
          <w:szCs w:val="24"/>
          <w:rtl/>
        </w:rPr>
        <w:t>تموز/يوليه</w:t>
      </w:r>
      <w:r w:rsidRPr="00F35E24">
        <w:rPr>
          <w:sz w:val="26"/>
          <w:rtl/>
        </w:rPr>
        <w:t xml:space="preserve"> </w:t>
      </w:r>
      <w:r w:rsidRPr="005B40B6">
        <w:rPr>
          <w:sz w:val="26"/>
          <w:szCs w:val="18"/>
          <w:rtl/>
        </w:rPr>
        <w:t>2020</w:t>
      </w:r>
      <w:r w:rsidRPr="00F35E24">
        <w:rPr>
          <w:rFonts w:ascii="Traditional Arabic"/>
          <w:sz w:val="26"/>
          <w:rtl/>
        </w:rPr>
        <w:t>)</w:t>
      </w:r>
      <w:r w:rsidRPr="00F35E24">
        <w:rPr>
          <w:sz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7264B" w14:textId="77777777" w:rsidR="00100FC8" w:rsidRPr="00B672B1" w:rsidRDefault="00B672B1" w:rsidP="00B672B1">
    <w:pPr>
      <w:pStyle w:val="Header"/>
      <w:jc w:val="right"/>
    </w:pPr>
    <w:r w:rsidRPr="00B672B1">
      <w:t>CCPR/C/129/2/Add.4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B2DC3" w14:textId="77777777" w:rsidR="00100FC8" w:rsidRPr="00B672B1" w:rsidRDefault="00B672B1" w:rsidP="00B672B1">
    <w:pPr>
      <w:pStyle w:val="Header"/>
      <w:jc w:val="left"/>
    </w:pPr>
    <w:r w:rsidRPr="00B672B1">
      <w:t>CCPR/C/129/2/Add.4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29214E"/>
    <w:rsid w:val="000076D5"/>
    <w:rsid w:val="00043663"/>
    <w:rsid w:val="000437B8"/>
    <w:rsid w:val="000505CF"/>
    <w:rsid w:val="000D701C"/>
    <w:rsid w:val="000E2A71"/>
    <w:rsid w:val="000F57C6"/>
    <w:rsid w:val="00100FC8"/>
    <w:rsid w:val="00101DFD"/>
    <w:rsid w:val="00160263"/>
    <w:rsid w:val="00181F96"/>
    <w:rsid w:val="001A1371"/>
    <w:rsid w:val="001B346A"/>
    <w:rsid w:val="001E1CAD"/>
    <w:rsid w:val="001E290D"/>
    <w:rsid w:val="001F4F28"/>
    <w:rsid w:val="002144FA"/>
    <w:rsid w:val="00222149"/>
    <w:rsid w:val="0023469A"/>
    <w:rsid w:val="00243C8A"/>
    <w:rsid w:val="00267A0E"/>
    <w:rsid w:val="002901D9"/>
    <w:rsid w:val="0029214E"/>
    <w:rsid w:val="002976C2"/>
    <w:rsid w:val="00315335"/>
    <w:rsid w:val="003260FF"/>
    <w:rsid w:val="00343D95"/>
    <w:rsid w:val="0035673D"/>
    <w:rsid w:val="00363A18"/>
    <w:rsid w:val="00374341"/>
    <w:rsid w:val="003D1062"/>
    <w:rsid w:val="00420D7B"/>
    <w:rsid w:val="00450B21"/>
    <w:rsid w:val="00453B63"/>
    <w:rsid w:val="00455780"/>
    <w:rsid w:val="004B0A1C"/>
    <w:rsid w:val="004D298E"/>
    <w:rsid w:val="004D6F22"/>
    <w:rsid w:val="004F4510"/>
    <w:rsid w:val="00517BC9"/>
    <w:rsid w:val="0054472E"/>
    <w:rsid w:val="005662A9"/>
    <w:rsid w:val="005827D4"/>
    <w:rsid w:val="0059622A"/>
    <w:rsid w:val="005B40B6"/>
    <w:rsid w:val="005B51C4"/>
    <w:rsid w:val="005C5878"/>
    <w:rsid w:val="005C7CEA"/>
    <w:rsid w:val="005D3C0B"/>
    <w:rsid w:val="005E5217"/>
    <w:rsid w:val="005F0FA4"/>
    <w:rsid w:val="005F30EE"/>
    <w:rsid w:val="005F45F3"/>
    <w:rsid w:val="0060473A"/>
    <w:rsid w:val="00631F65"/>
    <w:rsid w:val="00656392"/>
    <w:rsid w:val="0068781D"/>
    <w:rsid w:val="006959B0"/>
    <w:rsid w:val="006B1E00"/>
    <w:rsid w:val="006B3E27"/>
    <w:rsid w:val="006B6507"/>
    <w:rsid w:val="006C104C"/>
    <w:rsid w:val="006E67C5"/>
    <w:rsid w:val="00733704"/>
    <w:rsid w:val="00750CC2"/>
    <w:rsid w:val="0078071A"/>
    <w:rsid w:val="00787E1E"/>
    <w:rsid w:val="00852A9A"/>
    <w:rsid w:val="008F49E1"/>
    <w:rsid w:val="0090370F"/>
    <w:rsid w:val="009269D2"/>
    <w:rsid w:val="00942135"/>
    <w:rsid w:val="009521B0"/>
    <w:rsid w:val="009535F2"/>
    <w:rsid w:val="00973362"/>
    <w:rsid w:val="00982139"/>
    <w:rsid w:val="009867A8"/>
    <w:rsid w:val="009A7E9F"/>
    <w:rsid w:val="009E5018"/>
    <w:rsid w:val="00A03700"/>
    <w:rsid w:val="00A12B37"/>
    <w:rsid w:val="00A37482"/>
    <w:rsid w:val="00AB6758"/>
    <w:rsid w:val="00B13763"/>
    <w:rsid w:val="00B477A4"/>
    <w:rsid w:val="00B54045"/>
    <w:rsid w:val="00B672B1"/>
    <w:rsid w:val="00C438D7"/>
    <w:rsid w:val="00C81B50"/>
    <w:rsid w:val="00CB6622"/>
    <w:rsid w:val="00CD1801"/>
    <w:rsid w:val="00CF65C6"/>
    <w:rsid w:val="00D10EF1"/>
    <w:rsid w:val="00D42810"/>
    <w:rsid w:val="00D914A7"/>
    <w:rsid w:val="00D9780D"/>
    <w:rsid w:val="00DD13C3"/>
    <w:rsid w:val="00DD596E"/>
    <w:rsid w:val="00DD621E"/>
    <w:rsid w:val="00DE50B1"/>
    <w:rsid w:val="00DF0575"/>
    <w:rsid w:val="00E65F30"/>
    <w:rsid w:val="00E70E04"/>
    <w:rsid w:val="00EC05A7"/>
    <w:rsid w:val="00EC4B6B"/>
    <w:rsid w:val="00ED7442"/>
    <w:rsid w:val="00EF1EE5"/>
    <w:rsid w:val="00EF5C4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49278B58"/>
  <w15:docId w15:val="{97E8F6D2-F16F-4FC4-AA68-93244709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9535F2"/>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35673D"/>
    <w:pPr>
      <w:keepNext/>
      <w:keepLines/>
      <w:tabs>
        <w:tab w:val="right" w:pos="851"/>
      </w:tabs>
      <w:bidi w:val="0"/>
      <w:spacing w:before="360" w:after="240" w:line="300" w:lineRule="exact"/>
      <w:ind w:left="1134" w:right="1134" w:hanging="1134"/>
      <w:jc w:val="left"/>
    </w:pPr>
    <w:rPr>
      <w:rFonts w:eastAsia="SimSun" w:hAnsi="Calibri" w:hint="cs"/>
      <w:b/>
      <w:sz w:val="28"/>
      <w:lang w:val="en-GB" w:eastAsia="zh-CN"/>
    </w:rPr>
  </w:style>
  <w:style w:type="paragraph" w:customStyle="1" w:styleId="H23G">
    <w:name w:val="_ H_2/3_G"/>
    <w:basedOn w:val="Normal"/>
    <w:next w:val="Normal"/>
    <w:rsid w:val="0035673D"/>
    <w:pPr>
      <w:keepNext/>
      <w:keepLines/>
      <w:tabs>
        <w:tab w:val="right" w:pos="851"/>
      </w:tabs>
      <w:bidi w:val="0"/>
      <w:spacing w:before="240" w:after="120" w:line="240" w:lineRule="exact"/>
      <w:ind w:left="1134" w:right="1134" w:hanging="1134"/>
      <w:jc w:val="left"/>
    </w:pPr>
    <w:rPr>
      <w:rFonts w:eastAsia="SimSun" w:hAnsi="Calibri" w:hint="cs"/>
      <w:b/>
      <w:lang w:val="en-GB" w:eastAsia="zh-CN"/>
    </w:rPr>
  </w:style>
  <w:style w:type="paragraph" w:customStyle="1" w:styleId="SingleTxtG">
    <w:name w:val="_ Single Txt_G"/>
    <w:basedOn w:val="Normal"/>
    <w:link w:val="SingleTxtGChar"/>
    <w:rsid w:val="0035673D"/>
    <w:pPr>
      <w:bidi w:val="0"/>
      <w:spacing w:after="120" w:line="240" w:lineRule="auto"/>
      <w:ind w:left="1134" w:right="1134"/>
      <w:jc w:val="both"/>
    </w:pPr>
    <w:rPr>
      <w:rFonts w:eastAsia="SimSun" w:hAnsi="Calibri"/>
      <w:lang w:val="en-GB" w:eastAsia="zh-CN"/>
    </w:rPr>
  </w:style>
  <w:style w:type="character" w:customStyle="1" w:styleId="SingleTxtGChar">
    <w:name w:val="_ Single Txt_G Char"/>
    <w:link w:val="SingleTxtG"/>
    <w:rsid w:val="0035673D"/>
    <w:rPr>
      <w:rFonts w:ascii="Times New Roman" w:eastAsia="SimSun" w:cs="Traditional Arabic"/>
      <w:szCs w:val="30"/>
      <w:lang w:val="en-GB" w:eastAsia="zh-CN"/>
    </w:rPr>
  </w:style>
  <w:style w:type="character" w:styleId="CommentReference">
    <w:name w:val="annotation reference"/>
    <w:uiPriority w:val="99"/>
    <w:semiHidden/>
    <w:unhideWhenUsed/>
    <w:rsid w:val="0035673D"/>
    <w:rPr>
      <w:sz w:val="16"/>
      <w:szCs w:val="16"/>
    </w:rPr>
  </w:style>
  <w:style w:type="paragraph" w:styleId="CommentText">
    <w:name w:val="annotation text"/>
    <w:basedOn w:val="Normal"/>
    <w:link w:val="CommentTextChar"/>
    <w:uiPriority w:val="99"/>
    <w:semiHidden/>
    <w:unhideWhenUsed/>
    <w:rsid w:val="0035673D"/>
    <w:pPr>
      <w:bidi w:val="0"/>
      <w:spacing w:line="240" w:lineRule="auto"/>
      <w:jc w:val="left"/>
    </w:pPr>
    <w:rPr>
      <w:rFonts w:eastAsia="SimSun" w:hAnsi="Calibri" w:hint="cs"/>
      <w:szCs w:val="20"/>
      <w:lang w:val="en-GB" w:eastAsia="zh-CN"/>
    </w:rPr>
  </w:style>
  <w:style w:type="character" w:customStyle="1" w:styleId="CommentTextChar">
    <w:name w:val="Comment Text Char"/>
    <w:basedOn w:val="DefaultParagraphFont"/>
    <w:link w:val="CommentText"/>
    <w:uiPriority w:val="99"/>
    <w:semiHidden/>
    <w:rsid w:val="0035673D"/>
    <w:rPr>
      <w:rFonts w:ascii="Times New Roman" w:eastAsia="SimSun" w:cs="Traditional Arabic"/>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52F87-54B1-43A5-8042-8E15D142B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CCPR/C/129/2/Add.4</vt:lpstr>
    </vt:vector>
  </TitlesOfParts>
  <Company>DCM</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CCPR/C/129/2/Add.4</dc:title>
  <dc:subject>GE.2011628A</dc:subject>
  <dc:creator>IHRZ</dc:creator>
  <cp:keywords>ODS No.2022698</cp:keywords>
  <dc:description>Distribution:_x000d_
Original: English_x000d_
Date:</dc:description>
  <cp:lastModifiedBy>Ihab RIZ</cp:lastModifiedBy>
  <cp:revision>2</cp:revision>
  <dcterms:created xsi:type="dcterms:W3CDTF">2020-10-06T11:41:00Z</dcterms:created>
  <dcterms:modified xsi:type="dcterms:W3CDTF">2020-10-06T11:41:00Z</dcterms:modified>
  <cp:category>Finale</cp:category>
</cp:coreProperties>
</file>