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4C97CF2" w14:textId="77777777" w:rsidTr="00CA1AEA">
        <w:trPr>
          <w:cantSplit/>
          <w:trHeight w:hRule="exact" w:val="851"/>
        </w:trPr>
        <w:tc>
          <w:tcPr>
            <w:tcW w:w="1276" w:type="dxa"/>
            <w:tcBorders>
              <w:bottom w:val="single" w:sz="4" w:space="0" w:color="auto"/>
            </w:tcBorders>
            <w:vAlign w:val="bottom"/>
          </w:tcPr>
          <w:p w14:paraId="3F6C6670" w14:textId="77777777" w:rsidR="00165C15" w:rsidRDefault="00165C15" w:rsidP="00CA1AEA">
            <w:pPr>
              <w:spacing w:after="80"/>
            </w:pPr>
          </w:p>
        </w:tc>
        <w:tc>
          <w:tcPr>
            <w:tcW w:w="2268" w:type="dxa"/>
            <w:tcBorders>
              <w:bottom w:val="single" w:sz="4" w:space="0" w:color="auto"/>
            </w:tcBorders>
            <w:vAlign w:val="bottom"/>
          </w:tcPr>
          <w:p w14:paraId="3CA2AA4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6C6773" w14:textId="77777777" w:rsidR="00165C15" w:rsidRPr="00D47EEA" w:rsidRDefault="00A15861" w:rsidP="00A15861">
            <w:pPr>
              <w:suppressAutoHyphens w:val="0"/>
              <w:spacing w:after="20"/>
              <w:jc w:val="right"/>
            </w:pPr>
            <w:r w:rsidRPr="00A15861">
              <w:rPr>
                <w:sz w:val="40"/>
              </w:rPr>
              <w:t>CCPR</w:t>
            </w:r>
            <w:r>
              <w:t>/C/KEN/FCO/4</w:t>
            </w:r>
          </w:p>
        </w:tc>
      </w:tr>
      <w:tr w:rsidR="00165C15" w14:paraId="4F74B356" w14:textId="77777777" w:rsidTr="00CA1AEA">
        <w:trPr>
          <w:cantSplit/>
          <w:trHeight w:hRule="exact" w:val="2835"/>
        </w:trPr>
        <w:tc>
          <w:tcPr>
            <w:tcW w:w="1276" w:type="dxa"/>
            <w:tcBorders>
              <w:top w:val="single" w:sz="4" w:space="0" w:color="auto"/>
              <w:bottom w:val="single" w:sz="12" w:space="0" w:color="auto"/>
            </w:tcBorders>
          </w:tcPr>
          <w:p w14:paraId="60CB2568" w14:textId="77777777" w:rsidR="00165C15" w:rsidRDefault="00165C15" w:rsidP="00CA1AEA">
            <w:pPr>
              <w:spacing w:before="120"/>
            </w:pPr>
            <w:r>
              <w:rPr>
                <w:noProof/>
                <w:lang w:val="fr-CH" w:eastAsia="fr-CH"/>
              </w:rPr>
              <w:drawing>
                <wp:inline distT="0" distB="0" distL="0" distR="0" wp14:anchorId="5AB118A4" wp14:editId="570B44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66EA4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336D4C0" w14:textId="77777777" w:rsidR="00165C15" w:rsidRDefault="00A15861" w:rsidP="00A15861">
            <w:pPr>
              <w:suppressAutoHyphens w:val="0"/>
              <w:spacing w:before="240"/>
            </w:pPr>
            <w:r>
              <w:t>Distr.: General</w:t>
            </w:r>
          </w:p>
          <w:p w14:paraId="298CA8B0" w14:textId="5AD72C2A" w:rsidR="00A15861" w:rsidRDefault="00DD583D" w:rsidP="00A15861">
            <w:pPr>
              <w:suppressAutoHyphens w:val="0"/>
            </w:pPr>
            <w:r>
              <w:t>24</w:t>
            </w:r>
            <w:r w:rsidR="00A15861">
              <w:t xml:space="preserve"> July 2023</w:t>
            </w:r>
          </w:p>
          <w:p w14:paraId="143020BC" w14:textId="77777777" w:rsidR="00A15861" w:rsidRDefault="00A15861" w:rsidP="00A15861">
            <w:pPr>
              <w:suppressAutoHyphens w:val="0"/>
            </w:pPr>
          </w:p>
          <w:p w14:paraId="15649A00" w14:textId="1CFA42FA" w:rsidR="00A15861" w:rsidRDefault="00A15861" w:rsidP="00A15861">
            <w:pPr>
              <w:suppressAutoHyphens w:val="0"/>
            </w:pPr>
            <w:r>
              <w:t>English only</w:t>
            </w:r>
          </w:p>
        </w:tc>
      </w:tr>
    </w:tbl>
    <w:p w14:paraId="751B2DF6" w14:textId="77777777" w:rsidR="00A15861" w:rsidRPr="00507F92" w:rsidRDefault="00A15861" w:rsidP="00A15861">
      <w:pPr>
        <w:spacing w:before="120"/>
        <w:rPr>
          <w:b/>
          <w:sz w:val="24"/>
          <w:szCs w:val="24"/>
        </w:rPr>
      </w:pPr>
      <w:r>
        <w:rPr>
          <w:b/>
          <w:sz w:val="24"/>
          <w:szCs w:val="24"/>
        </w:rPr>
        <w:t>Human Right</w:t>
      </w:r>
      <w:r w:rsidRPr="00507F92">
        <w:rPr>
          <w:b/>
          <w:sz w:val="24"/>
          <w:szCs w:val="24"/>
        </w:rPr>
        <w:t>s Committee</w:t>
      </w:r>
    </w:p>
    <w:p w14:paraId="2EBF1D65" w14:textId="77777777" w:rsidR="00A15861" w:rsidRPr="00507F92" w:rsidRDefault="00A15861" w:rsidP="00A15861">
      <w:pPr>
        <w:pStyle w:val="HChG"/>
      </w:pPr>
      <w:r w:rsidRPr="00507F92">
        <w:tab/>
      </w:r>
      <w:r w:rsidRPr="00507F92">
        <w:tab/>
      </w:r>
      <w:r w:rsidRPr="00507F92">
        <w:tab/>
        <w:t xml:space="preserve">Information received from </w:t>
      </w:r>
      <w:r>
        <w:t>Kenya</w:t>
      </w:r>
      <w:r w:rsidRPr="00507F92">
        <w:t xml:space="preserve"> on follow-up to the concluding observations</w:t>
      </w:r>
      <w:r>
        <w:t xml:space="preserve"> on its fourth periodic report</w:t>
      </w:r>
      <w:r w:rsidRPr="00507F92">
        <w:rPr>
          <w:b w:val="0"/>
          <w:bCs/>
          <w:sz w:val="20"/>
        </w:rPr>
        <w:footnoteReference w:customMarkFollows="1" w:id="1"/>
        <w:t>*</w:t>
      </w:r>
    </w:p>
    <w:p w14:paraId="74D77C3D" w14:textId="77777777" w:rsidR="00A15861" w:rsidRPr="00507F92" w:rsidRDefault="00A15861" w:rsidP="00A15861">
      <w:pPr>
        <w:pStyle w:val="SingleTxtG"/>
        <w:jc w:val="right"/>
      </w:pPr>
      <w:r w:rsidRPr="00507F92">
        <w:t xml:space="preserve">[Date received: </w:t>
      </w:r>
      <w:r>
        <w:t>14 June 2023</w:t>
      </w:r>
      <w:r w:rsidRPr="00507F92">
        <w:t>]</w:t>
      </w:r>
    </w:p>
    <w:p w14:paraId="09C6141E" w14:textId="77777777" w:rsidR="00A15861" w:rsidRDefault="00A15861" w:rsidP="00A15861">
      <w:pPr>
        <w:suppressAutoHyphens w:val="0"/>
        <w:spacing w:after="200" w:line="276" w:lineRule="auto"/>
      </w:pPr>
      <w:r>
        <w:br w:type="page"/>
      </w:r>
    </w:p>
    <w:p w14:paraId="0EFE825E" w14:textId="77777777" w:rsidR="00A15861" w:rsidRPr="00431884" w:rsidRDefault="00A15861" w:rsidP="008247EF">
      <w:pPr>
        <w:pStyle w:val="HChG"/>
      </w:pPr>
      <w:r>
        <w:lastRenderedPageBreak/>
        <w:tab/>
      </w:r>
      <w:r>
        <w:tab/>
      </w:r>
      <w:r w:rsidRPr="00431884">
        <w:t>Introduction</w:t>
      </w:r>
    </w:p>
    <w:p w14:paraId="54DBFDDB" w14:textId="4A9FD41B" w:rsidR="00A15861" w:rsidRPr="00431884" w:rsidRDefault="00A15861" w:rsidP="00A15861">
      <w:pPr>
        <w:pStyle w:val="SingleTxtG"/>
      </w:pPr>
      <w:r w:rsidRPr="00431884">
        <w:t>1.</w:t>
      </w:r>
      <w:r w:rsidRPr="00431884">
        <w:tab/>
      </w:r>
      <w:r w:rsidRPr="002473D2">
        <w:t xml:space="preserve">The Government of Kenya is </w:t>
      </w:r>
      <w:r w:rsidR="00F248D5" w:rsidRPr="002473D2">
        <w:t>honoured</w:t>
      </w:r>
      <w:r w:rsidRPr="002473D2">
        <w:t xml:space="preserve"> to present to the Human Rights Committee</w:t>
      </w:r>
      <w:r>
        <w:t xml:space="preserve"> (the Committee) the follow up report to the concluding observations of the fourth periodic report to the International Covenant on Civil and Political Rights (the Covenant).</w:t>
      </w:r>
      <w:bookmarkStart w:id="0" w:name="_Hlk70692765"/>
    </w:p>
    <w:p w14:paraId="16A68CC2" w14:textId="750DAC2B" w:rsidR="00A15861" w:rsidRDefault="00A15861" w:rsidP="00A15861">
      <w:pPr>
        <w:pStyle w:val="SingleTxtG"/>
      </w:pPr>
      <w:r>
        <w:t>2.</w:t>
      </w:r>
      <w:r>
        <w:tab/>
      </w:r>
      <w:r w:rsidRPr="00431884">
        <w:t>The Committee considered the fourth periodic report of Kenya (</w:t>
      </w:r>
      <w:hyperlink r:id="rId9" w:history="1">
        <w:r w:rsidRPr="001B1305">
          <w:rPr>
            <w:rStyle w:val="Hyperlink"/>
          </w:rPr>
          <w:t>CCPR/C/KEN/4</w:t>
        </w:r>
      </w:hyperlink>
      <w:r w:rsidRPr="00431884">
        <w:t>) at its 3763rd, 3764th and 3765th meetings held on 9, 10 and 11 March 2021. The meetings were held virtually, owing to the COVID-19 pandemic. At its 3778th meeting, held on 26 March 2021, the Committee adopted the concluding observations.</w:t>
      </w:r>
      <w:bookmarkEnd w:id="0"/>
    </w:p>
    <w:p w14:paraId="0E72ABEC" w14:textId="4AFCD4AC" w:rsidR="00A15861" w:rsidRPr="00BD492E" w:rsidRDefault="00A15861" w:rsidP="00A15861">
      <w:pPr>
        <w:pStyle w:val="SingleTxtG"/>
      </w:pPr>
      <w:r w:rsidRPr="00BD492E">
        <w:t>3.</w:t>
      </w:r>
      <w:r w:rsidRPr="00BD492E">
        <w:tab/>
        <w:t xml:space="preserve">The Government of Kenya received a number of recommendations to improve the protection of civil and political rights in the Kenya. The recommendations touch on the domestic implementation of the Covenant, corruption, past human rights violations, </w:t>
      </w:r>
      <w:r w:rsidR="008247EF" w:rsidRPr="00BD492E">
        <w:t>non-discrimination</w:t>
      </w:r>
      <w:r w:rsidRPr="00BD492E">
        <w:t>, gender equality, counter terrorism measures, violence against women, voluntary termination of pregnancy, sexual and reproductive rights, prison conditions, liberty and security of the person, elimination of slavery and trafficking in persons, treatment of aliens, forced evictions, freedom of expression, right to peaceful assembly, rights of the child, indigenous people and the right to participate in public affairs.</w:t>
      </w:r>
    </w:p>
    <w:p w14:paraId="603A2E1C" w14:textId="77777777" w:rsidR="00A15861" w:rsidRPr="00BD492E" w:rsidRDefault="00A15861" w:rsidP="00A15861">
      <w:pPr>
        <w:pStyle w:val="SingleTxtG"/>
      </w:pPr>
      <w:r w:rsidRPr="00BD492E">
        <w:t>4.</w:t>
      </w:r>
      <w:r w:rsidRPr="00BD492E">
        <w:tab/>
        <w:t>The Committee requested for additional information on the implementation of specific recommendations made by the Committee in paragraphs 19 (violence against women), 41 (forced evictions) and 49 (participation in public affairs</w:t>
      </w:r>
      <w:r w:rsidRPr="00BD492E" w:rsidDel="008145EE">
        <w:t>)</w:t>
      </w:r>
      <w:r w:rsidRPr="00BD492E">
        <w:t xml:space="preserve"> to be submitted two years after the review process.</w:t>
      </w:r>
    </w:p>
    <w:p w14:paraId="3307DCE9" w14:textId="77777777" w:rsidR="00A15861" w:rsidRPr="00BD492E" w:rsidRDefault="00A15861" w:rsidP="00A15861">
      <w:pPr>
        <w:pStyle w:val="SingleTxtG"/>
      </w:pPr>
      <w:r w:rsidRPr="00BD492E">
        <w:t>5.</w:t>
      </w:r>
      <w:r w:rsidRPr="00BD492E">
        <w:tab/>
        <w:t>This present report provides the additional information requested by the Committee.</w:t>
      </w:r>
    </w:p>
    <w:p w14:paraId="4FB2B055" w14:textId="77777777" w:rsidR="00A15861" w:rsidRPr="00BB31E8" w:rsidRDefault="00A15861" w:rsidP="008247EF">
      <w:pPr>
        <w:pStyle w:val="HChG"/>
      </w:pPr>
      <w:r>
        <w:tab/>
      </w:r>
      <w:r>
        <w:tab/>
        <w:t>F</w:t>
      </w:r>
      <w:r w:rsidRPr="00BB31E8">
        <w:t>ollow-up responses</w:t>
      </w:r>
    </w:p>
    <w:p w14:paraId="152396FB" w14:textId="77777777" w:rsidR="00A15861" w:rsidRDefault="00A15861" w:rsidP="00A15861">
      <w:pPr>
        <w:pStyle w:val="H1G"/>
      </w:pPr>
      <w:r>
        <w:tab/>
      </w:r>
      <w:r>
        <w:tab/>
        <w:t>V</w:t>
      </w:r>
      <w:r w:rsidRPr="00BB31E8">
        <w:t>iolence against women</w:t>
      </w:r>
    </w:p>
    <w:p w14:paraId="1163D674" w14:textId="77777777" w:rsidR="00A15861" w:rsidRPr="00BD1C0A" w:rsidRDefault="00A15861" w:rsidP="00A15861">
      <w:pPr>
        <w:pStyle w:val="H23G"/>
      </w:pPr>
      <w:r>
        <w:tab/>
      </w:r>
      <w:r>
        <w:tab/>
      </w:r>
      <w:r w:rsidRPr="00BD1C0A">
        <w:t>Kenya should</w:t>
      </w:r>
      <w:r>
        <w:t xml:space="preserve"> c</w:t>
      </w:r>
      <w:r w:rsidRPr="00BD1C0A">
        <w:t>ontinue and expand its efforts to prevent and address female genital mutilation, including through prosecution and punishment, awareness-raising, sensitization, cross-border cooperation and data collection;</w:t>
      </w:r>
    </w:p>
    <w:p w14:paraId="3E26ED9E" w14:textId="77777777" w:rsidR="00A15861" w:rsidRPr="00BB31E8" w:rsidRDefault="00A15861" w:rsidP="00A15861">
      <w:pPr>
        <w:pStyle w:val="H4G"/>
      </w:pPr>
      <w:r>
        <w:tab/>
      </w:r>
      <w:r>
        <w:tab/>
        <w:t>Response</w:t>
      </w:r>
    </w:p>
    <w:p w14:paraId="76769931" w14:textId="052EE31B" w:rsidR="00A15861" w:rsidRPr="00BD492E" w:rsidRDefault="00A15861" w:rsidP="00A15861">
      <w:pPr>
        <w:pStyle w:val="SingleTxtG"/>
      </w:pPr>
      <w:r w:rsidRPr="00BD492E">
        <w:t>6.</w:t>
      </w:r>
      <w:r w:rsidRPr="00BD492E">
        <w:tab/>
        <w:t>In this reporting period, the Government of Kenya has intensified its efforts to eradicate FGM within its borders. Following the 2019 presidential directive to end FGM in Kenya by 2022, many counties, state, and non-</w:t>
      </w:r>
      <w:r w:rsidR="00DD583D">
        <w:t>s</w:t>
      </w:r>
      <w:r w:rsidRPr="00BD492E">
        <w:t>tate actors have taken up the challenge and come up with innovative techniques to end FGM in Kenya. The innovations include anti-FGM declarations and heightened collaborative approaches towards the implementation of anti-FGM programmes. Declarations form powerful communal pronouncements with explicit statements against a vice in this case FGM.</w:t>
      </w:r>
    </w:p>
    <w:p w14:paraId="3EDFE1FD" w14:textId="77777777" w:rsidR="00A15861" w:rsidRPr="00BD492E" w:rsidRDefault="00A15861" w:rsidP="00A15861">
      <w:pPr>
        <w:pStyle w:val="SingleTxtG"/>
      </w:pPr>
      <w:r w:rsidRPr="00BD492E">
        <w:t>7.</w:t>
      </w:r>
      <w:r w:rsidRPr="00BD492E">
        <w:tab/>
        <w:t>County Anti-FGM steering committees are now operational in all the 22 counties classified as hotspot. The committees which are chaired by the County Commissioners are required to monitor the FGM situation in their respective counties and report accordingly on a quarterly basis to the Multi-Agency Technical Committee.</w:t>
      </w:r>
    </w:p>
    <w:p w14:paraId="2DED840C" w14:textId="77777777" w:rsidR="00A15861" w:rsidRPr="00BD492E" w:rsidRDefault="00A15861" w:rsidP="00A15861">
      <w:pPr>
        <w:pStyle w:val="SingleTxtG"/>
      </w:pPr>
      <w:r w:rsidRPr="00BD492E">
        <w:t>8.</w:t>
      </w:r>
      <w:r w:rsidRPr="00BD492E">
        <w:tab/>
        <w:t>In the year 2022, the Government of Kenya with support from UNICEF developed county costed action plans to eliminate FGM and utilize the innovative mobile application (PASHA) to promote reporting and rescue of girls at risk which increased from the then ongoing drought emergency and the long school holidays.</w:t>
      </w:r>
    </w:p>
    <w:p w14:paraId="0BEF91BC" w14:textId="6FA9328E" w:rsidR="00A15861" w:rsidRPr="00BD492E" w:rsidRDefault="00A15861" w:rsidP="00A15861">
      <w:pPr>
        <w:pStyle w:val="SingleTxtG"/>
      </w:pPr>
      <w:r w:rsidRPr="00BD492E">
        <w:t>9.</w:t>
      </w:r>
      <w:r w:rsidRPr="00BD492E">
        <w:tab/>
        <w:t>In addressing the issue of cross boarder FGM, there has been concerted efforts and collaboration between community-based organizations, law enforcement agencies and community policing agents in intensifying the enforcement of the law in Kenya. In 2016, the East African Community passed the East African Community Prohibition of Female Genital Mutilation Act that made FGM a transnational crime between the member States.</w:t>
      </w:r>
      <w:r w:rsidR="002908D5">
        <w:t xml:space="preserve"> </w:t>
      </w:r>
      <w:r w:rsidRPr="00BD492E">
        <w:t xml:space="preserve">In April 2019, following the inaugural regional inter-ministerial meeting between Kenya, Tanzania, </w:t>
      </w:r>
      <w:r w:rsidRPr="00BD492E">
        <w:lastRenderedPageBreak/>
        <w:t>Uganda, Ethiopia and Somalia a Declaration and Action Plan to End Cross Border FGM was adopted. These initiatives have provided effective and efficient coordination and collaborations among the State and improvement on legislation, policy framework and the environment to end cross border FGM.</w:t>
      </w:r>
    </w:p>
    <w:p w14:paraId="00B696D1" w14:textId="77777777" w:rsidR="00A15861" w:rsidRPr="00BD492E" w:rsidRDefault="00A15861" w:rsidP="00A15861">
      <w:pPr>
        <w:pStyle w:val="SingleTxtG"/>
      </w:pPr>
      <w:r w:rsidRPr="00BD492E">
        <w:t>10.</w:t>
      </w:r>
      <w:r w:rsidRPr="00BD492E">
        <w:tab/>
        <w:t>The Government has continued to encourage initiatives by non-state actors in addressing the issues of female genital mutilation. For instance, the launching of Alale Anti-FGM Project in Pokot by the World Vision Child Protection in May 2022 to create awareness on FGM and address the emerging issue of cross-border FGM.</w:t>
      </w:r>
    </w:p>
    <w:p w14:paraId="77C48845" w14:textId="77777777" w:rsidR="00A15861" w:rsidRPr="00BD492E" w:rsidRDefault="00A15861" w:rsidP="00A15861">
      <w:pPr>
        <w:pStyle w:val="SingleTxtG"/>
      </w:pPr>
      <w:r w:rsidRPr="00BD492E">
        <w:t>11.</w:t>
      </w:r>
      <w:r w:rsidRPr="00BD492E">
        <w:tab/>
        <w:t>County Anti-FGM steering committees are now operational in all the 22 counties classified as hotspot. The committees which are chaired by the County Commissioners are required to monitor the FGM situation in their respective counties and report accordingly on a quarterly basis to the Multi-Agency Technical Committee. The table below provides data on law enforcement and girls who were facilitated to go through Alternative Rights of Passage (ARP).</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694"/>
        <w:gridCol w:w="923"/>
        <w:gridCol w:w="1077"/>
        <w:gridCol w:w="922"/>
        <w:gridCol w:w="1328"/>
      </w:tblGrid>
      <w:tr w:rsidR="00231AB0" w:rsidRPr="00231AB0" w14:paraId="0839A69D" w14:textId="77777777" w:rsidTr="00231AB0">
        <w:trPr>
          <w:tblHeader/>
        </w:trPr>
        <w:tc>
          <w:tcPr>
            <w:tcW w:w="426" w:type="dxa"/>
            <w:tcBorders>
              <w:top w:val="single" w:sz="4" w:space="0" w:color="auto"/>
              <w:bottom w:val="single" w:sz="12" w:space="0" w:color="auto"/>
            </w:tcBorders>
            <w:shd w:val="clear" w:color="auto" w:fill="auto"/>
            <w:vAlign w:val="bottom"/>
            <w:hideMark/>
          </w:tcPr>
          <w:p w14:paraId="49ACAFAF" w14:textId="77777777" w:rsidR="00A15861" w:rsidRPr="00231AB0" w:rsidRDefault="00A15861" w:rsidP="00231AB0">
            <w:pPr>
              <w:suppressAutoHyphens w:val="0"/>
              <w:spacing w:before="80" w:after="80" w:line="200" w:lineRule="exact"/>
              <w:ind w:right="113"/>
              <w:rPr>
                <w:bCs/>
                <w:i/>
                <w:sz w:val="16"/>
                <w:szCs w:val="24"/>
              </w:rPr>
            </w:pPr>
            <w:r w:rsidRPr="00231AB0">
              <w:rPr>
                <w:bCs/>
                <w:i/>
                <w:sz w:val="16"/>
                <w:szCs w:val="24"/>
              </w:rPr>
              <w:t>No.</w:t>
            </w:r>
          </w:p>
        </w:tc>
        <w:tc>
          <w:tcPr>
            <w:tcW w:w="2694" w:type="dxa"/>
            <w:tcBorders>
              <w:top w:val="single" w:sz="4" w:space="0" w:color="auto"/>
              <w:bottom w:val="single" w:sz="12" w:space="0" w:color="auto"/>
            </w:tcBorders>
            <w:shd w:val="clear" w:color="auto" w:fill="auto"/>
            <w:vAlign w:val="bottom"/>
            <w:hideMark/>
          </w:tcPr>
          <w:p w14:paraId="00DCB242" w14:textId="77777777" w:rsidR="00A15861" w:rsidRPr="00231AB0" w:rsidRDefault="00A15861" w:rsidP="00231AB0">
            <w:pPr>
              <w:suppressAutoHyphens w:val="0"/>
              <w:spacing w:before="80" w:after="80" w:line="200" w:lineRule="exact"/>
              <w:ind w:right="113"/>
              <w:rPr>
                <w:bCs/>
                <w:i/>
                <w:sz w:val="16"/>
                <w:szCs w:val="24"/>
              </w:rPr>
            </w:pPr>
            <w:r w:rsidRPr="00231AB0">
              <w:rPr>
                <w:bCs/>
                <w:i/>
                <w:sz w:val="16"/>
                <w:szCs w:val="24"/>
              </w:rPr>
              <w:t>Issue</w:t>
            </w:r>
          </w:p>
        </w:tc>
        <w:tc>
          <w:tcPr>
            <w:tcW w:w="923" w:type="dxa"/>
            <w:tcBorders>
              <w:top w:val="single" w:sz="4" w:space="0" w:color="auto"/>
              <w:bottom w:val="single" w:sz="12" w:space="0" w:color="auto"/>
            </w:tcBorders>
            <w:shd w:val="clear" w:color="auto" w:fill="auto"/>
            <w:vAlign w:val="bottom"/>
            <w:hideMark/>
          </w:tcPr>
          <w:p w14:paraId="2DAF2DBF" w14:textId="77777777" w:rsidR="00A15861" w:rsidRPr="00231AB0" w:rsidRDefault="00A15861" w:rsidP="00231AB0">
            <w:pPr>
              <w:suppressAutoHyphens w:val="0"/>
              <w:spacing w:before="80" w:after="80" w:line="200" w:lineRule="exact"/>
              <w:ind w:right="113"/>
              <w:jc w:val="right"/>
              <w:rPr>
                <w:bCs/>
                <w:i/>
                <w:sz w:val="16"/>
                <w:szCs w:val="24"/>
              </w:rPr>
            </w:pPr>
            <w:r w:rsidRPr="00231AB0">
              <w:rPr>
                <w:bCs/>
                <w:i/>
                <w:sz w:val="16"/>
                <w:szCs w:val="24"/>
              </w:rPr>
              <w:t>June to Nov 2020</w:t>
            </w:r>
          </w:p>
        </w:tc>
        <w:tc>
          <w:tcPr>
            <w:tcW w:w="1077" w:type="dxa"/>
            <w:tcBorders>
              <w:top w:val="single" w:sz="4" w:space="0" w:color="auto"/>
              <w:bottom w:val="single" w:sz="12" w:space="0" w:color="auto"/>
            </w:tcBorders>
            <w:shd w:val="clear" w:color="auto" w:fill="auto"/>
            <w:vAlign w:val="bottom"/>
          </w:tcPr>
          <w:p w14:paraId="347AD2D4" w14:textId="77777777" w:rsidR="00A15861" w:rsidRPr="00231AB0" w:rsidRDefault="00A15861" w:rsidP="00231AB0">
            <w:pPr>
              <w:suppressAutoHyphens w:val="0"/>
              <w:spacing w:before="80" w:after="80" w:line="200" w:lineRule="exact"/>
              <w:ind w:right="113"/>
              <w:jc w:val="right"/>
              <w:rPr>
                <w:bCs/>
                <w:i/>
                <w:sz w:val="16"/>
                <w:szCs w:val="24"/>
              </w:rPr>
            </w:pPr>
            <w:r w:rsidRPr="00231AB0">
              <w:rPr>
                <w:bCs/>
                <w:i/>
                <w:sz w:val="16"/>
                <w:szCs w:val="24"/>
              </w:rPr>
              <w:t>Dec to May 2021</w:t>
            </w:r>
          </w:p>
        </w:tc>
        <w:tc>
          <w:tcPr>
            <w:tcW w:w="922" w:type="dxa"/>
            <w:tcBorders>
              <w:top w:val="single" w:sz="4" w:space="0" w:color="auto"/>
              <w:bottom w:val="single" w:sz="12" w:space="0" w:color="auto"/>
            </w:tcBorders>
            <w:shd w:val="clear" w:color="auto" w:fill="auto"/>
            <w:vAlign w:val="bottom"/>
          </w:tcPr>
          <w:p w14:paraId="66F6D735" w14:textId="77777777" w:rsidR="00A15861" w:rsidRPr="00231AB0" w:rsidRDefault="00A15861" w:rsidP="00231AB0">
            <w:pPr>
              <w:suppressAutoHyphens w:val="0"/>
              <w:spacing w:before="80" w:after="80" w:line="200" w:lineRule="exact"/>
              <w:ind w:right="113"/>
              <w:jc w:val="right"/>
              <w:rPr>
                <w:bCs/>
                <w:i/>
                <w:sz w:val="16"/>
                <w:szCs w:val="24"/>
              </w:rPr>
            </w:pPr>
            <w:r w:rsidRPr="00231AB0">
              <w:rPr>
                <w:bCs/>
                <w:i/>
                <w:sz w:val="16"/>
                <w:szCs w:val="24"/>
              </w:rPr>
              <w:t>June to Nov 2021</w:t>
            </w:r>
          </w:p>
        </w:tc>
        <w:tc>
          <w:tcPr>
            <w:tcW w:w="1328" w:type="dxa"/>
            <w:tcBorders>
              <w:top w:val="single" w:sz="4" w:space="0" w:color="auto"/>
              <w:bottom w:val="single" w:sz="12" w:space="0" w:color="auto"/>
            </w:tcBorders>
            <w:shd w:val="clear" w:color="auto" w:fill="auto"/>
            <w:vAlign w:val="bottom"/>
          </w:tcPr>
          <w:p w14:paraId="26AAF9B0" w14:textId="77777777" w:rsidR="00A15861" w:rsidRPr="00231AB0" w:rsidRDefault="00A15861" w:rsidP="00231AB0">
            <w:pPr>
              <w:suppressAutoHyphens w:val="0"/>
              <w:spacing w:before="80" w:after="80" w:line="200" w:lineRule="exact"/>
              <w:ind w:right="113"/>
              <w:jc w:val="right"/>
              <w:rPr>
                <w:bCs/>
                <w:i/>
                <w:sz w:val="16"/>
                <w:szCs w:val="24"/>
              </w:rPr>
            </w:pPr>
            <w:r w:rsidRPr="00231AB0">
              <w:rPr>
                <w:bCs/>
                <w:i/>
                <w:sz w:val="16"/>
                <w:szCs w:val="24"/>
              </w:rPr>
              <w:t>December to May 2022</w:t>
            </w:r>
          </w:p>
        </w:tc>
      </w:tr>
      <w:tr w:rsidR="00A15861" w:rsidRPr="00231AB0" w14:paraId="206E4C1D" w14:textId="77777777" w:rsidTr="00231AB0">
        <w:tc>
          <w:tcPr>
            <w:tcW w:w="426" w:type="dxa"/>
            <w:tcBorders>
              <w:top w:val="single" w:sz="12" w:space="0" w:color="auto"/>
            </w:tcBorders>
            <w:shd w:val="clear" w:color="auto" w:fill="auto"/>
            <w:hideMark/>
          </w:tcPr>
          <w:p w14:paraId="26B98810"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1.</w:t>
            </w:r>
          </w:p>
        </w:tc>
        <w:tc>
          <w:tcPr>
            <w:tcW w:w="2694" w:type="dxa"/>
            <w:tcBorders>
              <w:top w:val="single" w:sz="12" w:space="0" w:color="auto"/>
            </w:tcBorders>
            <w:shd w:val="clear" w:color="auto" w:fill="auto"/>
            <w:vAlign w:val="bottom"/>
            <w:hideMark/>
          </w:tcPr>
          <w:p w14:paraId="36A59C0A"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No. of FGM cases Reported</w:t>
            </w:r>
          </w:p>
        </w:tc>
        <w:tc>
          <w:tcPr>
            <w:tcW w:w="923" w:type="dxa"/>
            <w:tcBorders>
              <w:top w:val="single" w:sz="12" w:space="0" w:color="auto"/>
            </w:tcBorders>
            <w:shd w:val="clear" w:color="auto" w:fill="auto"/>
            <w:vAlign w:val="bottom"/>
            <w:hideMark/>
          </w:tcPr>
          <w:p w14:paraId="0A5FF764"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192</w:t>
            </w:r>
          </w:p>
        </w:tc>
        <w:tc>
          <w:tcPr>
            <w:tcW w:w="1077" w:type="dxa"/>
            <w:tcBorders>
              <w:top w:val="single" w:sz="12" w:space="0" w:color="auto"/>
            </w:tcBorders>
            <w:shd w:val="clear" w:color="auto" w:fill="auto"/>
            <w:vAlign w:val="bottom"/>
          </w:tcPr>
          <w:p w14:paraId="1EA25CF2"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117</w:t>
            </w:r>
          </w:p>
        </w:tc>
        <w:tc>
          <w:tcPr>
            <w:tcW w:w="922" w:type="dxa"/>
            <w:tcBorders>
              <w:top w:val="single" w:sz="12" w:space="0" w:color="auto"/>
            </w:tcBorders>
            <w:shd w:val="clear" w:color="auto" w:fill="auto"/>
            <w:vAlign w:val="bottom"/>
          </w:tcPr>
          <w:p w14:paraId="55D46A6F"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92</w:t>
            </w:r>
          </w:p>
        </w:tc>
        <w:tc>
          <w:tcPr>
            <w:tcW w:w="1328" w:type="dxa"/>
            <w:tcBorders>
              <w:top w:val="single" w:sz="12" w:space="0" w:color="auto"/>
            </w:tcBorders>
            <w:shd w:val="clear" w:color="auto" w:fill="auto"/>
            <w:vAlign w:val="bottom"/>
          </w:tcPr>
          <w:p w14:paraId="5103F8D8"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100</w:t>
            </w:r>
          </w:p>
        </w:tc>
      </w:tr>
      <w:tr w:rsidR="00A15861" w:rsidRPr="00231AB0" w14:paraId="70D75131" w14:textId="77777777" w:rsidTr="00231AB0">
        <w:tc>
          <w:tcPr>
            <w:tcW w:w="426" w:type="dxa"/>
            <w:shd w:val="clear" w:color="auto" w:fill="auto"/>
            <w:hideMark/>
          </w:tcPr>
          <w:p w14:paraId="426ABF9D"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2.</w:t>
            </w:r>
          </w:p>
        </w:tc>
        <w:tc>
          <w:tcPr>
            <w:tcW w:w="2694" w:type="dxa"/>
            <w:shd w:val="clear" w:color="auto" w:fill="auto"/>
            <w:vAlign w:val="bottom"/>
            <w:hideMark/>
          </w:tcPr>
          <w:p w14:paraId="1445C407"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No. of girls rescued from FGM</w:t>
            </w:r>
          </w:p>
        </w:tc>
        <w:tc>
          <w:tcPr>
            <w:tcW w:w="923" w:type="dxa"/>
            <w:shd w:val="clear" w:color="auto" w:fill="auto"/>
            <w:vAlign w:val="bottom"/>
            <w:hideMark/>
          </w:tcPr>
          <w:p w14:paraId="537DF9CA"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205</w:t>
            </w:r>
          </w:p>
        </w:tc>
        <w:tc>
          <w:tcPr>
            <w:tcW w:w="1077" w:type="dxa"/>
            <w:shd w:val="clear" w:color="auto" w:fill="auto"/>
            <w:vAlign w:val="bottom"/>
          </w:tcPr>
          <w:p w14:paraId="22E48B88"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200</w:t>
            </w:r>
          </w:p>
        </w:tc>
        <w:tc>
          <w:tcPr>
            <w:tcW w:w="922" w:type="dxa"/>
            <w:shd w:val="clear" w:color="auto" w:fill="auto"/>
            <w:vAlign w:val="bottom"/>
          </w:tcPr>
          <w:p w14:paraId="34C9AF62"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37</w:t>
            </w:r>
          </w:p>
        </w:tc>
        <w:tc>
          <w:tcPr>
            <w:tcW w:w="1328" w:type="dxa"/>
            <w:shd w:val="clear" w:color="auto" w:fill="auto"/>
            <w:vAlign w:val="bottom"/>
          </w:tcPr>
          <w:p w14:paraId="385A0750"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445</w:t>
            </w:r>
          </w:p>
        </w:tc>
      </w:tr>
      <w:tr w:rsidR="00A15861" w:rsidRPr="00231AB0" w14:paraId="5FEF29B4" w14:textId="77777777" w:rsidTr="00231AB0">
        <w:tc>
          <w:tcPr>
            <w:tcW w:w="426" w:type="dxa"/>
            <w:shd w:val="clear" w:color="auto" w:fill="auto"/>
            <w:hideMark/>
          </w:tcPr>
          <w:p w14:paraId="0F52A96F"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3.</w:t>
            </w:r>
          </w:p>
        </w:tc>
        <w:tc>
          <w:tcPr>
            <w:tcW w:w="2694" w:type="dxa"/>
            <w:shd w:val="clear" w:color="auto" w:fill="auto"/>
            <w:vAlign w:val="bottom"/>
            <w:hideMark/>
          </w:tcPr>
          <w:p w14:paraId="713AB8B3"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No. of FGM perpetrators arrested</w:t>
            </w:r>
          </w:p>
        </w:tc>
        <w:tc>
          <w:tcPr>
            <w:tcW w:w="923" w:type="dxa"/>
            <w:shd w:val="clear" w:color="auto" w:fill="auto"/>
            <w:vAlign w:val="bottom"/>
            <w:hideMark/>
          </w:tcPr>
          <w:p w14:paraId="74CC9FC3"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61</w:t>
            </w:r>
          </w:p>
        </w:tc>
        <w:tc>
          <w:tcPr>
            <w:tcW w:w="1077" w:type="dxa"/>
            <w:shd w:val="clear" w:color="auto" w:fill="auto"/>
            <w:vAlign w:val="bottom"/>
          </w:tcPr>
          <w:p w14:paraId="6919FC0A"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37</w:t>
            </w:r>
          </w:p>
        </w:tc>
        <w:tc>
          <w:tcPr>
            <w:tcW w:w="922" w:type="dxa"/>
            <w:shd w:val="clear" w:color="auto" w:fill="auto"/>
            <w:vAlign w:val="bottom"/>
          </w:tcPr>
          <w:p w14:paraId="24E703BF"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36</w:t>
            </w:r>
          </w:p>
        </w:tc>
        <w:tc>
          <w:tcPr>
            <w:tcW w:w="1328" w:type="dxa"/>
            <w:shd w:val="clear" w:color="auto" w:fill="auto"/>
            <w:vAlign w:val="bottom"/>
          </w:tcPr>
          <w:p w14:paraId="4D877061"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45</w:t>
            </w:r>
          </w:p>
        </w:tc>
      </w:tr>
      <w:tr w:rsidR="00A15861" w:rsidRPr="00231AB0" w14:paraId="508EC031" w14:textId="77777777" w:rsidTr="00231AB0">
        <w:tc>
          <w:tcPr>
            <w:tcW w:w="426" w:type="dxa"/>
            <w:shd w:val="clear" w:color="auto" w:fill="auto"/>
            <w:hideMark/>
          </w:tcPr>
          <w:p w14:paraId="751FD0E1"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4.</w:t>
            </w:r>
          </w:p>
        </w:tc>
        <w:tc>
          <w:tcPr>
            <w:tcW w:w="2694" w:type="dxa"/>
            <w:shd w:val="clear" w:color="auto" w:fill="auto"/>
            <w:vAlign w:val="bottom"/>
            <w:hideMark/>
          </w:tcPr>
          <w:p w14:paraId="609D368E"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No. of ongoing FGM prosecutions</w:t>
            </w:r>
          </w:p>
        </w:tc>
        <w:tc>
          <w:tcPr>
            <w:tcW w:w="923" w:type="dxa"/>
            <w:shd w:val="clear" w:color="auto" w:fill="auto"/>
            <w:vAlign w:val="bottom"/>
            <w:hideMark/>
          </w:tcPr>
          <w:p w14:paraId="0A42D84E"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53</w:t>
            </w:r>
          </w:p>
        </w:tc>
        <w:tc>
          <w:tcPr>
            <w:tcW w:w="1077" w:type="dxa"/>
            <w:shd w:val="clear" w:color="auto" w:fill="auto"/>
            <w:vAlign w:val="bottom"/>
          </w:tcPr>
          <w:p w14:paraId="4170DF55"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34</w:t>
            </w:r>
          </w:p>
        </w:tc>
        <w:tc>
          <w:tcPr>
            <w:tcW w:w="922" w:type="dxa"/>
            <w:shd w:val="clear" w:color="auto" w:fill="auto"/>
            <w:vAlign w:val="bottom"/>
          </w:tcPr>
          <w:p w14:paraId="2234A628"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36</w:t>
            </w:r>
          </w:p>
        </w:tc>
        <w:tc>
          <w:tcPr>
            <w:tcW w:w="1328" w:type="dxa"/>
            <w:shd w:val="clear" w:color="auto" w:fill="auto"/>
            <w:vAlign w:val="bottom"/>
          </w:tcPr>
          <w:p w14:paraId="58D7240C"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341</w:t>
            </w:r>
          </w:p>
        </w:tc>
      </w:tr>
      <w:tr w:rsidR="00A15861" w:rsidRPr="00231AB0" w14:paraId="3A813A70" w14:textId="77777777" w:rsidTr="00231AB0">
        <w:tc>
          <w:tcPr>
            <w:tcW w:w="426" w:type="dxa"/>
            <w:shd w:val="clear" w:color="auto" w:fill="auto"/>
          </w:tcPr>
          <w:p w14:paraId="0F6FFDDB" w14:textId="6BD30E1D" w:rsidR="00A15861" w:rsidRPr="00231AB0" w:rsidRDefault="00A15861" w:rsidP="00231AB0">
            <w:pPr>
              <w:suppressAutoHyphens w:val="0"/>
              <w:spacing w:before="40" w:after="40" w:line="220" w:lineRule="exact"/>
              <w:ind w:right="113"/>
              <w:rPr>
                <w:sz w:val="18"/>
                <w:szCs w:val="24"/>
              </w:rPr>
            </w:pPr>
            <w:r w:rsidRPr="00231AB0">
              <w:rPr>
                <w:sz w:val="18"/>
                <w:szCs w:val="24"/>
              </w:rPr>
              <w:t>5</w:t>
            </w:r>
            <w:r w:rsidR="00B761CF">
              <w:rPr>
                <w:sz w:val="18"/>
                <w:szCs w:val="24"/>
              </w:rPr>
              <w:t>.</w:t>
            </w:r>
          </w:p>
        </w:tc>
        <w:tc>
          <w:tcPr>
            <w:tcW w:w="2694" w:type="dxa"/>
            <w:shd w:val="clear" w:color="auto" w:fill="auto"/>
            <w:vAlign w:val="bottom"/>
          </w:tcPr>
          <w:p w14:paraId="566A7D2B" w14:textId="77777777" w:rsidR="00A15861" w:rsidRPr="00231AB0" w:rsidRDefault="00A15861" w:rsidP="00231AB0">
            <w:pPr>
              <w:suppressAutoHyphens w:val="0"/>
              <w:spacing w:before="40" w:after="40" w:line="220" w:lineRule="exact"/>
              <w:ind w:right="113"/>
              <w:rPr>
                <w:sz w:val="18"/>
                <w:szCs w:val="24"/>
              </w:rPr>
            </w:pPr>
            <w:r w:rsidRPr="00231AB0">
              <w:rPr>
                <w:sz w:val="18"/>
                <w:szCs w:val="24"/>
              </w:rPr>
              <w:t>No. of girls undergoing ARP</w:t>
            </w:r>
          </w:p>
        </w:tc>
        <w:tc>
          <w:tcPr>
            <w:tcW w:w="923" w:type="dxa"/>
            <w:shd w:val="clear" w:color="auto" w:fill="auto"/>
            <w:vAlign w:val="bottom"/>
          </w:tcPr>
          <w:p w14:paraId="4E50C6D1" w14:textId="77777777" w:rsidR="00A15861" w:rsidRPr="00231AB0" w:rsidRDefault="00A15861" w:rsidP="00231AB0">
            <w:pPr>
              <w:suppressAutoHyphens w:val="0"/>
              <w:spacing w:before="40" w:after="40" w:line="220" w:lineRule="exact"/>
              <w:ind w:right="113"/>
              <w:jc w:val="right"/>
              <w:rPr>
                <w:sz w:val="18"/>
                <w:szCs w:val="24"/>
              </w:rPr>
            </w:pPr>
          </w:p>
        </w:tc>
        <w:tc>
          <w:tcPr>
            <w:tcW w:w="1077" w:type="dxa"/>
            <w:shd w:val="clear" w:color="auto" w:fill="auto"/>
            <w:vAlign w:val="bottom"/>
          </w:tcPr>
          <w:p w14:paraId="0BE824DC" w14:textId="2BD6DAF2" w:rsidR="00A15861" w:rsidRPr="00231AB0" w:rsidRDefault="00A15861" w:rsidP="00231AB0">
            <w:pPr>
              <w:suppressAutoHyphens w:val="0"/>
              <w:spacing w:before="40" w:after="40" w:line="220" w:lineRule="exact"/>
              <w:ind w:right="113"/>
              <w:jc w:val="right"/>
              <w:rPr>
                <w:sz w:val="18"/>
                <w:szCs w:val="24"/>
              </w:rPr>
            </w:pPr>
            <w:r w:rsidRPr="00231AB0">
              <w:rPr>
                <w:sz w:val="18"/>
                <w:szCs w:val="24"/>
              </w:rPr>
              <w:t>28</w:t>
            </w:r>
            <w:r w:rsidR="00231AB0">
              <w:rPr>
                <w:sz w:val="18"/>
                <w:szCs w:val="24"/>
              </w:rPr>
              <w:t xml:space="preserve"> </w:t>
            </w:r>
            <w:r w:rsidRPr="00231AB0">
              <w:rPr>
                <w:sz w:val="18"/>
                <w:szCs w:val="24"/>
              </w:rPr>
              <w:t>970</w:t>
            </w:r>
          </w:p>
        </w:tc>
        <w:tc>
          <w:tcPr>
            <w:tcW w:w="922" w:type="dxa"/>
            <w:shd w:val="clear" w:color="auto" w:fill="auto"/>
            <w:vAlign w:val="bottom"/>
          </w:tcPr>
          <w:p w14:paraId="63DAB2BC" w14:textId="77777777" w:rsidR="00A15861" w:rsidRPr="00231AB0" w:rsidRDefault="00A15861" w:rsidP="00231AB0">
            <w:pPr>
              <w:suppressAutoHyphens w:val="0"/>
              <w:spacing w:before="40" w:after="40" w:line="220" w:lineRule="exact"/>
              <w:ind w:right="113"/>
              <w:jc w:val="right"/>
              <w:rPr>
                <w:sz w:val="18"/>
                <w:szCs w:val="24"/>
              </w:rPr>
            </w:pPr>
            <w:r w:rsidRPr="00231AB0">
              <w:rPr>
                <w:sz w:val="18"/>
                <w:szCs w:val="24"/>
              </w:rPr>
              <w:t>858</w:t>
            </w:r>
          </w:p>
        </w:tc>
        <w:tc>
          <w:tcPr>
            <w:tcW w:w="1328" w:type="dxa"/>
            <w:shd w:val="clear" w:color="auto" w:fill="auto"/>
            <w:vAlign w:val="bottom"/>
          </w:tcPr>
          <w:p w14:paraId="5807B395" w14:textId="00090BA9" w:rsidR="00A15861" w:rsidRPr="00231AB0" w:rsidRDefault="00A15861" w:rsidP="00231AB0">
            <w:pPr>
              <w:suppressAutoHyphens w:val="0"/>
              <w:spacing w:before="40" w:after="40" w:line="220" w:lineRule="exact"/>
              <w:ind w:right="113"/>
              <w:jc w:val="right"/>
              <w:rPr>
                <w:sz w:val="18"/>
                <w:szCs w:val="24"/>
              </w:rPr>
            </w:pPr>
            <w:r w:rsidRPr="00231AB0">
              <w:rPr>
                <w:sz w:val="18"/>
                <w:szCs w:val="24"/>
              </w:rPr>
              <w:t>4</w:t>
            </w:r>
            <w:r w:rsidR="007F21A2">
              <w:rPr>
                <w:sz w:val="18"/>
                <w:szCs w:val="24"/>
              </w:rPr>
              <w:t xml:space="preserve"> </w:t>
            </w:r>
            <w:r w:rsidRPr="00231AB0">
              <w:rPr>
                <w:sz w:val="18"/>
                <w:szCs w:val="24"/>
              </w:rPr>
              <w:t>004</w:t>
            </w:r>
          </w:p>
        </w:tc>
      </w:tr>
    </w:tbl>
    <w:p w14:paraId="0AABB654" w14:textId="77777777" w:rsidR="00A15861" w:rsidRPr="002A3FDE" w:rsidRDefault="00A15861" w:rsidP="002A3FDE">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1701"/>
        <w:gridCol w:w="1701"/>
        <w:gridCol w:w="1559"/>
        <w:gridCol w:w="1983"/>
      </w:tblGrid>
      <w:tr w:rsidR="00684AE7" w:rsidRPr="00684AE7" w14:paraId="253FE33F" w14:textId="77777777" w:rsidTr="0057425E">
        <w:trPr>
          <w:tblHeader/>
        </w:trPr>
        <w:tc>
          <w:tcPr>
            <w:tcW w:w="7370" w:type="dxa"/>
            <w:gridSpan w:val="5"/>
            <w:tcBorders>
              <w:top w:val="single" w:sz="4" w:space="0" w:color="auto"/>
              <w:bottom w:val="single" w:sz="4" w:space="0" w:color="auto"/>
            </w:tcBorders>
            <w:shd w:val="clear" w:color="auto" w:fill="auto"/>
            <w:vAlign w:val="bottom"/>
          </w:tcPr>
          <w:p w14:paraId="787E6D9C" w14:textId="5802C51A" w:rsidR="00A15861" w:rsidRPr="00684AE7" w:rsidRDefault="00A15861" w:rsidP="00684AE7">
            <w:pPr>
              <w:suppressAutoHyphens w:val="0"/>
              <w:spacing w:before="80" w:after="80" w:line="200" w:lineRule="exact"/>
              <w:ind w:right="113"/>
              <w:rPr>
                <w:bCs/>
                <w:i/>
                <w:sz w:val="16"/>
                <w:szCs w:val="24"/>
              </w:rPr>
            </w:pPr>
            <w:r w:rsidRPr="00684AE7">
              <w:rPr>
                <w:bCs/>
                <w:i/>
                <w:sz w:val="16"/>
                <w:szCs w:val="24"/>
              </w:rPr>
              <w:t>Status of the FGM cases pending in court between December 2021</w:t>
            </w:r>
            <w:r w:rsidR="002A3FDE">
              <w:rPr>
                <w:bCs/>
                <w:i/>
                <w:sz w:val="16"/>
                <w:szCs w:val="24"/>
              </w:rPr>
              <w:t>–</w:t>
            </w:r>
            <w:r w:rsidRPr="00684AE7">
              <w:rPr>
                <w:bCs/>
                <w:i/>
                <w:sz w:val="16"/>
                <w:szCs w:val="24"/>
              </w:rPr>
              <w:t>June, 2022</w:t>
            </w:r>
          </w:p>
        </w:tc>
      </w:tr>
      <w:tr w:rsidR="00684AE7" w:rsidRPr="00193B08" w14:paraId="31640362" w14:textId="77777777" w:rsidTr="0057425E">
        <w:trPr>
          <w:tblHeader/>
        </w:trPr>
        <w:tc>
          <w:tcPr>
            <w:tcW w:w="426" w:type="dxa"/>
            <w:tcBorders>
              <w:top w:val="single" w:sz="4" w:space="0" w:color="auto"/>
              <w:bottom w:val="single" w:sz="12" w:space="0" w:color="auto"/>
            </w:tcBorders>
            <w:shd w:val="clear" w:color="auto" w:fill="auto"/>
          </w:tcPr>
          <w:p w14:paraId="1EFDBF2E" w14:textId="77777777" w:rsidR="00A15861" w:rsidRPr="00193B08" w:rsidRDefault="00A15861" w:rsidP="00684AE7">
            <w:pPr>
              <w:suppressAutoHyphens w:val="0"/>
              <w:spacing w:before="40" w:after="40" w:line="220" w:lineRule="exact"/>
              <w:ind w:right="113"/>
              <w:rPr>
                <w:bCs/>
                <w:i/>
                <w:sz w:val="16"/>
                <w:szCs w:val="22"/>
              </w:rPr>
            </w:pPr>
          </w:p>
        </w:tc>
        <w:tc>
          <w:tcPr>
            <w:tcW w:w="1701" w:type="dxa"/>
            <w:tcBorders>
              <w:top w:val="single" w:sz="4" w:space="0" w:color="auto"/>
              <w:bottom w:val="single" w:sz="12" w:space="0" w:color="auto"/>
            </w:tcBorders>
            <w:shd w:val="clear" w:color="auto" w:fill="auto"/>
          </w:tcPr>
          <w:p w14:paraId="079C12A5" w14:textId="5D8FF0D6" w:rsidR="00A15861" w:rsidRPr="00193B08" w:rsidRDefault="00193B08" w:rsidP="00684AE7">
            <w:pPr>
              <w:suppressAutoHyphens w:val="0"/>
              <w:spacing w:before="40" w:after="40" w:line="220" w:lineRule="exact"/>
              <w:ind w:right="113"/>
              <w:rPr>
                <w:bCs/>
                <w:i/>
                <w:sz w:val="16"/>
                <w:szCs w:val="22"/>
              </w:rPr>
            </w:pPr>
            <w:r w:rsidRPr="00193B08">
              <w:rPr>
                <w:bCs/>
                <w:i/>
                <w:sz w:val="16"/>
                <w:szCs w:val="22"/>
              </w:rPr>
              <w:t>C</w:t>
            </w:r>
            <w:r w:rsidR="00684AE7" w:rsidRPr="00193B08">
              <w:rPr>
                <w:bCs/>
                <w:i/>
                <w:sz w:val="16"/>
                <w:szCs w:val="22"/>
              </w:rPr>
              <w:t>ounty</w:t>
            </w:r>
          </w:p>
        </w:tc>
        <w:tc>
          <w:tcPr>
            <w:tcW w:w="1701" w:type="dxa"/>
            <w:tcBorders>
              <w:top w:val="single" w:sz="4" w:space="0" w:color="auto"/>
              <w:bottom w:val="single" w:sz="12" w:space="0" w:color="auto"/>
            </w:tcBorders>
            <w:shd w:val="clear" w:color="auto" w:fill="auto"/>
          </w:tcPr>
          <w:p w14:paraId="0983E9A2" w14:textId="665F17F5" w:rsidR="00A15861" w:rsidRPr="00193B08" w:rsidRDefault="00193B08" w:rsidP="00BC0ABE">
            <w:pPr>
              <w:suppressAutoHyphens w:val="0"/>
              <w:spacing w:before="40" w:after="40" w:line="220" w:lineRule="exact"/>
              <w:ind w:right="113"/>
              <w:jc w:val="right"/>
              <w:rPr>
                <w:bCs/>
                <w:i/>
                <w:sz w:val="16"/>
                <w:szCs w:val="22"/>
              </w:rPr>
            </w:pPr>
            <w:r w:rsidRPr="00193B08">
              <w:rPr>
                <w:bCs/>
                <w:i/>
                <w:sz w:val="16"/>
                <w:szCs w:val="22"/>
              </w:rPr>
              <w:t>N</w:t>
            </w:r>
            <w:r w:rsidR="00684AE7" w:rsidRPr="00193B08">
              <w:rPr>
                <w:bCs/>
                <w:i/>
                <w:sz w:val="16"/>
                <w:szCs w:val="22"/>
              </w:rPr>
              <w:t>o. of cases registered</w:t>
            </w:r>
          </w:p>
        </w:tc>
        <w:tc>
          <w:tcPr>
            <w:tcW w:w="1559" w:type="dxa"/>
            <w:tcBorders>
              <w:top w:val="single" w:sz="4" w:space="0" w:color="auto"/>
              <w:bottom w:val="single" w:sz="12" w:space="0" w:color="auto"/>
            </w:tcBorders>
            <w:shd w:val="clear" w:color="auto" w:fill="auto"/>
          </w:tcPr>
          <w:p w14:paraId="24A6AD57" w14:textId="6A48D409" w:rsidR="00A15861" w:rsidRPr="00193B08" w:rsidRDefault="00193B08" w:rsidP="00BC0ABE">
            <w:pPr>
              <w:suppressAutoHyphens w:val="0"/>
              <w:spacing w:before="40" w:after="40" w:line="220" w:lineRule="exact"/>
              <w:ind w:right="113"/>
              <w:jc w:val="right"/>
              <w:rPr>
                <w:bCs/>
                <w:i/>
                <w:sz w:val="16"/>
                <w:szCs w:val="22"/>
              </w:rPr>
            </w:pPr>
            <w:r w:rsidRPr="00193B08">
              <w:rPr>
                <w:bCs/>
                <w:i/>
                <w:sz w:val="16"/>
                <w:szCs w:val="22"/>
              </w:rPr>
              <w:t>N</w:t>
            </w:r>
            <w:r w:rsidR="00684AE7" w:rsidRPr="00193B08">
              <w:rPr>
                <w:bCs/>
                <w:i/>
                <w:sz w:val="16"/>
                <w:szCs w:val="22"/>
              </w:rPr>
              <w:t>o. of cases finalized</w:t>
            </w:r>
          </w:p>
        </w:tc>
        <w:tc>
          <w:tcPr>
            <w:tcW w:w="1983" w:type="dxa"/>
            <w:tcBorders>
              <w:top w:val="single" w:sz="4" w:space="0" w:color="auto"/>
              <w:bottom w:val="single" w:sz="12" w:space="0" w:color="auto"/>
            </w:tcBorders>
            <w:shd w:val="clear" w:color="auto" w:fill="auto"/>
          </w:tcPr>
          <w:p w14:paraId="2954B301" w14:textId="60707352" w:rsidR="00A15861" w:rsidRPr="00193B08" w:rsidRDefault="00193B08" w:rsidP="00BC0ABE">
            <w:pPr>
              <w:suppressAutoHyphens w:val="0"/>
              <w:spacing w:before="40" w:after="40" w:line="220" w:lineRule="exact"/>
              <w:ind w:right="113"/>
              <w:jc w:val="right"/>
              <w:rPr>
                <w:bCs/>
                <w:i/>
                <w:sz w:val="16"/>
                <w:szCs w:val="22"/>
              </w:rPr>
            </w:pPr>
            <w:r w:rsidRPr="00193B08">
              <w:rPr>
                <w:bCs/>
                <w:i/>
                <w:sz w:val="16"/>
                <w:szCs w:val="22"/>
              </w:rPr>
              <w:t>N</w:t>
            </w:r>
            <w:r w:rsidR="00684AE7" w:rsidRPr="00193B08">
              <w:rPr>
                <w:bCs/>
                <w:i/>
                <w:sz w:val="16"/>
                <w:szCs w:val="22"/>
              </w:rPr>
              <w:t>o. of cases pending in court</w:t>
            </w:r>
          </w:p>
        </w:tc>
      </w:tr>
      <w:tr w:rsidR="00193B08" w:rsidRPr="00684AE7" w14:paraId="6D53B472" w14:textId="77777777" w:rsidTr="00B64E4D">
        <w:tc>
          <w:tcPr>
            <w:tcW w:w="426" w:type="dxa"/>
            <w:tcBorders>
              <w:top w:val="single" w:sz="12" w:space="0" w:color="auto"/>
            </w:tcBorders>
            <w:shd w:val="clear" w:color="auto" w:fill="auto"/>
          </w:tcPr>
          <w:p w14:paraId="64E28E28"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1.</w:t>
            </w:r>
          </w:p>
        </w:tc>
        <w:tc>
          <w:tcPr>
            <w:tcW w:w="1701" w:type="dxa"/>
            <w:tcBorders>
              <w:top w:val="single" w:sz="12" w:space="0" w:color="auto"/>
            </w:tcBorders>
            <w:shd w:val="clear" w:color="auto" w:fill="auto"/>
          </w:tcPr>
          <w:p w14:paraId="62748047"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Wajir</w:t>
            </w:r>
          </w:p>
        </w:tc>
        <w:tc>
          <w:tcPr>
            <w:tcW w:w="1701" w:type="dxa"/>
            <w:tcBorders>
              <w:top w:val="single" w:sz="12" w:space="0" w:color="auto"/>
            </w:tcBorders>
            <w:shd w:val="clear" w:color="auto" w:fill="auto"/>
          </w:tcPr>
          <w:p w14:paraId="2A6A0547"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tcBorders>
              <w:top w:val="single" w:sz="12" w:space="0" w:color="auto"/>
            </w:tcBorders>
            <w:shd w:val="clear" w:color="auto" w:fill="auto"/>
          </w:tcPr>
          <w:p w14:paraId="40593455" w14:textId="77777777" w:rsidR="00A15861" w:rsidRPr="00684AE7" w:rsidRDefault="00A15861" w:rsidP="00BC0ABE">
            <w:pPr>
              <w:suppressAutoHyphens w:val="0"/>
              <w:spacing w:before="40" w:after="40" w:line="220" w:lineRule="exact"/>
              <w:ind w:right="113"/>
              <w:jc w:val="right"/>
              <w:rPr>
                <w:sz w:val="18"/>
                <w:szCs w:val="24"/>
              </w:rPr>
            </w:pPr>
          </w:p>
        </w:tc>
        <w:tc>
          <w:tcPr>
            <w:tcW w:w="1983" w:type="dxa"/>
            <w:tcBorders>
              <w:top w:val="single" w:sz="12" w:space="0" w:color="auto"/>
            </w:tcBorders>
            <w:shd w:val="clear" w:color="auto" w:fill="auto"/>
          </w:tcPr>
          <w:p w14:paraId="39397BEB"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5421ACA3" w14:textId="77777777" w:rsidTr="00B64E4D">
        <w:tc>
          <w:tcPr>
            <w:tcW w:w="426" w:type="dxa"/>
            <w:shd w:val="clear" w:color="auto" w:fill="auto"/>
          </w:tcPr>
          <w:p w14:paraId="3F3E5D98"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2.</w:t>
            </w:r>
          </w:p>
        </w:tc>
        <w:tc>
          <w:tcPr>
            <w:tcW w:w="1701" w:type="dxa"/>
            <w:shd w:val="clear" w:color="auto" w:fill="auto"/>
          </w:tcPr>
          <w:p w14:paraId="56996483"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Bomet</w:t>
            </w:r>
          </w:p>
        </w:tc>
        <w:tc>
          <w:tcPr>
            <w:tcW w:w="1701" w:type="dxa"/>
            <w:shd w:val="clear" w:color="auto" w:fill="auto"/>
          </w:tcPr>
          <w:p w14:paraId="55B1DCB1"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3</w:t>
            </w:r>
          </w:p>
        </w:tc>
        <w:tc>
          <w:tcPr>
            <w:tcW w:w="1559" w:type="dxa"/>
            <w:shd w:val="clear" w:color="auto" w:fill="auto"/>
          </w:tcPr>
          <w:p w14:paraId="236C49BF"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0C55D6E4"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3</w:t>
            </w:r>
          </w:p>
        </w:tc>
      </w:tr>
      <w:tr w:rsidR="00193B08" w:rsidRPr="00684AE7" w14:paraId="5E4C4D88" w14:textId="77777777" w:rsidTr="00B64E4D">
        <w:tc>
          <w:tcPr>
            <w:tcW w:w="426" w:type="dxa"/>
            <w:shd w:val="clear" w:color="auto" w:fill="auto"/>
          </w:tcPr>
          <w:p w14:paraId="2AE8D1D1"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3.</w:t>
            </w:r>
          </w:p>
        </w:tc>
        <w:tc>
          <w:tcPr>
            <w:tcW w:w="1701" w:type="dxa"/>
            <w:shd w:val="clear" w:color="auto" w:fill="auto"/>
          </w:tcPr>
          <w:p w14:paraId="40C60848"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Samburu</w:t>
            </w:r>
          </w:p>
        </w:tc>
        <w:tc>
          <w:tcPr>
            <w:tcW w:w="1701" w:type="dxa"/>
            <w:shd w:val="clear" w:color="auto" w:fill="auto"/>
          </w:tcPr>
          <w:p w14:paraId="08388555"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c>
          <w:tcPr>
            <w:tcW w:w="1559" w:type="dxa"/>
            <w:shd w:val="clear" w:color="auto" w:fill="auto"/>
          </w:tcPr>
          <w:p w14:paraId="7B5FB2D1"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215BEAD2"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r>
      <w:tr w:rsidR="00193B08" w:rsidRPr="00684AE7" w14:paraId="17A501E1" w14:textId="77777777" w:rsidTr="00B64E4D">
        <w:tc>
          <w:tcPr>
            <w:tcW w:w="426" w:type="dxa"/>
            <w:shd w:val="clear" w:color="auto" w:fill="auto"/>
          </w:tcPr>
          <w:p w14:paraId="3047530B" w14:textId="40550859" w:rsidR="00A15861" w:rsidRPr="00684AE7" w:rsidRDefault="00A15861" w:rsidP="00684AE7">
            <w:pPr>
              <w:suppressAutoHyphens w:val="0"/>
              <w:spacing w:before="40" w:after="40" w:line="220" w:lineRule="exact"/>
              <w:ind w:right="113"/>
              <w:rPr>
                <w:sz w:val="18"/>
                <w:szCs w:val="24"/>
              </w:rPr>
            </w:pPr>
            <w:r w:rsidRPr="00684AE7">
              <w:rPr>
                <w:sz w:val="18"/>
                <w:szCs w:val="24"/>
              </w:rPr>
              <w:t>4</w:t>
            </w:r>
            <w:r w:rsidR="0022507E">
              <w:rPr>
                <w:sz w:val="18"/>
                <w:szCs w:val="24"/>
              </w:rPr>
              <w:t>.</w:t>
            </w:r>
          </w:p>
        </w:tc>
        <w:tc>
          <w:tcPr>
            <w:tcW w:w="1701" w:type="dxa"/>
            <w:shd w:val="clear" w:color="auto" w:fill="auto"/>
          </w:tcPr>
          <w:p w14:paraId="3B499168"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Narok</w:t>
            </w:r>
          </w:p>
        </w:tc>
        <w:tc>
          <w:tcPr>
            <w:tcW w:w="1701" w:type="dxa"/>
            <w:shd w:val="clear" w:color="auto" w:fill="auto"/>
          </w:tcPr>
          <w:p w14:paraId="105C1668"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14</w:t>
            </w:r>
          </w:p>
        </w:tc>
        <w:tc>
          <w:tcPr>
            <w:tcW w:w="1559" w:type="dxa"/>
            <w:shd w:val="clear" w:color="auto" w:fill="auto"/>
          </w:tcPr>
          <w:p w14:paraId="37D43C2B"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641513C9"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14</w:t>
            </w:r>
          </w:p>
        </w:tc>
      </w:tr>
      <w:tr w:rsidR="00193B08" w:rsidRPr="00684AE7" w14:paraId="56A03711" w14:textId="77777777" w:rsidTr="00B64E4D">
        <w:tc>
          <w:tcPr>
            <w:tcW w:w="426" w:type="dxa"/>
            <w:shd w:val="clear" w:color="auto" w:fill="auto"/>
          </w:tcPr>
          <w:p w14:paraId="3045D1E2"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5.</w:t>
            </w:r>
          </w:p>
        </w:tc>
        <w:tc>
          <w:tcPr>
            <w:tcW w:w="1701" w:type="dxa"/>
            <w:shd w:val="clear" w:color="auto" w:fill="auto"/>
          </w:tcPr>
          <w:p w14:paraId="019186F9"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Elgeyo Marakwet</w:t>
            </w:r>
          </w:p>
        </w:tc>
        <w:tc>
          <w:tcPr>
            <w:tcW w:w="1701" w:type="dxa"/>
            <w:shd w:val="clear" w:color="auto" w:fill="auto"/>
          </w:tcPr>
          <w:p w14:paraId="46F3B6F4"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c>
          <w:tcPr>
            <w:tcW w:w="1559" w:type="dxa"/>
            <w:shd w:val="clear" w:color="auto" w:fill="auto"/>
          </w:tcPr>
          <w:p w14:paraId="0EBE86D6"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3E4776AA"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r>
      <w:tr w:rsidR="00193B08" w:rsidRPr="00684AE7" w14:paraId="132BFB77" w14:textId="77777777" w:rsidTr="00B64E4D">
        <w:tc>
          <w:tcPr>
            <w:tcW w:w="426" w:type="dxa"/>
            <w:shd w:val="clear" w:color="auto" w:fill="auto"/>
          </w:tcPr>
          <w:p w14:paraId="5B6D62D0"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6.</w:t>
            </w:r>
          </w:p>
        </w:tc>
        <w:tc>
          <w:tcPr>
            <w:tcW w:w="1701" w:type="dxa"/>
            <w:shd w:val="clear" w:color="auto" w:fill="auto"/>
          </w:tcPr>
          <w:p w14:paraId="0E74A506"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Kisii</w:t>
            </w:r>
          </w:p>
        </w:tc>
        <w:tc>
          <w:tcPr>
            <w:tcW w:w="1701" w:type="dxa"/>
            <w:shd w:val="clear" w:color="auto" w:fill="auto"/>
          </w:tcPr>
          <w:p w14:paraId="2BEB9A64"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088EC58C"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683D4FD1"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3FFA849E" w14:textId="77777777" w:rsidTr="00B64E4D">
        <w:tc>
          <w:tcPr>
            <w:tcW w:w="426" w:type="dxa"/>
            <w:shd w:val="clear" w:color="auto" w:fill="auto"/>
          </w:tcPr>
          <w:p w14:paraId="195AC559"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 xml:space="preserve">7. </w:t>
            </w:r>
          </w:p>
        </w:tc>
        <w:tc>
          <w:tcPr>
            <w:tcW w:w="1701" w:type="dxa"/>
            <w:shd w:val="clear" w:color="auto" w:fill="auto"/>
          </w:tcPr>
          <w:p w14:paraId="4A5194E3"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Meru (Marimanti)</w:t>
            </w:r>
          </w:p>
        </w:tc>
        <w:tc>
          <w:tcPr>
            <w:tcW w:w="1701" w:type="dxa"/>
            <w:shd w:val="clear" w:color="auto" w:fill="auto"/>
          </w:tcPr>
          <w:p w14:paraId="36C9B317"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c>
          <w:tcPr>
            <w:tcW w:w="1559" w:type="dxa"/>
            <w:shd w:val="clear" w:color="auto" w:fill="auto"/>
          </w:tcPr>
          <w:p w14:paraId="72E83F09"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52C739A0"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r>
      <w:tr w:rsidR="00193B08" w:rsidRPr="00684AE7" w14:paraId="14328F69" w14:textId="77777777" w:rsidTr="00B64E4D">
        <w:tc>
          <w:tcPr>
            <w:tcW w:w="426" w:type="dxa"/>
            <w:shd w:val="clear" w:color="auto" w:fill="auto"/>
          </w:tcPr>
          <w:p w14:paraId="08BE84E8" w14:textId="046D9BF1" w:rsidR="00A15861" w:rsidRPr="00684AE7" w:rsidRDefault="00A15861" w:rsidP="00684AE7">
            <w:pPr>
              <w:suppressAutoHyphens w:val="0"/>
              <w:spacing w:before="40" w:after="40" w:line="220" w:lineRule="exact"/>
              <w:ind w:right="113"/>
              <w:rPr>
                <w:sz w:val="18"/>
                <w:szCs w:val="24"/>
              </w:rPr>
            </w:pPr>
            <w:r w:rsidRPr="00684AE7">
              <w:rPr>
                <w:sz w:val="18"/>
                <w:szCs w:val="24"/>
              </w:rPr>
              <w:t>8</w:t>
            </w:r>
            <w:r w:rsidR="00B761CF">
              <w:rPr>
                <w:sz w:val="18"/>
                <w:szCs w:val="24"/>
              </w:rPr>
              <w:t>.</w:t>
            </w:r>
          </w:p>
        </w:tc>
        <w:tc>
          <w:tcPr>
            <w:tcW w:w="1701" w:type="dxa"/>
            <w:shd w:val="clear" w:color="auto" w:fill="auto"/>
          </w:tcPr>
          <w:p w14:paraId="0FFD7427"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Kajiado</w:t>
            </w:r>
          </w:p>
        </w:tc>
        <w:tc>
          <w:tcPr>
            <w:tcW w:w="1701" w:type="dxa"/>
            <w:shd w:val="clear" w:color="auto" w:fill="auto"/>
          </w:tcPr>
          <w:p w14:paraId="095DB4AB"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c>
          <w:tcPr>
            <w:tcW w:w="1559" w:type="dxa"/>
            <w:shd w:val="clear" w:color="auto" w:fill="auto"/>
          </w:tcPr>
          <w:p w14:paraId="6AE8B5F2"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7C98FD18"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r>
      <w:tr w:rsidR="00193B08" w:rsidRPr="00684AE7" w14:paraId="1783777C" w14:textId="77777777" w:rsidTr="00B64E4D">
        <w:tc>
          <w:tcPr>
            <w:tcW w:w="426" w:type="dxa"/>
            <w:shd w:val="clear" w:color="auto" w:fill="auto"/>
          </w:tcPr>
          <w:p w14:paraId="72B47533" w14:textId="7C0415AF" w:rsidR="00A15861" w:rsidRPr="00684AE7" w:rsidRDefault="00A15861" w:rsidP="00684AE7">
            <w:pPr>
              <w:suppressAutoHyphens w:val="0"/>
              <w:spacing w:before="40" w:after="40" w:line="220" w:lineRule="exact"/>
              <w:ind w:right="113"/>
              <w:rPr>
                <w:sz w:val="18"/>
                <w:szCs w:val="24"/>
              </w:rPr>
            </w:pPr>
            <w:r w:rsidRPr="00684AE7">
              <w:rPr>
                <w:sz w:val="18"/>
                <w:szCs w:val="24"/>
              </w:rPr>
              <w:t>9</w:t>
            </w:r>
            <w:r w:rsidR="00B761CF">
              <w:rPr>
                <w:sz w:val="18"/>
                <w:szCs w:val="24"/>
              </w:rPr>
              <w:t>.</w:t>
            </w:r>
          </w:p>
        </w:tc>
        <w:tc>
          <w:tcPr>
            <w:tcW w:w="1701" w:type="dxa"/>
            <w:shd w:val="clear" w:color="auto" w:fill="auto"/>
          </w:tcPr>
          <w:p w14:paraId="10011F5D"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Baringo</w:t>
            </w:r>
          </w:p>
        </w:tc>
        <w:tc>
          <w:tcPr>
            <w:tcW w:w="1701" w:type="dxa"/>
            <w:shd w:val="clear" w:color="auto" w:fill="auto"/>
          </w:tcPr>
          <w:p w14:paraId="161CF3C0"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c>
          <w:tcPr>
            <w:tcW w:w="1559" w:type="dxa"/>
            <w:shd w:val="clear" w:color="auto" w:fill="auto"/>
          </w:tcPr>
          <w:p w14:paraId="6FBFD2BB"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2D0442CD"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r>
      <w:tr w:rsidR="00193B08" w:rsidRPr="00684AE7" w14:paraId="56B4111E" w14:textId="77777777" w:rsidTr="00B64E4D">
        <w:tc>
          <w:tcPr>
            <w:tcW w:w="426" w:type="dxa"/>
            <w:shd w:val="clear" w:color="auto" w:fill="auto"/>
          </w:tcPr>
          <w:p w14:paraId="298B8EB0" w14:textId="43C0D010" w:rsidR="00A15861" w:rsidRPr="00684AE7" w:rsidRDefault="00A15861" w:rsidP="00684AE7">
            <w:pPr>
              <w:suppressAutoHyphens w:val="0"/>
              <w:spacing w:before="40" w:after="40" w:line="220" w:lineRule="exact"/>
              <w:ind w:right="113"/>
              <w:rPr>
                <w:sz w:val="18"/>
                <w:szCs w:val="24"/>
              </w:rPr>
            </w:pPr>
            <w:r w:rsidRPr="00684AE7">
              <w:rPr>
                <w:sz w:val="18"/>
                <w:szCs w:val="24"/>
              </w:rPr>
              <w:t>10</w:t>
            </w:r>
            <w:r w:rsidR="00B761CF">
              <w:rPr>
                <w:sz w:val="18"/>
                <w:szCs w:val="24"/>
              </w:rPr>
              <w:t>.</w:t>
            </w:r>
          </w:p>
        </w:tc>
        <w:tc>
          <w:tcPr>
            <w:tcW w:w="1701" w:type="dxa"/>
            <w:shd w:val="clear" w:color="auto" w:fill="auto"/>
          </w:tcPr>
          <w:p w14:paraId="69EDCA14"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West Pokot</w:t>
            </w:r>
          </w:p>
        </w:tc>
        <w:tc>
          <w:tcPr>
            <w:tcW w:w="1701" w:type="dxa"/>
            <w:shd w:val="clear" w:color="auto" w:fill="auto"/>
          </w:tcPr>
          <w:p w14:paraId="626E60CB"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15</w:t>
            </w:r>
          </w:p>
        </w:tc>
        <w:tc>
          <w:tcPr>
            <w:tcW w:w="1559" w:type="dxa"/>
            <w:shd w:val="clear" w:color="auto" w:fill="auto"/>
          </w:tcPr>
          <w:p w14:paraId="3F842B6E"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4C82F313"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15</w:t>
            </w:r>
          </w:p>
        </w:tc>
      </w:tr>
      <w:tr w:rsidR="00193B08" w:rsidRPr="00684AE7" w14:paraId="0750FBFF" w14:textId="77777777" w:rsidTr="00B64E4D">
        <w:tc>
          <w:tcPr>
            <w:tcW w:w="426" w:type="dxa"/>
            <w:shd w:val="clear" w:color="auto" w:fill="auto"/>
          </w:tcPr>
          <w:p w14:paraId="55019758" w14:textId="56FAC875" w:rsidR="00A15861" w:rsidRPr="00684AE7" w:rsidRDefault="00A15861" w:rsidP="00684AE7">
            <w:pPr>
              <w:suppressAutoHyphens w:val="0"/>
              <w:spacing w:before="40" w:after="40" w:line="220" w:lineRule="exact"/>
              <w:ind w:right="113"/>
              <w:rPr>
                <w:sz w:val="18"/>
                <w:szCs w:val="24"/>
              </w:rPr>
            </w:pPr>
            <w:r w:rsidRPr="00684AE7">
              <w:rPr>
                <w:sz w:val="18"/>
                <w:szCs w:val="24"/>
              </w:rPr>
              <w:t>11</w:t>
            </w:r>
            <w:r w:rsidR="00B761CF">
              <w:rPr>
                <w:sz w:val="18"/>
                <w:szCs w:val="24"/>
              </w:rPr>
              <w:t>.</w:t>
            </w:r>
          </w:p>
        </w:tc>
        <w:tc>
          <w:tcPr>
            <w:tcW w:w="1701" w:type="dxa"/>
            <w:shd w:val="clear" w:color="auto" w:fill="auto"/>
          </w:tcPr>
          <w:p w14:paraId="3917F6F1"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Taita Taveta</w:t>
            </w:r>
          </w:p>
        </w:tc>
        <w:tc>
          <w:tcPr>
            <w:tcW w:w="1701" w:type="dxa"/>
            <w:shd w:val="clear" w:color="auto" w:fill="auto"/>
          </w:tcPr>
          <w:p w14:paraId="67694B92"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4</w:t>
            </w:r>
          </w:p>
        </w:tc>
        <w:tc>
          <w:tcPr>
            <w:tcW w:w="1559" w:type="dxa"/>
            <w:shd w:val="clear" w:color="auto" w:fill="auto"/>
          </w:tcPr>
          <w:p w14:paraId="4D851FF1"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07273CB7"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4</w:t>
            </w:r>
          </w:p>
        </w:tc>
      </w:tr>
      <w:tr w:rsidR="00193B08" w:rsidRPr="00684AE7" w14:paraId="5815A418" w14:textId="77777777" w:rsidTr="00B64E4D">
        <w:tc>
          <w:tcPr>
            <w:tcW w:w="426" w:type="dxa"/>
            <w:shd w:val="clear" w:color="auto" w:fill="auto"/>
          </w:tcPr>
          <w:p w14:paraId="48E00C00" w14:textId="6DE917C1" w:rsidR="00A15861" w:rsidRPr="00684AE7" w:rsidRDefault="00A15861" w:rsidP="00684AE7">
            <w:pPr>
              <w:suppressAutoHyphens w:val="0"/>
              <w:spacing w:before="40" w:after="40" w:line="220" w:lineRule="exact"/>
              <w:ind w:right="113"/>
              <w:rPr>
                <w:sz w:val="18"/>
                <w:szCs w:val="24"/>
              </w:rPr>
            </w:pPr>
            <w:r w:rsidRPr="00684AE7">
              <w:rPr>
                <w:sz w:val="18"/>
                <w:szCs w:val="24"/>
              </w:rPr>
              <w:t>12</w:t>
            </w:r>
            <w:r w:rsidR="00B761CF">
              <w:rPr>
                <w:sz w:val="18"/>
                <w:szCs w:val="24"/>
              </w:rPr>
              <w:t>.</w:t>
            </w:r>
          </w:p>
        </w:tc>
        <w:tc>
          <w:tcPr>
            <w:tcW w:w="1701" w:type="dxa"/>
            <w:shd w:val="clear" w:color="auto" w:fill="auto"/>
          </w:tcPr>
          <w:p w14:paraId="563935D7"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Mandera</w:t>
            </w:r>
          </w:p>
        </w:tc>
        <w:tc>
          <w:tcPr>
            <w:tcW w:w="1701" w:type="dxa"/>
            <w:shd w:val="clear" w:color="auto" w:fill="auto"/>
          </w:tcPr>
          <w:p w14:paraId="6BD34AC6"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23E88DAF"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2B9040E0"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7BED2204" w14:textId="77777777" w:rsidTr="00B64E4D">
        <w:tc>
          <w:tcPr>
            <w:tcW w:w="426" w:type="dxa"/>
            <w:shd w:val="clear" w:color="auto" w:fill="auto"/>
          </w:tcPr>
          <w:p w14:paraId="51451AF0" w14:textId="22412C7E" w:rsidR="00A15861" w:rsidRPr="00684AE7" w:rsidRDefault="00A15861" w:rsidP="00684AE7">
            <w:pPr>
              <w:suppressAutoHyphens w:val="0"/>
              <w:spacing w:before="40" w:after="40" w:line="220" w:lineRule="exact"/>
              <w:ind w:right="113"/>
              <w:rPr>
                <w:sz w:val="18"/>
                <w:szCs w:val="24"/>
              </w:rPr>
            </w:pPr>
            <w:r w:rsidRPr="00684AE7">
              <w:rPr>
                <w:sz w:val="18"/>
                <w:szCs w:val="24"/>
              </w:rPr>
              <w:t>13</w:t>
            </w:r>
            <w:r w:rsidR="00B761CF">
              <w:rPr>
                <w:sz w:val="18"/>
                <w:szCs w:val="24"/>
              </w:rPr>
              <w:t>.</w:t>
            </w:r>
          </w:p>
        </w:tc>
        <w:tc>
          <w:tcPr>
            <w:tcW w:w="1701" w:type="dxa"/>
            <w:shd w:val="clear" w:color="auto" w:fill="auto"/>
          </w:tcPr>
          <w:p w14:paraId="63274A71"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Marsabit</w:t>
            </w:r>
          </w:p>
        </w:tc>
        <w:tc>
          <w:tcPr>
            <w:tcW w:w="1701" w:type="dxa"/>
            <w:shd w:val="clear" w:color="auto" w:fill="auto"/>
          </w:tcPr>
          <w:p w14:paraId="755FC869"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76984B8B"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4B9706CF"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4AB74835" w14:textId="77777777" w:rsidTr="00B64E4D">
        <w:tc>
          <w:tcPr>
            <w:tcW w:w="426" w:type="dxa"/>
            <w:shd w:val="clear" w:color="auto" w:fill="auto"/>
          </w:tcPr>
          <w:p w14:paraId="533EE618" w14:textId="3954AE79" w:rsidR="00A15861" w:rsidRPr="00684AE7" w:rsidRDefault="00A15861" w:rsidP="00684AE7">
            <w:pPr>
              <w:suppressAutoHyphens w:val="0"/>
              <w:spacing w:before="40" w:after="40" w:line="220" w:lineRule="exact"/>
              <w:ind w:right="113"/>
              <w:rPr>
                <w:sz w:val="18"/>
                <w:szCs w:val="24"/>
              </w:rPr>
            </w:pPr>
            <w:r w:rsidRPr="00684AE7">
              <w:rPr>
                <w:sz w:val="18"/>
                <w:szCs w:val="24"/>
              </w:rPr>
              <w:t>14</w:t>
            </w:r>
            <w:r w:rsidR="00B761CF">
              <w:rPr>
                <w:sz w:val="18"/>
                <w:szCs w:val="24"/>
              </w:rPr>
              <w:t>.</w:t>
            </w:r>
          </w:p>
        </w:tc>
        <w:tc>
          <w:tcPr>
            <w:tcW w:w="1701" w:type="dxa"/>
            <w:shd w:val="clear" w:color="auto" w:fill="auto"/>
          </w:tcPr>
          <w:p w14:paraId="2F0DFD43"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Isiolo</w:t>
            </w:r>
          </w:p>
        </w:tc>
        <w:tc>
          <w:tcPr>
            <w:tcW w:w="1701" w:type="dxa"/>
            <w:shd w:val="clear" w:color="auto" w:fill="auto"/>
          </w:tcPr>
          <w:p w14:paraId="46B9C550"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5FD35CF6"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4AA22D79"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484A466C" w14:textId="77777777" w:rsidTr="00B64E4D">
        <w:tc>
          <w:tcPr>
            <w:tcW w:w="426" w:type="dxa"/>
            <w:shd w:val="clear" w:color="auto" w:fill="auto"/>
          </w:tcPr>
          <w:p w14:paraId="7459FD81" w14:textId="00B6237D" w:rsidR="00A15861" w:rsidRPr="00684AE7" w:rsidRDefault="00A15861" w:rsidP="00684AE7">
            <w:pPr>
              <w:suppressAutoHyphens w:val="0"/>
              <w:spacing w:before="40" w:after="40" w:line="220" w:lineRule="exact"/>
              <w:ind w:right="113"/>
              <w:rPr>
                <w:sz w:val="18"/>
                <w:szCs w:val="24"/>
              </w:rPr>
            </w:pPr>
            <w:r w:rsidRPr="00684AE7">
              <w:rPr>
                <w:sz w:val="18"/>
                <w:szCs w:val="24"/>
              </w:rPr>
              <w:t>15</w:t>
            </w:r>
            <w:r w:rsidR="00B761CF">
              <w:rPr>
                <w:sz w:val="18"/>
                <w:szCs w:val="24"/>
              </w:rPr>
              <w:t>.</w:t>
            </w:r>
          </w:p>
        </w:tc>
        <w:tc>
          <w:tcPr>
            <w:tcW w:w="1701" w:type="dxa"/>
            <w:shd w:val="clear" w:color="auto" w:fill="auto"/>
          </w:tcPr>
          <w:p w14:paraId="3B5F3F6A"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Embu</w:t>
            </w:r>
          </w:p>
        </w:tc>
        <w:tc>
          <w:tcPr>
            <w:tcW w:w="1701" w:type="dxa"/>
            <w:shd w:val="clear" w:color="auto" w:fill="auto"/>
          </w:tcPr>
          <w:p w14:paraId="5010A198"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c>
          <w:tcPr>
            <w:tcW w:w="1559" w:type="dxa"/>
            <w:shd w:val="clear" w:color="auto" w:fill="auto"/>
          </w:tcPr>
          <w:p w14:paraId="29142720"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c>
          <w:tcPr>
            <w:tcW w:w="1983" w:type="dxa"/>
            <w:shd w:val="clear" w:color="auto" w:fill="auto"/>
          </w:tcPr>
          <w:p w14:paraId="052DC77A"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r>
      <w:tr w:rsidR="00193B08" w:rsidRPr="00684AE7" w14:paraId="052DF166" w14:textId="77777777" w:rsidTr="00B64E4D">
        <w:tc>
          <w:tcPr>
            <w:tcW w:w="426" w:type="dxa"/>
            <w:shd w:val="clear" w:color="auto" w:fill="auto"/>
          </w:tcPr>
          <w:p w14:paraId="647C726D" w14:textId="667C297B" w:rsidR="00A15861" w:rsidRPr="00684AE7" w:rsidRDefault="00A15861" w:rsidP="00684AE7">
            <w:pPr>
              <w:suppressAutoHyphens w:val="0"/>
              <w:spacing w:before="40" w:after="40" w:line="220" w:lineRule="exact"/>
              <w:ind w:right="113"/>
              <w:rPr>
                <w:sz w:val="18"/>
                <w:szCs w:val="24"/>
              </w:rPr>
            </w:pPr>
            <w:r w:rsidRPr="00684AE7">
              <w:rPr>
                <w:sz w:val="18"/>
                <w:szCs w:val="24"/>
              </w:rPr>
              <w:t>16</w:t>
            </w:r>
            <w:r w:rsidR="00B761CF">
              <w:rPr>
                <w:sz w:val="18"/>
                <w:szCs w:val="24"/>
              </w:rPr>
              <w:t>.</w:t>
            </w:r>
          </w:p>
        </w:tc>
        <w:tc>
          <w:tcPr>
            <w:tcW w:w="1701" w:type="dxa"/>
            <w:shd w:val="clear" w:color="auto" w:fill="auto"/>
          </w:tcPr>
          <w:p w14:paraId="153EAD98"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Tharaka Nithi</w:t>
            </w:r>
          </w:p>
        </w:tc>
        <w:tc>
          <w:tcPr>
            <w:tcW w:w="1701" w:type="dxa"/>
            <w:shd w:val="clear" w:color="auto" w:fill="auto"/>
          </w:tcPr>
          <w:p w14:paraId="20966C93"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5</w:t>
            </w:r>
          </w:p>
        </w:tc>
        <w:tc>
          <w:tcPr>
            <w:tcW w:w="1559" w:type="dxa"/>
            <w:shd w:val="clear" w:color="auto" w:fill="auto"/>
          </w:tcPr>
          <w:p w14:paraId="45CFFA66"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c>
          <w:tcPr>
            <w:tcW w:w="1983" w:type="dxa"/>
            <w:shd w:val="clear" w:color="auto" w:fill="auto"/>
          </w:tcPr>
          <w:p w14:paraId="56C60155"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3</w:t>
            </w:r>
          </w:p>
        </w:tc>
      </w:tr>
      <w:tr w:rsidR="00193B08" w:rsidRPr="00684AE7" w14:paraId="5A6A106D" w14:textId="77777777" w:rsidTr="00B64E4D">
        <w:tc>
          <w:tcPr>
            <w:tcW w:w="426" w:type="dxa"/>
            <w:shd w:val="clear" w:color="auto" w:fill="auto"/>
          </w:tcPr>
          <w:p w14:paraId="4E928F86" w14:textId="445040EE" w:rsidR="00A15861" w:rsidRPr="00684AE7" w:rsidRDefault="00A15861" w:rsidP="00684AE7">
            <w:pPr>
              <w:suppressAutoHyphens w:val="0"/>
              <w:spacing w:before="40" w:after="40" w:line="220" w:lineRule="exact"/>
              <w:ind w:right="113"/>
              <w:rPr>
                <w:sz w:val="18"/>
                <w:szCs w:val="24"/>
              </w:rPr>
            </w:pPr>
            <w:r w:rsidRPr="00684AE7">
              <w:rPr>
                <w:sz w:val="18"/>
                <w:szCs w:val="24"/>
              </w:rPr>
              <w:t>17</w:t>
            </w:r>
            <w:r w:rsidR="00B761CF">
              <w:rPr>
                <w:sz w:val="18"/>
                <w:szCs w:val="24"/>
              </w:rPr>
              <w:t>.</w:t>
            </w:r>
          </w:p>
        </w:tc>
        <w:tc>
          <w:tcPr>
            <w:tcW w:w="1701" w:type="dxa"/>
            <w:shd w:val="clear" w:color="auto" w:fill="auto"/>
          </w:tcPr>
          <w:p w14:paraId="6798EDBB"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Samburu</w:t>
            </w:r>
          </w:p>
        </w:tc>
        <w:tc>
          <w:tcPr>
            <w:tcW w:w="1701" w:type="dxa"/>
            <w:shd w:val="clear" w:color="auto" w:fill="auto"/>
          </w:tcPr>
          <w:p w14:paraId="70E507E8"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3</w:t>
            </w:r>
          </w:p>
        </w:tc>
        <w:tc>
          <w:tcPr>
            <w:tcW w:w="1559" w:type="dxa"/>
            <w:shd w:val="clear" w:color="auto" w:fill="auto"/>
          </w:tcPr>
          <w:p w14:paraId="1D6D3B7B"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w:t>
            </w:r>
          </w:p>
        </w:tc>
        <w:tc>
          <w:tcPr>
            <w:tcW w:w="1983" w:type="dxa"/>
            <w:shd w:val="clear" w:color="auto" w:fill="auto"/>
          </w:tcPr>
          <w:p w14:paraId="028F9C41"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r>
      <w:tr w:rsidR="00193B08" w:rsidRPr="00684AE7" w14:paraId="5AF4FBAB" w14:textId="77777777" w:rsidTr="00B64E4D">
        <w:tc>
          <w:tcPr>
            <w:tcW w:w="426" w:type="dxa"/>
            <w:shd w:val="clear" w:color="auto" w:fill="auto"/>
          </w:tcPr>
          <w:p w14:paraId="320502E3" w14:textId="55D7C952" w:rsidR="00A15861" w:rsidRPr="00684AE7" w:rsidRDefault="00A15861" w:rsidP="00684AE7">
            <w:pPr>
              <w:suppressAutoHyphens w:val="0"/>
              <w:spacing w:before="40" w:after="40" w:line="220" w:lineRule="exact"/>
              <w:ind w:right="113"/>
              <w:rPr>
                <w:sz w:val="18"/>
                <w:szCs w:val="24"/>
              </w:rPr>
            </w:pPr>
            <w:r w:rsidRPr="00684AE7">
              <w:rPr>
                <w:sz w:val="18"/>
                <w:szCs w:val="24"/>
              </w:rPr>
              <w:t>18</w:t>
            </w:r>
            <w:r w:rsidR="00B761CF">
              <w:rPr>
                <w:sz w:val="18"/>
                <w:szCs w:val="24"/>
              </w:rPr>
              <w:t>.</w:t>
            </w:r>
          </w:p>
        </w:tc>
        <w:tc>
          <w:tcPr>
            <w:tcW w:w="1701" w:type="dxa"/>
            <w:shd w:val="clear" w:color="auto" w:fill="auto"/>
          </w:tcPr>
          <w:p w14:paraId="054C8E6B"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 xml:space="preserve">Laikipia </w:t>
            </w:r>
          </w:p>
        </w:tc>
        <w:tc>
          <w:tcPr>
            <w:tcW w:w="1701" w:type="dxa"/>
            <w:shd w:val="clear" w:color="auto" w:fill="auto"/>
          </w:tcPr>
          <w:p w14:paraId="65004B14"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c>
          <w:tcPr>
            <w:tcW w:w="1559" w:type="dxa"/>
            <w:shd w:val="clear" w:color="auto" w:fill="auto"/>
          </w:tcPr>
          <w:p w14:paraId="574D1E8C"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4499CA5C"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r>
      <w:tr w:rsidR="00193B08" w:rsidRPr="00684AE7" w14:paraId="3775E805" w14:textId="77777777" w:rsidTr="00B64E4D">
        <w:tc>
          <w:tcPr>
            <w:tcW w:w="426" w:type="dxa"/>
            <w:shd w:val="clear" w:color="auto" w:fill="auto"/>
          </w:tcPr>
          <w:p w14:paraId="0367BD92" w14:textId="525326FB" w:rsidR="00A15861" w:rsidRPr="00684AE7" w:rsidRDefault="00A15861" w:rsidP="00684AE7">
            <w:pPr>
              <w:suppressAutoHyphens w:val="0"/>
              <w:spacing w:before="40" w:after="40" w:line="220" w:lineRule="exact"/>
              <w:ind w:right="113"/>
              <w:rPr>
                <w:sz w:val="18"/>
                <w:szCs w:val="24"/>
              </w:rPr>
            </w:pPr>
            <w:r w:rsidRPr="00684AE7">
              <w:rPr>
                <w:sz w:val="18"/>
                <w:szCs w:val="24"/>
              </w:rPr>
              <w:t>19</w:t>
            </w:r>
            <w:r w:rsidR="00B761CF">
              <w:rPr>
                <w:sz w:val="18"/>
                <w:szCs w:val="24"/>
              </w:rPr>
              <w:t>.</w:t>
            </w:r>
          </w:p>
        </w:tc>
        <w:tc>
          <w:tcPr>
            <w:tcW w:w="1701" w:type="dxa"/>
            <w:shd w:val="clear" w:color="auto" w:fill="auto"/>
          </w:tcPr>
          <w:p w14:paraId="3DE0337A"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Nyamira</w:t>
            </w:r>
          </w:p>
        </w:tc>
        <w:tc>
          <w:tcPr>
            <w:tcW w:w="1701" w:type="dxa"/>
            <w:shd w:val="clear" w:color="auto" w:fill="auto"/>
          </w:tcPr>
          <w:p w14:paraId="5D2393F4"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38EFE02B"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65779401"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75803B27" w14:textId="77777777" w:rsidTr="00B64E4D">
        <w:tc>
          <w:tcPr>
            <w:tcW w:w="426" w:type="dxa"/>
            <w:shd w:val="clear" w:color="auto" w:fill="auto"/>
          </w:tcPr>
          <w:p w14:paraId="4152D2BF" w14:textId="5B0B3D01" w:rsidR="00A15861" w:rsidRPr="00684AE7" w:rsidRDefault="00A15861" w:rsidP="00684AE7">
            <w:pPr>
              <w:suppressAutoHyphens w:val="0"/>
              <w:spacing w:before="40" w:after="40" w:line="220" w:lineRule="exact"/>
              <w:ind w:right="113"/>
              <w:rPr>
                <w:sz w:val="18"/>
                <w:szCs w:val="24"/>
              </w:rPr>
            </w:pPr>
            <w:r w:rsidRPr="00684AE7">
              <w:rPr>
                <w:sz w:val="18"/>
                <w:szCs w:val="24"/>
              </w:rPr>
              <w:t>20</w:t>
            </w:r>
            <w:r w:rsidR="00B761CF">
              <w:rPr>
                <w:sz w:val="18"/>
                <w:szCs w:val="24"/>
              </w:rPr>
              <w:t>.</w:t>
            </w:r>
          </w:p>
        </w:tc>
        <w:tc>
          <w:tcPr>
            <w:tcW w:w="1701" w:type="dxa"/>
            <w:shd w:val="clear" w:color="auto" w:fill="auto"/>
          </w:tcPr>
          <w:p w14:paraId="216BB571"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Tana River</w:t>
            </w:r>
          </w:p>
        </w:tc>
        <w:tc>
          <w:tcPr>
            <w:tcW w:w="1701" w:type="dxa"/>
            <w:shd w:val="clear" w:color="auto" w:fill="auto"/>
          </w:tcPr>
          <w:p w14:paraId="3C1C718A"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2A3C8B88"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6FC1B66C"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5EB58CC5" w14:textId="77777777" w:rsidTr="00B64E4D">
        <w:tc>
          <w:tcPr>
            <w:tcW w:w="426" w:type="dxa"/>
            <w:shd w:val="clear" w:color="auto" w:fill="auto"/>
          </w:tcPr>
          <w:p w14:paraId="536A32FD" w14:textId="593036B0" w:rsidR="00A15861" w:rsidRPr="00684AE7" w:rsidRDefault="00A15861" w:rsidP="00684AE7">
            <w:pPr>
              <w:suppressAutoHyphens w:val="0"/>
              <w:spacing w:before="40" w:after="40" w:line="220" w:lineRule="exact"/>
              <w:ind w:right="113"/>
              <w:rPr>
                <w:sz w:val="18"/>
                <w:szCs w:val="24"/>
              </w:rPr>
            </w:pPr>
            <w:r w:rsidRPr="00684AE7">
              <w:rPr>
                <w:sz w:val="18"/>
                <w:szCs w:val="24"/>
              </w:rPr>
              <w:t>21</w:t>
            </w:r>
            <w:r w:rsidR="00B761CF">
              <w:rPr>
                <w:sz w:val="18"/>
                <w:szCs w:val="24"/>
              </w:rPr>
              <w:t>.</w:t>
            </w:r>
          </w:p>
        </w:tc>
        <w:tc>
          <w:tcPr>
            <w:tcW w:w="1701" w:type="dxa"/>
            <w:shd w:val="clear" w:color="auto" w:fill="auto"/>
          </w:tcPr>
          <w:p w14:paraId="2C32FC70"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 xml:space="preserve">Garissa </w:t>
            </w:r>
          </w:p>
        </w:tc>
        <w:tc>
          <w:tcPr>
            <w:tcW w:w="1701" w:type="dxa"/>
            <w:shd w:val="clear" w:color="auto" w:fill="auto"/>
          </w:tcPr>
          <w:p w14:paraId="3B0B1713"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shd w:val="clear" w:color="auto" w:fill="auto"/>
          </w:tcPr>
          <w:p w14:paraId="33810B32" w14:textId="77777777" w:rsidR="00A15861" w:rsidRPr="00684AE7" w:rsidRDefault="00A15861" w:rsidP="00BC0ABE">
            <w:pPr>
              <w:suppressAutoHyphens w:val="0"/>
              <w:spacing w:before="40" w:after="40" w:line="220" w:lineRule="exact"/>
              <w:ind w:right="113"/>
              <w:jc w:val="right"/>
              <w:rPr>
                <w:sz w:val="18"/>
                <w:szCs w:val="24"/>
              </w:rPr>
            </w:pPr>
          </w:p>
        </w:tc>
        <w:tc>
          <w:tcPr>
            <w:tcW w:w="1983" w:type="dxa"/>
            <w:shd w:val="clear" w:color="auto" w:fill="auto"/>
          </w:tcPr>
          <w:p w14:paraId="78974817"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1183171B" w14:textId="77777777" w:rsidTr="0057425E">
        <w:tc>
          <w:tcPr>
            <w:tcW w:w="426" w:type="dxa"/>
            <w:tcBorders>
              <w:bottom w:val="nil"/>
            </w:tcBorders>
            <w:shd w:val="clear" w:color="auto" w:fill="auto"/>
          </w:tcPr>
          <w:p w14:paraId="75E6497D" w14:textId="29AEEA49" w:rsidR="00A15861" w:rsidRPr="00684AE7" w:rsidRDefault="00A15861" w:rsidP="00684AE7">
            <w:pPr>
              <w:suppressAutoHyphens w:val="0"/>
              <w:spacing w:before="40" w:after="40" w:line="220" w:lineRule="exact"/>
              <w:ind w:right="113"/>
              <w:rPr>
                <w:sz w:val="18"/>
                <w:szCs w:val="24"/>
              </w:rPr>
            </w:pPr>
            <w:r w:rsidRPr="00684AE7">
              <w:rPr>
                <w:sz w:val="18"/>
                <w:szCs w:val="24"/>
              </w:rPr>
              <w:t>22</w:t>
            </w:r>
            <w:r w:rsidR="00B761CF">
              <w:rPr>
                <w:sz w:val="18"/>
                <w:szCs w:val="24"/>
              </w:rPr>
              <w:t>.</w:t>
            </w:r>
          </w:p>
        </w:tc>
        <w:tc>
          <w:tcPr>
            <w:tcW w:w="1701" w:type="dxa"/>
            <w:tcBorders>
              <w:bottom w:val="nil"/>
            </w:tcBorders>
            <w:shd w:val="clear" w:color="auto" w:fill="auto"/>
          </w:tcPr>
          <w:p w14:paraId="1E9E3E24"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Migori</w:t>
            </w:r>
          </w:p>
        </w:tc>
        <w:tc>
          <w:tcPr>
            <w:tcW w:w="1701" w:type="dxa"/>
            <w:tcBorders>
              <w:bottom w:val="nil"/>
            </w:tcBorders>
            <w:shd w:val="clear" w:color="auto" w:fill="auto"/>
          </w:tcPr>
          <w:p w14:paraId="37C2BD20"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35</w:t>
            </w:r>
          </w:p>
        </w:tc>
        <w:tc>
          <w:tcPr>
            <w:tcW w:w="1559" w:type="dxa"/>
            <w:tcBorders>
              <w:bottom w:val="nil"/>
            </w:tcBorders>
            <w:shd w:val="clear" w:color="auto" w:fill="auto"/>
          </w:tcPr>
          <w:p w14:paraId="44DE4A7E"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20</w:t>
            </w:r>
          </w:p>
        </w:tc>
        <w:tc>
          <w:tcPr>
            <w:tcW w:w="1983" w:type="dxa"/>
            <w:tcBorders>
              <w:bottom w:val="nil"/>
            </w:tcBorders>
            <w:shd w:val="clear" w:color="auto" w:fill="auto"/>
          </w:tcPr>
          <w:p w14:paraId="1EDCA3C2"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15</w:t>
            </w:r>
          </w:p>
        </w:tc>
      </w:tr>
      <w:tr w:rsidR="00193B08" w:rsidRPr="00684AE7" w14:paraId="7BD0521F" w14:textId="77777777" w:rsidTr="0057425E">
        <w:tc>
          <w:tcPr>
            <w:tcW w:w="426" w:type="dxa"/>
            <w:tcBorders>
              <w:top w:val="nil"/>
              <w:bottom w:val="nil"/>
            </w:tcBorders>
            <w:shd w:val="clear" w:color="auto" w:fill="auto"/>
          </w:tcPr>
          <w:p w14:paraId="6D1A212D" w14:textId="365EBF06" w:rsidR="00A15861" w:rsidRPr="00684AE7" w:rsidRDefault="00A15861" w:rsidP="00684AE7">
            <w:pPr>
              <w:suppressAutoHyphens w:val="0"/>
              <w:spacing w:before="40" w:after="40" w:line="220" w:lineRule="exact"/>
              <w:ind w:right="113"/>
              <w:rPr>
                <w:sz w:val="18"/>
                <w:szCs w:val="24"/>
              </w:rPr>
            </w:pPr>
            <w:r w:rsidRPr="00684AE7">
              <w:rPr>
                <w:sz w:val="18"/>
                <w:szCs w:val="24"/>
              </w:rPr>
              <w:t>23</w:t>
            </w:r>
            <w:r w:rsidR="00B761CF">
              <w:rPr>
                <w:sz w:val="18"/>
                <w:szCs w:val="24"/>
              </w:rPr>
              <w:t>.</w:t>
            </w:r>
          </w:p>
        </w:tc>
        <w:tc>
          <w:tcPr>
            <w:tcW w:w="1701" w:type="dxa"/>
            <w:tcBorders>
              <w:top w:val="nil"/>
              <w:bottom w:val="nil"/>
            </w:tcBorders>
            <w:shd w:val="clear" w:color="auto" w:fill="auto"/>
          </w:tcPr>
          <w:p w14:paraId="1E77A84C"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Bungoma</w:t>
            </w:r>
          </w:p>
        </w:tc>
        <w:tc>
          <w:tcPr>
            <w:tcW w:w="1701" w:type="dxa"/>
            <w:tcBorders>
              <w:top w:val="nil"/>
              <w:bottom w:val="nil"/>
            </w:tcBorders>
            <w:shd w:val="clear" w:color="auto" w:fill="auto"/>
          </w:tcPr>
          <w:p w14:paraId="6F802347"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c>
          <w:tcPr>
            <w:tcW w:w="1559" w:type="dxa"/>
            <w:tcBorders>
              <w:top w:val="nil"/>
              <w:bottom w:val="nil"/>
            </w:tcBorders>
            <w:shd w:val="clear" w:color="auto" w:fill="auto"/>
          </w:tcPr>
          <w:p w14:paraId="21D6596D" w14:textId="77777777" w:rsidR="00A15861" w:rsidRPr="00684AE7" w:rsidRDefault="00A15861" w:rsidP="00BC0ABE">
            <w:pPr>
              <w:suppressAutoHyphens w:val="0"/>
              <w:spacing w:before="40" w:after="40" w:line="220" w:lineRule="exact"/>
              <w:ind w:right="113"/>
              <w:jc w:val="right"/>
              <w:rPr>
                <w:sz w:val="18"/>
                <w:szCs w:val="24"/>
              </w:rPr>
            </w:pPr>
          </w:p>
        </w:tc>
        <w:tc>
          <w:tcPr>
            <w:tcW w:w="1983" w:type="dxa"/>
            <w:tcBorders>
              <w:top w:val="nil"/>
              <w:bottom w:val="nil"/>
            </w:tcBorders>
            <w:shd w:val="clear" w:color="auto" w:fill="auto"/>
          </w:tcPr>
          <w:p w14:paraId="37315D2D"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0</w:t>
            </w:r>
          </w:p>
        </w:tc>
      </w:tr>
      <w:tr w:rsidR="00193B08" w:rsidRPr="00684AE7" w14:paraId="71DA7AB0" w14:textId="77777777" w:rsidTr="0057425E">
        <w:tc>
          <w:tcPr>
            <w:tcW w:w="426" w:type="dxa"/>
            <w:tcBorders>
              <w:top w:val="nil"/>
              <w:bottom w:val="single" w:sz="4" w:space="0" w:color="auto"/>
            </w:tcBorders>
            <w:shd w:val="clear" w:color="auto" w:fill="auto"/>
          </w:tcPr>
          <w:p w14:paraId="01EB7A1C" w14:textId="39C8728F" w:rsidR="00A15861" w:rsidRPr="00684AE7" w:rsidRDefault="00A15861" w:rsidP="00684AE7">
            <w:pPr>
              <w:suppressAutoHyphens w:val="0"/>
              <w:spacing w:before="40" w:after="40" w:line="220" w:lineRule="exact"/>
              <w:ind w:right="113"/>
              <w:rPr>
                <w:sz w:val="18"/>
                <w:szCs w:val="24"/>
              </w:rPr>
            </w:pPr>
            <w:r w:rsidRPr="00684AE7">
              <w:rPr>
                <w:sz w:val="18"/>
                <w:szCs w:val="24"/>
              </w:rPr>
              <w:t>24</w:t>
            </w:r>
            <w:r w:rsidR="00021113">
              <w:rPr>
                <w:sz w:val="18"/>
                <w:szCs w:val="24"/>
              </w:rPr>
              <w:t>.</w:t>
            </w:r>
          </w:p>
        </w:tc>
        <w:tc>
          <w:tcPr>
            <w:tcW w:w="1701" w:type="dxa"/>
            <w:tcBorders>
              <w:top w:val="nil"/>
              <w:bottom w:val="single" w:sz="4" w:space="0" w:color="auto"/>
            </w:tcBorders>
            <w:shd w:val="clear" w:color="auto" w:fill="auto"/>
          </w:tcPr>
          <w:p w14:paraId="41B8279D" w14:textId="77777777" w:rsidR="00A15861" w:rsidRPr="00684AE7" w:rsidRDefault="00A15861" w:rsidP="00684AE7">
            <w:pPr>
              <w:suppressAutoHyphens w:val="0"/>
              <w:spacing w:before="40" w:after="40" w:line="220" w:lineRule="exact"/>
              <w:ind w:right="113"/>
              <w:rPr>
                <w:sz w:val="18"/>
                <w:szCs w:val="24"/>
              </w:rPr>
            </w:pPr>
            <w:r w:rsidRPr="00684AE7">
              <w:rPr>
                <w:sz w:val="18"/>
                <w:szCs w:val="24"/>
              </w:rPr>
              <w:t>Nyeri (Mukurweini)</w:t>
            </w:r>
          </w:p>
        </w:tc>
        <w:tc>
          <w:tcPr>
            <w:tcW w:w="1701" w:type="dxa"/>
            <w:tcBorders>
              <w:top w:val="nil"/>
              <w:bottom w:val="single" w:sz="4" w:space="0" w:color="auto"/>
            </w:tcBorders>
            <w:shd w:val="clear" w:color="auto" w:fill="auto"/>
          </w:tcPr>
          <w:p w14:paraId="50D488A7"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c>
          <w:tcPr>
            <w:tcW w:w="1559" w:type="dxa"/>
            <w:tcBorders>
              <w:top w:val="nil"/>
              <w:bottom w:val="single" w:sz="4" w:space="0" w:color="auto"/>
            </w:tcBorders>
            <w:shd w:val="clear" w:color="auto" w:fill="auto"/>
          </w:tcPr>
          <w:p w14:paraId="048B5E9D" w14:textId="77777777" w:rsidR="00A15861" w:rsidRPr="00684AE7" w:rsidRDefault="00A15861" w:rsidP="00BC0ABE">
            <w:pPr>
              <w:suppressAutoHyphens w:val="0"/>
              <w:spacing w:before="40" w:after="40" w:line="220" w:lineRule="exact"/>
              <w:ind w:right="113"/>
              <w:jc w:val="right"/>
              <w:rPr>
                <w:sz w:val="18"/>
                <w:szCs w:val="24"/>
              </w:rPr>
            </w:pPr>
          </w:p>
        </w:tc>
        <w:tc>
          <w:tcPr>
            <w:tcW w:w="1983" w:type="dxa"/>
            <w:tcBorders>
              <w:top w:val="nil"/>
              <w:bottom w:val="single" w:sz="4" w:space="0" w:color="auto"/>
            </w:tcBorders>
            <w:shd w:val="clear" w:color="auto" w:fill="auto"/>
          </w:tcPr>
          <w:p w14:paraId="71B96EBF" w14:textId="77777777" w:rsidR="00A15861" w:rsidRPr="00684AE7" w:rsidRDefault="00A15861" w:rsidP="00BC0ABE">
            <w:pPr>
              <w:suppressAutoHyphens w:val="0"/>
              <w:spacing w:before="40" w:after="40" w:line="220" w:lineRule="exact"/>
              <w:ind w:right="113"/>
              <w:jc w:val="right"/>
              <w:rPr>
                <w:sz w:val="18"/>
                <w:szCs w:val="24"/>
              </w:rPr>
            </w:pPr>
            <w:r w:rsidRPr="00684AE7">
              <w:rPr>
                <w:sz w:val="18"/>
                <w:szCs w:val="24"/>
              </w:rPr>
              <w:t>2</w:t>
            </w:r>
          </w:p>
        </w:tc>
      </w:tr>
      <w:tr w:rsidR="00193B08" w:rsidRPr="00B64E4D" w14:paraId="5BB0B3E9" w14:textId="77777777" w:rsidTr="00B64E4D">
        <w:tc>
          <w:tcPr>
            <w:tcW w:w="426" w:type="dxa"/>
            <w:tcBorders>
              <w:top w:val="single" w:sz="4" w:space="0" w:color="auto"/>
              <w:bottom w:val="single" w:sz="12" w:space="0" w:color="auto"/>
            </w:tcBorders>
            <w:shd w:val="clear" w:color="auto" w:fill="auto"/>
          </w:tcPr>
          <w:p w14:paraId="65A1A1F4" w14:textId="77777777" w:rsidR="00A15861" w:rsidRPr="00B64E4D" w:rsidRDefault="00A15861" w:rsidP="00B64E4D">
            <w:pPr>
              <w:suppressAutoHyphens w:val="0"/>
              <w:spacing w:before="80" w:after="80" w:line="220" w:lineRule="exact"/>
              <w:ind w:right="113"/>
              <w:jc w:val="right"/>
              <w:rPr>
                <w:b/>
                <w:bCs/>
                <w:sz w:val="18"/>
                <w:szCs w:val="24"/>
              </w:rPr>
            </w:pPr>
          </w:p>
        </w:tc>
        <w:tc>
          <w:tcPr>
            <w:tcW w:w="1701" w:type="dxa"/>
            <w:tcBorders>
              <w:top w:val="single" w:sz="4" w:space="0" w:color="auto"/>
              <w:bottom w:val="single" w:sz="12" w:space="0" w:color="auto"/>
            </w:tcBorders>
            <w:shd w:val="clear" w:color="auto" w:fill="auto"/>
          </w:tcPr>
          <w:p w14:paraId="04CEFCC3" w14:textId="08932201" w:rsidR="00A15861" w:rsidRPr="003E2256" w:rsidRDefault="00B64E4D" w:rsidP="003E2256">
            <w:pPr>
              <w:suppressAutoHyphens w:val="0"/>
              <w:spacing w:before="80" w:after="80" w:line="220" w:lineRule="exact"/>
              <w:ind w:left="283"/>
              <w:rPr>
                <w:b/>
                <w:bCs/>
                <w:sz w:val="18"/>
                <w:szCs w:val="24"/>
              </w:rPr>
            </w:pPr>
            <w:r w:rsidRPr="003E2256">
              <w:rPr>
                <w:b/>
                <w:bCs/>
                <w:sz w:val="18"/>
                <w:szCs w:val="24"/>
              </w:rPr>
              <w:t>Total</w:t>
            </w:r>
          </w:p>
        </w:tc>
        <w:tc>
          <w:tcPr>
            <w:tcW w:w="1701" w:type="dxa"/>
            <w:tcBorders>
              <w:top w:val="single" w:sz="4" w:space="0" w:color="auto"/>
              <w:bottom w:val="single" w:sz="12" w:space="0" w:color="auto"/>
            </w:tcBorders>
            <w:shd w:val="clear" w:color="auto" w:fill="auto"/>
          </w:tcPr>
          <w:p w14:paraId="13C386A1" w14:textId="77777777" w:rsidR="00A15861" w:rsidRPr="00B64E4D" w:rsidRDefault="00A15861" w:rsidP="00B64E4D">
            <w:pPr>
              <w:suppressAutoHyphens w:val="0"/>
              <w:spacing w:before="80" w:after="80" w:line="220" w:lineRule="exact"/>
              <w:ind w:right="113"/>
              <w:jc w:val="right"/>
              <w:rPr>
                <w:b/>
                <w:sz w:val="18"/>
                <w:szCs w:val="24"/>
              </w:rPr>
            </w:pPr>
            <w:r w:rsidRPr="00B64E4D">
              <w:rPr>
                <w:b/>
                <w:sz w:val="18"/>
                <w:szCs w:val="24"/>
              </w:rPr>
              <w:t>91</w:t>
            </w:r>
          </w:p>
        </w:tc>
        <w:tc>
          <w:tcPr>
            <w:tcW w:w="1559" w:type="dxa"/>
            <w:tcBorders>
              <w:top w:val="single" w:sz="4" w:space="0" w:color="auto"/>
              <w:bottom w:val="single" w:sz="12" w:space="0" w:color="auto"/>
            </w:tcBorders>
            <w:shd w:val="clear" w:color="auto" w:fill="auto"/>
          </w:tcPr>
          <w:p w14:paraId="4F109465" w14:textId="77777777" w:rsidR="00A15861" w:rsidRPr="00B64E4D" w:rsidRDefault="00A15861" w:rsidP="00B64E4D">
            <w:pPr>
              <w:suppressAutoHyphens w:val="0"/>
              <w:spacing w:before="80" w:after="80" w:line="220" w:lineRule="exact"/>
              <w:ind w:right="113"/>
              <w:jc w:val="right"/>
              <w:rPr>
                <w:b/>
                <w:sz w:val="18"/>
                <w:szCs w:val="24"/>
              </w:rPr>
            </w:pPr>
            <w:r w:rsidRPr="00B64E4D">
              <w:rPr>
                <w:b/>
                <w:sz w:val="18"/>
                <w:szCs w:val="24"/>
              </w:rPr>
              <w:t>24</w:t>
            </w:r>
          </w:p>
        </w:tc>
        <w:tc>
          <w:tcPr>
            <w:tcW w:w="1983" w:type="dxa"/>
            <w:tcBorders>
              <w:top w:val="single" w:sz="4" w:space="0" w:color="auto"/>
              <w:bottom w:val="single" w:sz="12" w:space="0" w:color="auto"/>
            </w:tcBorders>
            <w:shd w:val="clear" w:color="auto" w:fill="auto"/>
          </w:tcPr>
          <w:p w14:paraId="4A19D296" w14:textId="77777777" w:rsidR="00A15861" w:rsidRPr="00B64E4D" w:rsidRDefault="00A15861" w:rsidP="00B64E4D">
            <w:pPr>
              <w:suppressAutoHyphens w:val="0"/>
              <w:spacing w:before="80" w:after="80" w:line="220" w:lineRule="exact"/>
              <w:ind w:right="113"/>
              <w:jc w:val="right"/>
              <w:rPr>
                <w:b/>
                <w:sz w:val="18"/>
                <w:szCs w:val="24"/>
              </w:rPr>
            </w:pPr>
            <w:r w:rsidRPr="00B64E4D">
              <w:rPr>
                <w:b/>
                <w:sz w:val="18"/>
                <w:szCs w:val="24"/>
              </w:rPr>
              <w:t>67</w:t>
            </w:r>
          </w:p>
        </w:tc>
      </w:tr>
    </w:tbl>
    <w:p w14:paraId="24F2CF4F" w14:textId="77777777" w:rsidR="00A15861" w:rsidRDefault="00A15861" w:rsidP="00D437B7">
      <w:pPr>
        <w:pStyle w:val="H23G"/>
      </w:pPr>
      <w:r>
        <w:tab/>
      </w:r>
      <w:r>
        <w:tab/>
      </w:r>
      <w:r w:rsidRPr="00BD1C0A">
        <w:t xml:space="preserve">Take concrete steps to eradicate other harmful traditional practices, including wife inheritance, ritual </w:t>
      </w:r>
      <w:r w:rsidRPr="00D437B7">
        <w:t>cleansing</w:t>
      </w:r>
      <w:r w:rsidRPr="00BD1C0A">
        <w:t xml:space="preserve"> and child marriage</w:t>
      </w:r>
    </w:p>
    <w:p w14:paraId="1207BF20" w14:textId="77777777" w:rsidR="00A15861" w:rsidRDefault="00A15861" w:rsidP="00A15861">
      <w:pPr>
        <w:pStyle w:val="H4G"/>
      </w:pPr>
      <w:r>
        <w:tab/>
      </w:r>
      <w:r>
        <w:tab/>
      </w:r>
      <w:r w:rsidRPr="007606F3">
        <w:t>Response</w:t>
      </w:r>
    </w:p>
    <w:p w14:paraId="4E3BF5A8" w14:textId="77777777" w:rsidR="00A15861" w:rsidRPr="00BD492E" w:rsidRDefault="00A15861" w:rsidP="00A15861">
      <w:pPr>
        <w:pStyle w:val="SingleTxtG"/>
        <w:rPr>
          <w:b/>
        </w:rPr>
      </w:pPr>
      <w:r w:rsidRPr="00BD492E">
        <w:t>12.</w:t>
      </w:r>
      <w:r w:rsidRPr="00EF43D5">
        <w:rPr>
          <w:rFonts w:cs="Calibri"/>
          <w:b/>
          <w:kern w:val="1"/>
          <w:lang w:eastAsia="en-GB" w:bidi="en-GB"/>
        </w:rPr>
        <w:tab/>
      </w:r>
      <w:r w:rsidRPr="00BD492E">
        <w:t>The Children Act was enacted in July 2022. The Act provides increased safeguards for at-risk children and has enhanced county government responsibilities and structures for child protection.</w:t>
      </w:r>
    </w:p>
    <w:p w14:paraId="6D4C0F5C" w14:textId="77777777" w:rsidR="00A15861" w:rsidRPr="00BD492E" w:rsidRDefault="00A15861" w:rsidP="00A15861">
      <w:pPr>
        <w:pStyle w:val="SingleTxtG"/>
      </w:pPr>
      <w:r w:rsidRPr="00BD492E">
        <w:t>13.</w:t>
      </w:r>
      <w:r w:rsidRPr="00BD492E">
        <w:tab/>
        <w:t xml:space="preserve">The launch of the Care Reform Strategy also took place in 2022, focusing on the promotion of alternative family-based care for children at risk of living in institutions. UNICEF continued to support the County Governments to implement this strategy. For example in Kisumu County 359 children were reintegrated back to families or placed in alternative family-based care. In Nairobi County, 122 children with disabilities and their families have been assessed for reintegration. </w:t>
      </w:r>
    </w:p>
    <w:p w14:paraId="19F63AC1" w14:textId="596D7ED2" w:rsidR="00A15861" w:rsidRPr="00BD492E" w:rsidRDefault="00A15861" w:rsidP="00A15861">
      <w:pPr>
        <w:pStyle w:val="SingleTxtG"/>
      </w:pPr>
      <w:r w:rsidRPr="00BD492E">
        <w:t>14.</w:t>
      </w:r>
      <w:r w:rsidRPr="00BD492E">
        <w:tab/>
        <w:t>The Government of Kenya with support from UNICEF developed the National Action Plan to tackle Online Child Sexual and Exploitation Abuse, which is an emerging protection concern. Further, to guide county governments</w:t>
      </w:r>
      <w:r w:rsidR="002908D5">
        <w:t>’</w:t>
      </w:r>
      <w:r w:rsidRPr="00BD492E">
        <w:t xml:space="preserve"> work on child protection three counties developed model Child Protection policies. As a result, a total of 29,989 girls and boys who have experienced violence were reached by health, social work, or law enforcement services in 2022.</w:t>
      </w:r>
    </w:p>
    <w:p w14:paraId="1638BB2F" w14:textId="77777777" w:rsidR="00A15861" w:rsidRDefault="00A15861" w:rsidP="00A15861">
      <w:pPr>
        <w:pStyle w:val="H23G"/>
      </w:pPr>
      <w:r>
        <w:tab/>
      </w:r>
      <w:r>
        <w:tab/>
      </w:r>
      <w:r w:rsidRPr="00BD1C0A">
        <w:t>Take all necessary measures to provide effective remedies to women who were victims of violence, including sexual violence, in the period surrounding the 2017 elections, and to punish such acts of violence</w:t>
      </w:r>
    </w:p>
    <w:p w14:paraId="1971AEFA" w14:textId="77777777" w:rsidR="00A15861" w:rsidRDefault="00A15861" w:rsidP="00A15861">
      <w:pPr>
        <w:pStyle w:val="H4G"/>
      </w:pPr>
      <w:r>
        <w:tab/>
      </w:r>
      <w:r>
        <w:tab/>
      </w:r>
      <w:r w:rsidRPr="007606F3">
        <w:t>Response</w:t>
      </w:r>
    </w:p>
    <w:p w14:paraId="39526970" w14:textId="77777777" w:rsidR="00A15861" w:rsidRPr="007A6A0D" w:rsidRDefault="00A15861" w:rsidP="00A15861">
      <w:pPr>
        <w:pStyle w:val="SingleTxtG"/>
      </w:pPr>
      <w:r w:rsidRPr="007A6A0D">
        <w:t>15.</w:t>
      </w:r>
      <w:r w:rsidRPr="007A6A0D">
        <w:tab/>
        <w:t xml:space="preserve">The Independent Policing Oversight Authority (IPOA) is a statutory body established by an Act of Parliament No. 35 of 2011 to provide for civilian oversight over the work of the National Police Service. </w:t>
      </w:r>
    </w:p>
    <w:p w14:paraId="29A3C581" w14:textId="77777777" w:rsidR="00A15861" w:rsidRPr="007A6A0D" w:rsidRDefault="00A15861" w:rsidP="00A15861">
      <w:pPr>
        <w:pStyle w:val="SingleTxtG"/>
      </w:pPr>
      <w:r w:rsidRPr="007A6A0D">
        <w:t>16.</w:t>
      </w:r>
      <w:r w:rsidRPr="007A6A0D">
        <w:tab/>
        <w:t>Cases on sexual and gender-based violence are among complaints received and processed by the Authority in the context of police inaction/negligence in the performance of duty while in other instances; the police officers emerge as the sexual offenders.</w:t>
      </w:r>
    </w:p>
    <w:p w14:paraId="0ADCBB36" w14:textId="34A50522" w:rsidR="00A15861" w:rsidRPr="007A6A0D" w:rsidRDefault="00A15861" w:rsidP="00A15861">
      <w:pPr>
        <w:pStyle w:val="SingleTxtG"/>
      </w:pPr>
      <w:r w:rsidRPr="007A6A0D">
        <w:t>17.</w:t>
      </w:r>
      <w:r w:rsidRPr="007A6A0D">
        <w:tab/>
        <w:t>The Authority has recorded a total of one hundred and ninety-five (195) cases in the last five years (2017</w:t>
      </w:r>
      <w:r w:rsidR="00DB713A">
        <w:t>–</w:t>
      </w:r>
      <w:r w:rsidRPr="007A6A0D">
        <w:t xml:space="preserve">2022) and processed the same through different avenues such as referrals, investigations and prosecutions among others. </w:t>
      </w:r>
    </w:p>
    <w:p w14:paraId="5106B5D2" w14:textId="67FD2984" w:rsidR="00A15861" w:rsidRPr="00BD492E" w:rsidRDefault="00A15861" w:rsidP="00A15861">
      <w:pPr>
        <w:pStyle w:val="SingleTxtG"/>
        <w:rPr>
          <w:b/>
        </w:rPr>
      </w:pPr>
      <w:r w:rsidRPr="00BD492E">
        <w:t>18.</w:t>
      </w:r>
      <w:r w:rsidRPr="00BD492E">
        <w:tab/>
        <w:t>During the reporting period for this present report, three cases were concluded in court as illustrated in the table below</w:t>
      </w:r>
      <w:r w:rsidR="00005CA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287"/>
        <w:gridCol w:w="1123"/>
        <w:gridCol w:w="1134"/>
        <w:gridCol w:w="1497"/>
        <w:gridCol w:w="1762"/>
      </w:tblGrid>
      <w:tr w:rsidR="00D437B7" w:rsidRPr="00D437B7" w14:paraId="1CFA2C8B" w14:textId="77777777" w:rsidTr="00D437B7">
        <w:trPr>
          <w:tblHeader/>
        </w:trPr>
        <w:tc>
          <w:tcPr>
            <w:tcW w:w="567" w:type="dxa"/>
            <w:tcBorders>
              <w:top w:val="single" w:sz="4" w:space="0" w:color="auto"/>
              <w:bottom w:val="single" w:sz="12" w:space="0" w:color="auto"/>
            </w:tcBorders>
            <w:shd w:val="clear" w:color="auto" w:fill="auto"/>
            <w:vAlign w:val="bottom"/>
          </w:tcPr>
          <w:p w14:paraId="097A23C4" w14:textId="77777777" w:rsidR="00A15861" w:rsidRPr="00D437B7" w:rsidRDefault="00A15861" w:rsidP="00D437B7">
            <w:pPr>
              <w:suppressAutoHyphens w:val="0"/>
              <w:spacing w:before="80" w:after="80" w:line="200" w:lineRule="exact"/>
              <w:ind w:right="113"/>
              <w:rPr>
                <w:i/>
                <w:sz w:val="16"/>
                <w:szCs w:val="24"/>
              </w:rPr>
            </w:pPr>
            <w:r w:rsidRPr="00D437B7">
              <w:rPr>
                <w:i/>
                <w:sz w:val="16"/>
                <w:szCs w:val="24"/>
              </w:rPr>
              <w:t>s/no.</w:t>
            </w:r>
          </w:p>
        </w:tc>
        <w:tc>
          <w:tcPr>
            <w:tcW w:w="1287" w:type="dxa"/>
            <w:tcBorders>
              <w:top w:val="single" w:sz="4" w:space="0" w:color="auto"/>
              <w:bottom w:val="single" w:sz="12" w:space="0" w:color="auto"/>
            </w:tcBorders>
            <w:shd w:val="clear" w:color="auto" w:fill="auto"/>
            <w:vAlign w:val="bottom"/>
          </w:tcPr>
          <w:p w14:paraId="2DBACDF4" w14:textId="77777777" w:rsidR="00A15861" w:rsidRPr="00D437B7" w:rsidRDefault="00A15861" w:rsidP="00D437B7">
            <w:pPr>
              <w:suppressAutoHyphens w:val="0"/>
              <w:spacing w:before="80" w:after="80" w:line="200" w:lineRule="exact"/>
              <w:ind w:right="113"/>
              <w:rPr>
                <w:i/>
                <w:sz w:val="16"/>
                <w:szCs w:val="24"/>
              </w:rPr>
            </w:pPr>
            <w:r w:rsidRPr="00D437B7">
              <w:rPr>
                <w:i/>
                <w:sz w:val="16"/>
                <w:szCs w:val="24"/>
              </w:rPr>
              <w:t>Court File No.</w:t>
            </w:r>
          </w:p>
        </w:tc>
        <w:tc>
          <w:tcPr>
            <w:tcW w:w="1123" w:type="dxa"/>
            <w:tcBorders>
              <w:top w:val="single" w:sz="4" w:space="0" w:color="auto"/>
              <w:bottom w:val="single" w:sz="12" w:space="0" w:color="auto"/>
            </w:tcBorders>
            <w:shd w:val="clear" w:color="auto" w:fill="auto"/>
            <w:vAlign w:val="bottom"/>
          </w:tcPr>
          <w:p w14:paraId="727BC282" w14:textId="77777777" w:rsidR="00A15861" w:rsidRPr="00D437B7" w:rsidRDefault="00A15861" w:rsidP="00D437B7">
            <w:pPr>
              <w:suppressAutoHyphens w:val="0"/>
              <w:spacing w:before="80" w:after="80" w:line="200" w:lineRule="exact"/>
              <w:ind w:right="113"/>
              <w:rPr>
                <w:i/>
                <w:sz w:val="16"/>
                <w:szCs w:val="24"/>
              </w:rPr>
            </w:pPr>
            <w:r w:rsidRPr="00D437B7">
              <w:rPr>
                <w:i/>
                <w:sz w:val="16"/>
                <w:szCs w:val="24"/>
              </w:rPr>
              <w:t>Charges</w:t>
            </w:r>
          </w:p>
        </w:tc>
        <w:tc>
          <w:tcPr>
            <w:tcW w:w="1134" w:type="dxa"/>
            <w:tcBorders>
              <w:top w:val="single" w:sz="4" w:space="0" w:color="auto"/>
              <w:bottom w:val="single" w:sz="12" w:space="0" w:color="auto"/>
            </w:tcBorders>
            <w:shd w:val="clear" w:color="auto" w:fill="auto"/>
            <w:vAlign w:val="bottom"/>
          </w:tcPr>
          <w:p w14:paraId="10E1F043" w14:textId="77777777" w:rsidR="00A15861" w:rsidRPr="00D437B7" w:rsidRDefault="00A15861" w:rsidP="00D437B7">
            <w:pPr>
              <w:suppressAutoHyphens w:val="0"/>
              <w:spacing w:before="80" w:after="80" w:line="200" w:lineRule="exact"/>
              <w:ind w:right="113"/>
              <w:rPr>
                <w:i/>
                <w:sz w:val="16"/>
                <w:szCs w:val="24"/>
              </w:rPr>
            </w:pPr>
            <w:r w:rsidRPr="00D437B7">
              <w:rPr>
                <w:i/>
                <w:sz w:val="16"/>
                <w:szCs w:val="24"/>
              </w:rPr>
              <w:t>Accused Person</w:t>
            </w:r>
          </w:p>
        </w:tc>
        <w:tc>
          <w:tcPr>
            <w:tcW w:w="1497" w:type="dxa"/>
            <w:tcBorders>
              <w:top w:val="single" w:sz="4" w:space="0" w:color="auto"/>
              <w:bottom w:val="single" w:sz="12" w:space="0" w:color="auto"/>
            </w:tcBorders>
            <w:shd w:val="clear" w:color="auto" w:fill="auto"/>
            <w:vAlign w:val="bottom"/>
          </w:tcPr>
          <w:p w14:paraId="46CAF7B5" w14:textId="77777777" w:rsidR="00A15861" w:rsidRPr="00D437B7" w:rsidRDefault="00A15861" w:rsidP="00D437B7">
            <w:pPr>
              <w:suppressAutoHyphens w:val="0"/>
              <w:spacing w:before="80" w:after="80" w:line="200" w:lineRule="exact"/>
              <w:ind w:right="113"/>
              <w:rPr>
                <w:i/>
                <w:sz w:val="16"/>
                <w:szCs w:val="24"/>
              </w:rPr>
            </w:pPr>
            <w:r w:rsidRPr="00D437B7">
              <w:rPr>
                <w:i/>
                <w:sz w:val="16"/>
                <w:szCs w:val="24"/>
              </w:rPr>
              <w:t>Court</w:t>
            </w:r>
          </w:p>
        </w:tc>
        <w:tc>
          <w:tcPr>
            <w:tcW w:w="1762" w:type="dxa"/>
            <w:tcBorders>
              <w:top w:val="single" w:sz="4" w:space="0" w:color="auto"/>
              <w:bottom w:val="single" w:sz="12" w:space="0" w:color="auto"/>
            </w:tcBorders>
            <w:shd w:val="clear" w:color="auto" w:fill="auto"/>
            <w:vAlign w:val="bottom"/>
          </w:tcPr>
          <w:p w14:paraId="738DAB86" w14:textId="77777777" w:rsidR="00A15861" w:rsidRPr="00D437B7" w:rsidRDefault="00A15861" w:rsidP="00D437B7">
            <w:pPr>
              <w:suppressAutoHyphens w:val="0"/>
              <w:spacing w:before="80" w:after="80" w:line="200" w:lineRule="exact"/>
              <w:ind w:right="113"/>
              <w:rPr>
                <w:i/>
                <w:sz w:val="16"/>
                <w:szCs w:val="24"/>
              </w:rPr>
            </w:pPr>
            <w:r w:rsidRPr="00D437B7">
              <w:rPr>
                <w:i/>
                <w:sz w:val="16"/>
                <w:szCs w:val="24"/>
              </w:rPr>
              <w:t>Findings</w:t>
            </w:r>
          </w:p>
        </w:tc>
      </w:tr>
      <w:tr w:rsidR="00D437B7" w:rsidRPr="00D437B7" w14:paraId="528DBAA2" w14:textId="77777777" w:rsidTr="00B90943">
        <w:tc>
          <w:tcPr>
            <w:tcW w:w="567" w:type="dxa"/>
            <w:tcBorders>
              <w:top w:val="single" w:sz="12" w:space="0" w:color="auto"/>
              <w:bottom w:val="nil"/>
            </w:tcBorders>
            <w:shd w:val="clear" w:color="auto" w:fill="auto"/>
          </w:tcPr>
          <w:p w14:paraId="448B8386" w14:textId="77777777" w:rsidR="00A15861" w:rsidRPr="00D437B7" w:rsidRDefault="00A15861" w:rsidP="00D437B7">
            <w:pPr>
              <w:suppressAutoHyphens w:val="0"/>
              <w:spacing w:before="40" w:after="120" w:line="220" w:lineRule="exact"/>
              <w:ind w:right="113"/>
              <w:rPr>
                <w:szCs w:val="24"/>
              </w:rPr>
            </w:pPr>
            <w:r w:rsidRPr="00D437B7">
              <w:rPr>
                <w:szCs w:val="24"/>
              </w:rPr>
              <w:t>1.</w:t>
            </w:r>
          </w:p>
        </w:tc>
        <w:tc>
          <w:tcPr>
            <w:tcW w:w="1287" w:type="dxa"/>
            <w:tcBorders>
              <w:top w:val="single" w:sz="12" w:space="0" w:color="auto"/>
              <w:bottom w:val="nil"/>
            </w:tcBorders>
            <w:shd w:val="clear" w:color="auto" w:fill="auto"/>
          </w:tcPr>
          <w:p w14:paraId="374179E8" w14:textId="77777777" w:rsidR="00A15861" w:rsidRPr="00D437B7" w:rsidRDefault="00A15861" w:rsidP="00D437B7">
            <w:pPr>
              <w:suppressAutoHyphens w:val="0"/>
              <w:spacing w:before="40" w:after="120" w:line="220" w:lineRule="exact"/>
              <w:ind w:right="113"/>
              <w:rPr>
                <w:szCs w:val="24"/>
              </w:rPr>
            </w:pPr>
            <w:r w:rsidRPr="00D437B7">
              <w:rPr>
                <w:szCs w:val="24"/>
              </w:rPr>
              <w:t>SOA 2/2018</w:t>
            </w:r>
          </w:p>
        </w:tc>
        <w:tc>
          <w:tcPr>
            <w:tcW w:w="1123" w:type="dxa"/>
            <w:tcBorders>
              <w:top w:val="single" w:sz="12" w:space="0" w:color="auto"/>
              <w:bottom w:val="nil"/>
            </w:tcBorders>
            <w:shd w:val="clear" w:color="auto" w:fill="auto"/>
          </w:tcPr>
          <w:p w14:paraId="65EE8508" w14:textId="77777777" w:rsidR="00A15861" w:rsidRPr="00D437B7" w:rsidRDefault="00A15861" w:rsidP="00D437B7">
            <w:pPr>
              <w:suppressAutoHyphens w:val="0"/>
              <w:spacing w:before="40" w:after="120" w:line="220" w:lineRule="exact"/>
              <w:ind w:right="113"/>
              <w:rPr>
                <w:szCs w:val="24"/>
              </w:rPr>
            </w:pPr>
            <w:r w:rsidRPr="00D437B7">
              <w:rPr>
                <w:szCs w:val="24"/>
              </w:rPr>
              <w:t>Defilement</w:t>
            </w:r>
          </w:p>
        </w:tc>
        <w:tc>
          <w:tcPr>
            <w:tcW w:w="1134" w:type="dxa"/>
            <w:tcBorders>
              <w:top w:val="single" w:sz="12" w:space="0" w:color="auto"/>
              <w:bottom w:val="nil"/>
            </w:tcBorders>
            <w:shd w:val="clear" w:color="auto" w:fill="auto"/>
          </w:tcPr>
          <w:p w14:paraId="0A727640" w14:textId="77777777" w:rsidR="00A15861" w:rsidRPr="00D437B7" w:rsidRDefault="00A15861" w:rsidP="00D437B7">
            <w:pPr>
              <w:suppressAutoHyphens w:val="0"/>
              <w:spacing w:before="40" w:after="120" w:line="220" w:lineRule="exact"/>
              <w:ind w:right="113"/>
              <w:rPr>
                <w:szCs w:val="24"/>
              </w:rPr>
            </w:pPr>
            <w:r w:rsidRPr="00D437B7">
              <w:rPr>
                <w:szCs w:val="24"/>
              </w:rPr>
              <w:t>1 police officer</w:t>
            </w:r>
          </w:p>
        </w:tc>
        <w:tc>
          <w:tcPr>
            <w:tcW w:w="1497" w:type="dxa"/>
            <w:tcBorders>
              <w:top w:val="single" w:sz="12" w:space="0" w:color="auto"/>
              <w:bottom w:val="nil"/>
            </w:tcBorders>
            <w:shd w:val="clear" w:color="auto" w:fill="auto"/>
          </w:tcPr>
          <w:p w14:paraId="642F2FC4" w14:textId="77777777" w:rsidR="00A15861" w:rsidRPr="00D437B7" w:rsidRDefault="00A15861" w:rsidP="00D437B7">
            <w:pPr>
              <w:suppressAutoHyphens w:val="0"/>
              <w:spacing w:before="40" w:after="120" w:line="220" w:lineRule="exact"/>
              <w:ind w:right="113"/>
              <w:rPr>
                <w:szCs w:val="24"/>
              </w:rPr>
            </w:pPr>
            <w:r w:rsidRPr="00D437B7">
              <w:rPr>
                <w:szCs w:val="24"/>
              </w:rPr>
              <w:t>Gatundu Law Courts</w:t>
            </w:r>
          </w:p>
        </w:tc>
        <w:tc>
          <w:tcPr>
            <w:tcW w:w="1762" w:type="dxa"/>
            <w:tcBorders>
              <w:top w:val="single" w:sz="12" w:space="0" w:color="auto"/>
              <w:bottom w:val="nil"/>
            </w:tcBorders>
            <w:shd w:val="clear" w:color="auto" w:fill="auto"/>
          </w:tcPr>
          <w:p w14:paraId="01486D17" w14:textId="77777777" w:rsidR="00A15861" w:rsidRPr="00D437B7" w:rsidRDefault="00A15861" w:rsidP="00D437B7">
            <w:pPr>
              <w:suppressAutoHyphens w:val="0"/>
              <w:spacing w:before="40" w:after="120" w:line="220" w:lineRule="exact"/>
              <w:ind w:right="113"/>
              <w:rPr>
                <w:szCs w:val="24"/>
              </w:rPr>
            </w:pPr>
            <w:r w:rsidRPr="00D437B7">
              <w:rPr>
                <w:szCs w:val="24"/>
              </w:rPr>
              <w:t>Accused sentenced to 40 years imprisonment in February 2021</w:t>
            </w:r>
          </w:p>
        </w:tc>
      </w:tr>
      <w:tr w:rsidR="00A15861" w:rsidRPr="00D437B7" w14:paraId="3EA4B8DF" w14:textId="77777777" w:rsidTr="00B90943">
        <w:tc>
          <w:tcPr>
            <w:tcW w:w="567" w:type="dxa"/>
            <w:tcBorders>
              <w:top w:val="nil"/>
              <w:bottom w:val="nil"/>
            </w:tcBorders>
            <w:shd w:val="clear" w:color="auto" w:fill="auto"/>
          </w:tcPr>
          <w:p w14:paraId="223DCA4C" w14:textId="77777777" w:rsidR="00A15861" w:rsidRPr="00D437B7" w:rsidRDefault="00A15861" w:rsidP="00D437B7">
            <w:pPr>
              <w:suppressAutoHyphens w:val="0"/>
              <w:spacing w:before="40" w:after="120" w:line="220" w:lineRule="exact"/>
              <w:ind w:right="113"/>
              <w:rPr>
                <w:szCs w:val="24"/>
              </w:rPr>
            </w:pPr>
            <w:r w:rsidRPr="00D437B7">
              <w:rPr>
                <w:szCs w:val="24"/>
              </w:rPr>
              <w:t>2.</w:t>
            </w:r>
          </w:p>
        </w:tc>
        <w:tc>
          <w:tcPr>
            <w:tcW w:w="1287" w:type="dxa"/>
            <w:tcBorders>
              <w:top w:val="nil"/>
              <w:bottom w:val="nil"/>
            </w:tcBorders>
            <w:shd w:val="clear" w:color="auto" w:fill="auto"/>
          </w:tcPr>
          <w:p w14:paraId="378684B3" w14:textId="77777777" w:rsidR="00A15861" w:rsidRPr="00D437B7" w:rsidRDefault="00A15861" w:rsidP="00D437B7">
            <w:pPr>
              <w:suppressAutoHyphens w:val="0"/>
              <w:spacing w:before="40" w:after="120" w:line="220" w:lineRule="exact"/>
              <w:ind w:right="113"/>
              <w:rPr>
                <w:szCs w:val="24"/>
              </w:rPr>
            </w:pPr>
            <w:r w:rsidRPr="00D437B7">
              <w:rPr>
                <w:szCs w:val="24"/>
              </w:rPr>
              <w:t>SOA 89/2018</w:t>
            </w:r>
          </w:p>
        </w:tc>
        <w:tc>
          <w:tcPr>
            <w:tcW w:w="1123" w:type="dxa"/>
            <w:tcBorders>
              <w:top w:val="nil"/>
              <w:bottom w:val="nil"/>
            </w:tcBorders>
            <w:shd w:val="clear" w:color="auto" w:fill="auto"/>
          </w:tcPr>
          <w:p w14:paraId="3E9D9E9E" w14:textId="77777777" w:rsidR="00A15861" w:rsidRPr="00D437B7" w:rsidRDefault="00A15861" w:rsidP="00D437B7">
            <w:pPr>
              <w:suppressAutoHyphens w:val="0"/>
              <w:spacing w:before="40" w:after="120" w:line="220" w:lineRule="exact"/>
              <w:ind w:right="113"/>
              <w:rPr>
                <w:szCs w:val="24"/>
              </w:rPr>
            </w:pPr>
            <w:r w:rsidRPr="00D437B7">
              <w:rPr>
                <w:szCs w:val="24"/>
              </w:rPr>
              <w:t>Rape</w:t>
            </w:r>
          </w:p>
        </w:tc>
        <w:tc>
          <w:tcPr>
            <w:tcW w:w="1134" w:type="dxa"/>
            <w:tcBorders>
              <w:top w:val="nil"/>
              <w:bottom w:val="nil"/>
            </w:tcBorders>
            <w:shd w:val="clear" w:color="auto" w:fill="auto"/>
          </w:tcPr>
          <w:p w14:paraId="3FDAFA33" w14:textId="77777777" w:rsidR="00A15861" w:rsidRPr="00D437B7" w:rsidRDefault="00A15861" w:rsidP="00D437B7">
            <w:pPr>
              <w:suppressAutoHyphens w:val="0"/>
              <w:spacing w:before="40" w:after="120" w:line="220" w:lineRule="exact"/>
              <w:ind w:right="113"/>
              <w:rPr>
                <w:szCs w:val="24"/>
              </w:rPr>
            </w:pPr>
            <w:r w:rsidRPr="00D437B7">
              <w:rPr>
                <w:szCs w:val="24"/>
              </w:rPr>
              <w:t>1 police officer</w:t>
            </w:r>
          </w:p>
        </w:tc>
        <w:tc>
          <w:tcPr>
            <w:tcW w:w="1497" w:type="dxa"/>
            <w:tcBorders>
              <w:top w:val="nil"/>
              <w:bottom w:val="nil"/>
            </w:tcBorders>
            <w:shd w:val="clear" w:color="auto" w:fill="auto"/>
          </w:tcPr>
          <w:p w14:paraId="4EBD5875" w14:textId="77777777" w:rsidR="00A15861" w:rsidRPr="00D437B7" w:rsidRDefault="00A15861" w:rsidP="00D437B7">
            <w:pPr>
              <w:suppressAutoHyphens w:val="0"/>
              <w:spacing w:before="40" w:after="120" w:line="220" w:lineRule="exact"/>
              <w:ind w:right="113"/>
              <w:rPr>
                <w:szCs w:val="24"/>
              </w:rPr>
            </w:pPr>
            <w:r w:rsidRPr="00D437B7">
              <w:rPr>
                <w:szCs w:val="24"/>
              </w:rPr>
              <w:t>Busia Law Courts</w:t>
            </w:r>
          </w:p>
        </w:tc>
        <w:tc>
          <w:tcPr>
            <w:tcW w:w="1762" w:type="dxa"/>
            <w:tcBorders>
              <w:top w:val="nil"/>
              <w:bottom w:val="nil"/>
            </w:tcBorders>
            <w:shd w:val="clear" w:color="auto" w:fill="auto"/>
          </w:tcPr>
          <w:p w14:paraId="50F769DA" w14:textId="77777777" w:rsidR="00A15861" w:rsidRPr="00D437B7" w:rsidRDefault="00A15861" w:rsidP="00D437B7">
            <w:pPr>
              <w:suppressAutoHyphens w:val="0"/>
              <w:spacing w:before="40" w:after="120" w:line="220" w:lineRule="exact"/>
              <w:ind w:right="113"/>
              <w:rPr>
                <w:szCs w:val="24"/>
              </w:rPr>
            </w:pPr>
            <w:r w:rsidRPr="00D437B7">
              <w:rPr>
                <w:szCs w:val="24"/>
              </w:rPr>
              <w:t>Accused sentenced to 10 years imprisonment on 25th February 2021</w:t>
            </w:r>
          </w:p>
        </w:tc>
      </w:tr>
      <w:tr w:rsidR="00D437B7" w:rsidRPr="00D437B7" w14:paraId="58234653" w14:textId="77777777" w:rsidTr="00B90943">
        <w:tc>
          <w:tcPr>
            <w:tcW w:w="567" w:type="dxa"/>
            <w:tcBorders>
              <w:top w:val="nil"/>
            </w:tcBorders>
            <w:shd w:val="clear" w:color="auto" w:fill="auto"/>
          </w:tcPr>
          <w:p w14:paraId="50551356" w14:textId="77777777" w:rsidR="00A15861" w:rsidRPr="00D437B7" w:rsidRDefault="00A15861" w:rsidP="00D437B7">
            <w:pPr>
              <w:suppressAutoHyphens w:val="0"/>
              <w:spacing w:before="40" w:after="120" w:line="220" w:lineRule="exact"/>
              <w:ind w:right="113"/>
              <w:rPr>
                <w:szCs w:val="24"/>
              </w:rPr>
            </w:pPr>
            <w:r w:rsidRPr="00D437B7">
              <w:rPr>
                <w:szCs w:val="24"/>
              </w:rPr>
              <w:t>3.</w:t>
            </w:r>
          </w:p>
        </w:tc>
        <w:tc>
          <w:tcPr>
            <w:tcW w:w="1287" w:type="dxa"/>
            <w:tcBorders>
              <w:top w:val="nil"/>
            </w:tcBorders>
            <w:shd w:val="clear" w:color="auto" w:fill="auto"/>
          </w:tcPr>
          <w:p w14:paraId="6AD3994A" w14:textId="77777777" w:rsidR="00A15861" w:rsidRPr="00D437B7" w:rsidRDefault="00A15861" w:rsidP="00D437B7">
            <w:pPr>
              <w:suppressAutoHyphens w:val="0"/>
              <w:spacing w:before="40" w:after="120" w:line="220" w:lineRule="exact"/>
              <w:ind w:right="113"/>
              <w:rPr>
                <w:szCs w:val="24"/>
              </w:rPr>
            </w:pPr>
            <w:r w:rsidRPr="00D437B7">
              <w:rPr>
                <w:szCs w:val="24"/>
              </w:rPr>
              <w:t>SOA 19/2018</w:t>
            </w:r>
          </w:p>
        </w:tc>
        <w:tc>
          <w:tcPr>
            <w:tcW w:w="1123" w:type="dxa"/>
            <w:tcBorders>
              <w:top w:val="nil"/>
            </w:tcBorders>
            <w:shd w:val="clear" w:color="auto" w:fill="auto"/>
          </w:tcPr>
          <w:p w14:paraId="52AC9DEC" w14:textId="77777777" w:rsidR="00A15861" w:rsidRPr="00D437B7" w:rsidRDefault="00A15861" w:rsidP="00D437B7">
            <w:pPr>
              <w:suppressAutoHyphens w:val="0"/>
              <w:spacing w:before="40" w:after="120" w:line="220" w:lineRule="exact"/>
              <w:ind w:right="113"/>
              <w:rPr>
                <w:szCs w:val="24"/>
              </w:rPr>
            </w:pPr>
            <w:r w:rsidRPr="00D437B7">
              <w:rPr>
                <w:szCs w:val="24"/>
              </w:rPr>
              <w:t>Rape</w:t>
            </w:r>
          </w:p>
        </w:tc>
        <w:tc>
          <w:tcPr>
            <w:tcW w:w="1134" w:type="dxa"/>
            <w:tcBorders>
              <w:top w:val="nil"/>
            </w:tcBorders>
            <w:shd w:val="clear" w:color="auto" w:fill="auto"/>
          </w:tcPr>
          <w:p w14:paraId="43335242" w14:textId="77777777" w:rsidR="00A15861" w:rsidRPr="00D437B7" w:rsidRDefault="00A15861" w:rsidP="00D437B7">
            <w:pPr>
              <w:suppressAutoHyphens w:val="0"/>
              <w:spacing w:before="40" w:after="120" w:line="220" w:lineRule="exact"/>
              <w:ind w:right="113"/>
              <w:rPr>
                <w:szCs w:val="24"/>
              </w:rPr>
            </w:pPr>
            <w:r w:rsidRPr="00D437B7">
              <w:rPr>
                <w:szCs w:val="24"/>
              </w:rPr>
              <w:t>1 police officer</w:t>
            </w:r>
          </w:p>
        </w:tc>
        <w:tc>
          <w:tcPr>
            <w:tcW w:w="1497" w:type="dxa"/>
            <w:tcBorders>
              <w:top w:val="nil"/>
            </w:tcBorders>
            <w:shd w:val="clear" w:color="auto" w:fill="auto"/>
          </w:tcPr>
          <w:p w14:paraId="22E77A8E" w14:textId="77777777" w:rsidR="00A15861" w:rsidRPr="00D437B7" w:rsidRDefault="00A15861" w:rsidP="00D437B7">
            <w:pPr>
              <w:suppressAutoHyphens w:val="0"/>
              <w:spacing w:before="40" w:after="120" w:line="220" w:lineRule="exact"/>
              <w:ind w:right="113"/>
              <w:rPr>
                <w:szCs w:val="24"/>
              </w:rPr>
            </w:pPr>
            <w:r w:rsidRPr="00D437B7">
              <w:rPr>
                <w:szCs w:val="24"/>
              </w:rPr>
              <w:t>Milimani Law Courts</w:t>
            </w:r>
          </w:p>
        </w:tc>
        <w:tc>
          <w:tcPr>
            <w:tcW w:w="1762" w:type="dxa"/>
            <w:tcBorders>
              <w:top w:val="nil"/>
            </w:tcBorders>
            <w:shd w:val="clear" w:color="auto" w:fill="auto"/>
          </w:tcPr>
          <w:p w14:paraId="2555657E" w14:textId="77777777" w:rsidR="00A15861" w:rsidRPr="00D437B7" w:rsidRDefault="00A15861" w:rsidP="00D437B7">
            <w:pPr>
              <w:suppressAutoHyphens w:val="0"/>
              <w:spacing w:before="40" w:after="120" w:line="220" w:lineRule="exact"/>
              <w:ind w:right="113"/>
              <w:rPr>
                <w:szCs w:val="24"/>
              </w:rPr>
            </w:pPr>
            <w:r w:rsidRPr="00D437B7">
              <w:rPr>
                <w:szCs w:val="24"/>
              </w:rPr>
              <w:t>Accused sentenced to 15 years imprisonment on 13th May 2022</w:t>
            </w:r>
          </w:p>
        </w:tc>
      </w:tr>
    </w:tbl>
    <w:p w14:paraId="5C4DB6CB" w14:textId="7669176B" w:rsidR="00A15861" w:rsidRPr="0034214B" w:rsidRDefault="00A15861" w:rsidP="0034214B">
      <w:pPr>
        <w:spacing w:before="120"/>
        <w:ind w:left="1134" w:right="1134" w:firstLine="170"/>
        <w:rPr>
          <w:sz w:val="18"/>
        </w:rPr>
      </w:pPr>
      <w:r w:rsidRPr="0034214B">
        <w:rPr>
          <w:i/>
          <w:iCs/>
          <w:sz w:val="18"/>
        </w:rPr>
        <w:t>Source:</w:t>
      </w:r>
      <w:r w:rsidRPr="0034214B">
        <w:rPr>
          <w:sz w:val="18"/>
        </w:rPr>
        <w:t xml:space="preserve"> Independent Policing Oversight Authority (IPOA) report</w:t>
      </w:r>
      <w:r w:rsidR="0034214B">
        <w:rPr>
          <w:sz w:val="18"/>
        </w:rPr>
        <w:t>.</w:t>
      </w:r>
    </w:p>
    <w:p w14:paraId="2C6A5F04" w14:textId="77777777" w:rsidR="00A15861" w:rsidRDefault="00A15861" w:rsidP="00A15861">
      <w:pPr>
        <w:pStyle w:val="H23G"/>
      </w:pPr>
      <w:r>
        <w:tab/>
      </w:r>
      <w:r>
        <w:tab/>
      </w:r>
      <w:r w:rsidRPr="00BD1C0A">
        <w:t>Strengthen its institutional and legal frameworks to address domestic violence, including the criminalization of marital rape, targeted measures to protect women from violence during the COVID-19 pandemic and the full and effective implementation of the Protection against Domestic Violence Act (Act No. 2 of 2015)</w:t>
      </w:r>
    </w:p>
    <w:p w14:paraId="07CBEB0F" w14:textId="77777777" w:rsidR="00A15861" w:rsidRDefault="00A15861" w:rsidP="00A15861">
      <w:pPr>
        <w:pStyle w:val="H4G"/>
      </w:pPr>
      <w:r>
        <w:tab/>
      </w:r>
      <w:r>
        <w:tab/>
      </w:r>
      <w:r w:rsidRPr="007606F3">
        <w:t>Response</w:t>
      </w:r>
    </w:p>
    <w:p w14:paraId="35054051" w14:textId="758DC208" w:rsidR="00A15861" w:rsidRPr="00BD492E" w:rsidRDefault="00A15861" w:rsidP="00A15861">
      <w:pPr>
        <w:pStyle w:val="SingleTxtG"/>
      </w:pPr>
      <w:r w:rsidRPr="00F02201">
        <w:rPr>
          <w:rFonts w:cs="Calibri"/>
          <w:kern w:val="1"/>
          <w:lang w:eastAsia="en-GB" w:bidi="en-GB"/>
        </w:rPr>
        <w:t>19.</w:t>
      </w:r>
      <w:r w:rsidRPr="00F02201">
        <w:rPr>
          <w:rFonts w:cs="Calibri"/>
          <w:kern w:val="1"/>
          <w:lang w:eastAsia="en-GB" w:bidi="en-GB"/>
        </w:rPr>
        <w:tab/>
      </w:r>
      <w:r w:rsidRPr="00BD492E">
        <w:t>Since Kenya</w:t>
      </w:r>
      <w:r w:rsidR="002908D5">
        <w:t>’</w:t>
      </w:r>
      <w:r w:rsidRPr="00BD492E">
        <w:t>s review in March 2021 the Government through its various agencies has put in place various measures to address sexual and gender based violence including domestic violence. These measures include</w:t>
      </w:r>
      <w:r w:rsidR="00005CAD">
        <w:t>:</w:t>
      </w:r>
    </w:p>
    <w:p w14:paraId="2581412A" w14:textId="2B3CCEEF" w:rsidR="00A15861" w:rsidRPr="00C4754A" w:rsidRDefault="00C4754A" w:rsidP="00C4754A">
      <w:pPr>
        <w:pStyle w:val="SingleTxtG"/>
      </w:pPr>
      <w:r>
        <w:tab/>
      </w:r>
      <w:r w:rsidR="00A15861" w:rsidRPr="00C4754A">
        <w:t>(a)</w:t>
      </w:r>
      <w:r w:rsidR="00A15861" w:rsidRPr="00C4754A">
        <w:tab/>
        <w:t>The development of a rapid reference guide on the prosecution of sexual and gender based violence cases. The guide highlights the practical steps towards identifying the offence, its ingredients and the practice of the law to secure justice for victims/ survivors of sexual and gender based violence.</w:t>
      </w:r>
    </w:p>
    <w:p w14:paraId="6AADA4A6" w14:textId="1842890E" w:rsidR="00A15861" w:rsidRPr="00C4754A" w:rsidRDefault="00C4754A" w:rsidP="00C4754A">
      <w:pPr>
        <w:pStyle w:val="SingleTxtG"/>
      </w:pPr>
      <w:r>
        <w:tab/>
      </w:r>
      <w:r w:rsidR="00A15861" w:rsidRPr="00C4754A">
        <w:t>(b)</w:t>
      </w:r>
      <w:r w:rsidR="00A15861" w:rsidRPr="00C4754A">
        <w:tab/>
        <w:t>The setting up of an SGBV Court in the Shanzu</w:t>
      </w:r>
      <w:r w:rsidR="00DB713A">
        <w:t xml:space="preserve"> –</w:t>
      </w:r>
      <w:r w:rsidR="00A15861" w:rsidRPr="00C4754A">
        <w:t xml:space="preserve"> along the coast of Kenya. The court has adopted a survivor-centred approach and has specially trained prosecutors and support staff. The setting up of the court is a major step towards aligning the criminal justice system towards a coordinated structure that preserves the dignity of victims and enhances fair trial within the tenets of the Constitution.</w:t>
      </w:r>
    </w:p>
    <w:p w14:paraId="22925D95" w14:textId="3B31EA78" w:rsidR="00A15861" w:rsidRPr="00C4754A" w:rsidRDefault="00C4754A" w:rsidP="00C4754A">
      <w:pPr>
        <w:pStyle w:val="SingleTxtG"/>
      </w:pPr>
      <w:r>
        <w:tab/>
      </w:r>
      <w:r w:rsidR="00A15861" w:rsidRPr="00C4754A">
        <w:t>(c)</w:t>
      </w:r>
      <w:r w:rsidR="00A15861" w:rsidRPr="00C4754A">
        <w:tab/>
        <w:t>The establishment of the National Council on Administration of Justice (NCAJ) committee on the review of the laws on sexual and gender based violence (SGBV). The Committee will run for 3 years and has a mandate to review the Sexual Offences Act and other related laws on SGBV, to review and oversee the implementation of policies, guidelines and rules related to the efficient administration of justice for SGBV, monitor the prevalence of SGBV and effectiveness of the control measures and advice the council amongst other functions.</w:t>
      </w:r>
    </w:p>
    <w:p w14:paraId="641CD878" w14:textId="0444A3EF" w:rsidR="00A15861" w:rsidRDefault="00A15861" w:rsidP="00A15861">
      <w:pPr>
        <w:pStyle w:val="H23G"/>
      </w:pPr>
      <w:r>
        <w:tab/>
      </w:r>
      <w:r>
        <w:tab/>
      </w:r>
      <w:r w:rsidRPr="00BD1C0A">
        <w:t>Ensure that safe spaces are available to women who have been victims of violence in all parts of the State party</w:t>
      </w:r>
      <w:r w:rsidR="002908D5">
        <w:t>’</w:t>
      </w:r>
      <w:r w:rsidRPr="00BD1C0A">
        <w:t>s territory, including rural areas;</w:t>
      </w:r>
      <w:r>
        <w:t xml:space="preserve"> and c</w:t>
      </w:r>
      <w:r w:rsidRPr="00BD1C0A">
        <w:t>ollect data on minority women subjected to violence in order to effectively target measures to ensure their protection.</w:t>
      </w:r>
    </w:p>
    <w:p w14:paraId="41A96E67" w14:textId="77777777" w:rsidR="00A15861" w:rsidRPr="007606F3" w:rsidRDefault="00A15861" w:rsidP="00A15861">
      <w:pPr>
        <w:pStyle w:val="H4G"/>
      </w:pPr>
      <w:r>
        <w:tab/>
      </w:r>
      <w:r>
        <w:tab/>
      </w:r>
      <w:r w:rsidRPr="007606F3">
        <w:t>Response</w:t>
      </w:r>
    </w:p>
    <w:p w14:paraId="1BFD3418" w14:textId="77777777" w:rsidR="00A15861" w:rsidRPr="00BD492E" w:rsidRDefault="00A15861" w:rsidP="00A15861">
      <w:pPr>
        <w:pStyle w:val="SingleTxtG"/>
      </w:pPr>
      <w:r>
        <w:rPr>
          <w:rFonts w:cs="Calibri"/>
          <w:kern w:val="1"/>
          <w:lang w:eastAsia="en-GB" w:bidi="en-GB"/>
        </w:rPr>
        <w:t>20.</w:t>
      </w:r>
      <w:r>
        <w:rPr>
          <w:rFonts w:cs="Calibri"/>
          <w:kern w:val="1"/>
          <w:lang w:eastAsia="en-GB" w:bidi="en-GB"/>
        </w:rPr>
        <w:tab/>
      </w:r>
      <w:r w:rsidRPr="00BD492E">
        <w:t xml:space="preserve">The Government of Kenya is working closely with non-state actors to ensure that safe spaces are available to all women who have been victims of violence in all parts of the country. </w:t>
      </w:r>
    </w:p>
    <w:p w14:paraId="5BC44BEB" w14:textId="77777777" w:rsidR="00A15861" w:rsidRPr="00BD492E" w:rsidRDefault="00A15861" w:rsidP="00A15861">
      <w:pPr>
        <w:pStyle w:val="SingleTxtG"/>
      </w:pPr>
      <w:r>
        <w:rPr>
          <w:rFonts w:cs="Calibri"/>
          <w:kern w:val="1"/>
          <w:lang w:eastAsia="en-GB" w:bidi="en-GB"/>
        </w:rPr>
        <w:t>21.</w:t>
      </w:r>
      <w:r>
        <w:rPr>
          <w:rFonts w:cs="Calibri"/>
          <w:kern w:val="1"/>
          <w:lang w:eastAsia="en-GB" w:bidi="en-GB"/>
        </w:rPr>
        <w:tab/>
      </w:r>
      <w:r w:rsidRPr="00BD492E">
        <w:t>At the time of submitting this report, there are three (3) government led safe shelters in Nairobi, Makueni and Bungoma counties. One (1) is under renovation in Kisumu County.</w:t>
      </w:r>
    </w:p>
    <w:p w14:paraId="14A14FFD" w14:textId="77777777" w:rsidR="00A15861" w:rsidRPr="00BD492E" w:rsidRDefault="00A15861" w:rsidP="00A15861">
      <w:pPr>
        <w:pStyle w:val="SingleTxtG"/>
      </w:pPr>
      <w:r>
        <w:rPr>
          <w:rFonts w:cs="Calibri"/>
          <w:kern w:val="1"/>
          <w:lang w:eastAsia="en-GB" w:bidi="en-GB"/>
        </w:rPr>
        <w:t>22.</w:t>
      </w:r>
      <w:r>
        <w:rPr>
          <w:rFonts w:cs="Calibri"/>
          <w:kern w:val="1"/>
          <w:lang w:eastAsia="en-GB" w:bidi="en-GB"/>
        </w:rPr>
        <w:tab/>
      </w:r>
      <w:r w:rsidRPr="00BD492E">
        <w:t>There is currently no available data on minority women subjected to violence in Kenya. The existing data captures cases reported on sexual and gender based violence.</w:t>
      </w:r>
    </w:p>
    <w:p w14:paraId="0B8659AE" w14:textId="77777777" w:rsidR="00A15861" w:rsidRPr="00BD492E" w:rsidRDefault="00A15861" w:rsidP="00A15861">
      <w:pPr>
        <w:pStyle w:val="SingleTxtG"/>
      </w:pPr>
      <w:r w:rsidRPr="00184684">
        <w:rPr>
          <w:rFonts w:cs="Calibri"/>
          <w:kern w:val="1"/>
          <w:lang w:eastAsia="en-GB" w:bidi="en-GB"/>
        </w:rPr>
        <w:t>23.</w:t>
      </w:r>
      <w:r w:rsidRPr="00184684">
        <w:rPr>
          <w:rFonts w:cs="Calibri"/>
          <w:kern w:val="1"/>
          <w:lang w:eastAsia="en-GB" w:bidi="en-GB"/>
        </w:rPr>
        <w:tab/>
      </w:r>
      <w:r w:rsidRPr="00BD492E">
        <w:t>In the 2022 Kenya Demographic Health Survey (KDHS) report, information was obtained from women and men age 15–49 on their experience of violence committed by any perpetrator, including current and former husbands, wives, or other intimate partners. To capture intimate partner violence, ever-married respondents were asked about experiences of violence committed by their current and former husbands/wives, and, if applicable, never-married respondents were asked about experiences of violence committed by their current and former intimate partners.</w:t>
      </w:r>
    </w:p>
    <w:p w14:paraId="3C2B279A" w14:textId="77777777" w:rsidR="00A15861" w:rsidRPr="00BD492E" w:rsidRDefault="00A15861" w:rsidP="00A15861">
      <w:pPr>
        <w:pStyle w:val="SingleTxtG"/>
      </w:pPr>
      <w:r w:rsidRPr="00742D62">
        <w:rPr>
          <w:rFonts w:cs="Calibri"/>
          <w:kern w:val="1"/>
          <w:lang w:eastAsia="en-GB" w:bidi="en-GB"/>
        </w:rPr>
        <w:t>24.</w:t>
      </w:r>
      <w:r w:rsidRPr="00742D62">
        <w:rPr>
          <w:rFonts w:cs="Calibri"/>
          <w:kern w:val="1"/>
          <w:lang w:eastAsia="en-GB" w:bidi="en-GB"/>
        </w:rPr>
        <w:tab/>
      </w:r>
      <w:r w:rsidRPr="00BD492E">
        <w:t>The findings of the 2022 Kenya Demographic Health Survey were that the percentage of women who experienced physical violence in the 12 months before the survey declined from 20% in 2014 to 16% in 2022. Over the same period, the percentage among men declined slightly from 12% to 10%. Experience of violence among women increases with age; 20% of women age 15–19 have experienced physical violence since age 15, as compared with 42% of women age 45–49. Marital status is linked to experiences of violence among women. Women who have ever been married are much more likely to have experienced violence since age 15 than those who have never been married (41% versus 20%). By county, the percentage of women who have experienced physical violence since age 15 is highest in Bungoma (62%) and lowest in Mandera (9%).</w:t>
      </w:r>
    </w:p>
    <w:p w14:paraId="5E9B0C0C" w14:textId="77777777" w:rsidR="00A15861" w:rsidRDefault="00A15861" w:rsidP="00425E45">
      <w:pPr>
        <w:pStyle w:val="H1G"/>
      </w:pPr>
      <w:r>
        <w:tab/>
      </w:r>
      <w:r>
        <w:tab/>
      </w:r>
      <w:r w:rsidRPr="00425E45">
        <w:t>Forced</w:t>
      </w:r>
      <w:r w:rsidRPr="00BD1C0A">
        <w:t xml:space="preserve"> evictions</w:t>
      </w:r>
    </w:p>
    <w:p w14:paraId="7D29FEAC" w14:textId="77777777" w:rsidR="00A15861" w:rsidRPr="00BD1C0A" w:rsidRDefault="00A15861" w:rsidP="00A15861">
      <w:pPr>
        <w:pStyle w:val="H23G"/>
      </w:pPr>
      <w:r>
        <w:tab/>
      </w:r>
      <w:r>
        <w:tab/>
      </w:r>
      <w:r w:rsidRPr="00BD1C0A">
        <w:t>Kenya should ensure that all evictions are carried out in accordance with national and international standards, including by:</w:t>
      </w:r>
    </w:p>
    <w:p w14:paraId="4F1C1647" w14:textId="170E5B3C" w:rsidR="00A15861" w:rsidRPr="00425E45" w:rsidRDefault="00A15861" w:rsidP="00F66825">
      <w:pPr>
        <w:pStyle w:val="H23G"/>
        <w:spacing w:before="120"/>
        <w:jc w:val="both"/>
      </w:pPr>
      <w:r>
        <w:rPr>
          <w:rFonts w:cs="Calibri"/>
          <w:kern w:val="1"/>
          <w:lang w:eastAsia="en-GB" w:bidi="en-GB"/>
        </w:rPr>
        <w:tab/>
      </w:r>
      <w:r w:rsidR="00425E45">
        <w:rPr>
          <w:rFonts w:cs="Calibri"/>
          <w:kern w:val="1"/>
          <w:lang w:eastAsia="en-GB" w:bidi="en-GB"/>
        </w:rPr>
        <w:tab/>
      </w:r>
      <w:r w:rsidR="00425E45">
        <w:rPr>
          <w:rFonts w:cs="Calibri"/>
          <w:kern w:val="1"/>
          <w:lang w:eastAsia="en-GB" w:bidi="en-GB"/>
        </w:rPr>
        <w:tab/>
      </w:r>
      <w:r w:rsidR="00425E45">
        <w:rPr>
          <w:rFonts w:cs="Calibri"/>
          <w:kern w:val="1"/>
          <w:lang w:eastAsia="en-GB" w:bidi="en-GB"/>
        </w:rPr>
        <w:tab/>
        <w:t>(</w:t>
      </w:r>
      <w:r w:rsidRPr="00425E45">
        <w:t>a)</w:t>
      </w:r>
      <w:r w:rsidRPr="00425E45">
        <w:tab/>
        <w:t>Putting in place a sustainable system of equitable land tenure to prevent forced evictions;</w:t>
      </w:r>
    </w:p>
    <w:p w14:paraId="038F7D22" w14:textId="41F83782" w:rsidR="00A15861" w:rsidRPr="00425E45" w:rsidRDefault="00A15861" w:rsidP="00F66825">
      <w:pPr>
        <w:pStyle w:val="H23G"/>
        <w:spacing w:before="120"/>
        <w:jc w:val="both"/>
      </w:pPr>
      <w:r w:rsidRPr="00425E45">
        <w:tab/>
      </w:r>
      <w:r w:rsidR="00425E45">
        <w:tab/>
      </w:r>
      <w:r w:rsidR="00425E45">
        <w:tab/>
      </w:r>
      <w:r w:rsidR="00425E45">
        <w:tab/>
        <w:t>(</w:t>
      </w:r>
      <w:r w:rsidRPr="00425E45">
        <w:t>b)</w:t>
      </w:r>
      <w:r w:rsidRPr="00425E45">
        <w:tab/>
        <w:t xml:space="preserve">When there is no alternative to forced evictions, taking all necessary measures to implement effective protections, including the need for adequate notice and prior and meaningful consultation with and the provision of adequate compensation and/or resettlement of those affected. In that regard, it should effectively implement the Land Laws (Amendment) Act (Act No. 28 of 2016), including the safeguards contained in section 152G; </w:t>
      </w:r>
    </w:p>
    <w:p w14:paraId="32C044F0" w14:textId="57BF4FC9" w:rsidR="00A15861" w:rsidRPr="00425E45" w:rsidRDefault="00A15861" w:rsidP="00F66825">
      <w:pPr>
        <w:pStyle w:val="H23G"/>
        <w:spacing w:before="120"/>
        <w:jc w:val="both"/>
      </w:pPr>
      <w:r w:rsidRPr="00425E45">
        <w:tab/>
      </w:r>
      <w:r w:rsidR="00425E45">
        <w:tab/>
      </w:r>
      <w:r w:rsidR="00425E45">
        <w:tab/>
      </w:r>
      <w:r w:rsidR="00425E45">
        <w:tab/>
        <w:t>(</w:t>
      </w:r>
      <w:r w:rsidRPr="00425E45">
        <w:t>c)</w:t>
      </w:r>
      <w:r w:rsidRPr="00425E45">
        <w:tab/>
        <w:t>Strictly upholding the moratorium declared during the COVID-19 pandemic and all judicial decisions on evictions;</w:t>
      </w:r>
    </w:p>
    <w:p w14:paraId="15217EE3" w14:textId="4E40A525" w:rsidR="00A15861" w:rsidRPr="00425E45" w:rsidRDefault="00A15861" w:rsidP="00F66825">
      <w:pPr>
        <w:pStyle w:val="H23G"/>
        <w:spacing w:before="120"/>
        <w:jc w:val="both"/>
      </w:pPr>
      <w:r w:rsidRPr="00425E45">
        <w:tab/>
      </w:r>
      <w:r w:rsidR="00425E45">
        <w:tab/>
      </w:r>
      <w:r w:rsidR="00425E45">
        <w:tab/>
      </w:r>
      <w:r w:rsidR="00425E45">
        <w:tab/>
        <w:t>(</w:t>
      </w:r>
      <w:r w:rsidRPr="00425E45">
        <w:t>d)</w:t>
      </w:r>
      <w:r w:rsidRPr="00425E45">
        <w:tab/>
        <w:t>Improving compensation and resettlement among those affected by evictions, including through enacting the Evictions and Resettlement Bill of 2012 into law without delay;</w:t>
      </w:r>
    </w:p>
    <w:p w14:paraId="410D79D2" w14:textId="6C94D070" w:rsidR="00A15861" w:rsidRPr="00425E45" w:rsidRDefault="00A15861" w:rsidP="00F66825">
      <w:pPr>
        <w:pStyle w:val="H23G"/>
        <w:spacing w:before="120"/>
        <w:jc w:val="both"/>
      </w:pPr>
      <w:r w:rsidRPr="00425E45">
        <w:tab/>
      </w:r>
      <w:r w:rsidR="00425E45">
        <w:tab/>
      </w:r>
      <w:r w:rsidR="00630459">
        <w:tab/>
      </w:r>
      <w:r w:rsidR="00425E45">
        <w:tab/>
        <w:t>(</w:t>
      </w:r>
      <w:r w:rsidRPr="00425E45">
        <w:t>e)</w:t>
      </w:r>
      <w:r w:rsidRPr="00425E45">
        <w:tab/>
        <w:t>Ensuring the investigation, prosecution, conviction and punishment of all individuals who breach the law during evictions</w:t>
      </w:r>
    </w:p>
    <w:p w14:paraId="3D073F56" w14:textId="77777777" w:rsidR="00A15861" w:rsidRDefault="00A15861" w:rsidP="00A15861">
      <w:pPr>
        <w:pStyle w:val="H4G"/>
      </w:pPr>
      <w:r>
        <w:tab/>
      </w:r>
      <w:r>
        <w:tab/>
        <w:t>Response</w:t>
      </w:r>
    </w:p>
    <w:p w14:paraId="5A159C1C" w14:textId="77777777" w:rsidR="00A15861" w:rsidRDefault="00A15861" w:rsidP="00A15861">
      <w:pPr>
        <w:pStyle w:val="SingleTxtG"/>
        <w:rPr>
          <w:b/>
          <w:bCs/>
        </w:rPr>
      </w:pPr>
      <w:r w:rsidRPr="00DE6FCC">
        <w:t>25.</w:t>
      </w:r>
      <w:r w:rsidRPr="00DE6FCC">
        <w:tab/>
      </w:r>
      <w:r w:rsidRPr="002473D2">
        <w:t>The Constitution of Kenya 2010 has a comprehensive chapter on the Bill of Rights that has significant implications for the right to adequate housing and other economic, social and cultural rights.</w:t>
      </w:r>
    </w:p>
    <w:p w14:paraId="0A12BE29" w14:textId="77777777" w:rsidR="00A15861" w:rsidRDefault="00A15861" w:rsidP="00A15861">
      <w:pPr>
        <w:pStyle w:val="SingleTxtG"/>
      </w:pPr>
      <w:r>
        <w:t>26.</w:t>
      </w:r>
      <w:r>
        <w:tab/>
      </w:r>
      <w:r w:rsidRPr="00F849D3">
        <w:t xml:space="preserve">Sections 152B-152I of the Land Laws Amendment Act, 2016 introduced procedures on how to humanly evict unlawful occupiers from public, private and community lands. </w:t>
      </w:r>
      <w:r>
        <w:t>The procedure is outlined as follows;</w:t>
      </w:r>
    </w:p>
    <w:p w14:paraId="0C15D229" w14:textId="240D4C9B" w:rsidR="00A15861" w:rsidRPr="005E2C0E" w:rsidRDefault="00A15861" w:rsidP="00A15861">
      <w:pPr>
        <w:pStyle w:val="SingleTxtG"/>
        <w:rPr>
          <w:b/>
        </w:rPr>
      </w:pPr>
      <w:r>
        <w:tab/>
      </w:r>
      <w:r w:rsidRPr="00F0492E">
        <w:t>(a)</w:t>
      </w:r>
      <w:r w:rsidRPr="00F0492E">
        <w:tab/>
        <w:t>Eviction</w:t>
      </w:r>
      <w:r w:rsidRPr="00DE6FCC">
        <w:t xml:space="preserve"> of unlawful settlers on public property</w:t>
      </w:r>
    </w:p>
    <w:p w14:paraId="3C2C2944" w14:textId="54D2D064" w:rsidR="00A15861" w:rsidRDefault="00A15861" w:rsidP="00A15861">
      <w:pPr>
        <w:pStyle w:val="Bullet1G"/>
      </w:pPr>
      <w:r w:rsidRPr="005E2C0E">
        <w:t xml:space="preserve">The process begins with the National Land Commission making a decision to evict the occupant(s) of that property. Having made that decision, all parties affected should be served with an eviction notice of not less than 3 months. The said notices should be in writing published on the </w:t>
      </w:r>
      <w:r w:rsidRPr="007A2032">
        <w:t>Kenya Gazette and</w:t>
      </w:r>
      <w:r w:rsidRPr="005E2C0E">
        <w:t xml:space="preserve"> in a newspaper of nationwide circulation as well as on radio announcement. It is preferred that the radio announcement be in a local language where the context so requires. The unlawful occupants may be evicted upon expiry of the 3 months</w:t>
      </w:r>
      <w:r w:rsidR="002908D5">
        <w:t>’</w:t>
      </w:r>
      <w:r w:rsidRPr="005E2C0E">
        <w:t xml:space="preserve"> notice.</w:t>
      </w:r>
    </w:p>
    <w:p w14:paraId="0537DC4A" w14:textId="2D4089C9" w:rsidR="00A15861" w:rsidRPr="005E2C0E" w:rsidRDefault="00A15861" w:rsidP="00A15861">
      <w:pPr>
        <w:pStyle w:val="SingleTxtG"/>
        <w:rPr>
          <w:b/>
        </w:rPr>
      </w:pPr>
      <w:r>
        <w:tab/>
      </w:r>
      <w:r w:rsidRPr="00F0492E">
        <w:t>(b)</w:t>
      </w:r>
      <w:r w:rsidRPr="005E2C0E">
        <w:rPr>
          <w:b/>
        </w:rPr>
        <w:tab/>
      </w:r>
      <w:r w:rsidRPr="00DE6FCC">
        <w:t>Eviction of unlawful settlers on private property</w:t>
      </w:r>
    </w:p>
    <w:p w14:paraId="4B0ABA68" w14:textId="77777777" w:rsidR="00A15861" w:rsidRDefault="00A15861" w:rsidP="00A15861">
      <w:pPr>
        <w:pStyle w:val="Bullet1G"/>
      </w:pPr>
      <w:r w:rsidRPr="005E2C0E">
        <w:t xml:space="preserve">The process begins with the property owner or his agent issuing to the unlawful settler(s) an eviction notice of not less than 3 months. All other persons affected should also be served with the eviction notice. Where the settlers are large groups of people, the notices should be placed conspicuously on at </w:t>
      </w:r>
      <w:r w:rsidRPr="007A2032">
        <w:t>least 5</w:t>
      </w:r>
      <w:r w:rsidRPr="005E2C0E">
        <w:t xml:space="preserve"> different points on the property, in at least two (2) newspapers of nationwide circulation and be shared by radio announcement. The notices should be in a national language and shared with the Deputy County Commissioner as well as the Officer Commanding the Police Division of the area.</w:t>
      </w:r>
    </w:p>
    <w:p w14:paraId="759DF21B" w14:textId="3710EA2D" w:rsidR="00A15861" w:rsidRPr="00F0492E" w:rsidRDefault="00630459" w:rsidP="00630459">
      <w:pPr>
        <w:pStyle w:val="SingleTxtG"/>
      </w:pPr>
      <w:r>
        <w:tab/>
      </w:r>
      <w:r w:rsidR="00A15861">
        <w:t>(</w:t>
      </w:r>
      <w:r w:rsidR="00A15861" w:rsidRPr="00F0492E">
        <w:t>c</w:t>
      </w:r>
      <w:r w:rsidR="00A15861">
        <w:t>)</w:t>
      </w:r>
      <w:r w:rsidR="00A15861" w:rsidRPr="00F0492E">
        <w:tab/>
        <w:t>Eviction of unlawful settlers on community property</w:t>
      </w:r>
    </w:p>
    <w:p w14:paraId="475DFD34" w14:textId="77777777" w:rsidR="00A15861" w:rsidRDefault="00A15861" w:rsidP="00A15861">
      <w:pPr>
        <w:pStyle w:val="Bullet1G"/>
      </w:pPr>
      <w:r w:rsidRPr="005E2C0E">
        <w:t xml:space="preserve">The County Executive Member responsible for land matters makes the decision to evict to be notified in writing to the affected persons. The notice is shared in </w:t>
      </w:r>
      <w:r w:rsidRPr="007A2032">
        <w:t>the Kenya Gazette, in one newspaper of nationwide</w:t>
      </w:r>
      <w:r w:rsidRPr="005E2C0E">
        <w:t xml:space="preserve"> circulation and by radio announcement. Where the community land is registered, it should be treated, for purposes of eviction, as private property.</w:t>
      </w:r>
    </w:p>
    <w:p w14:paraId="7BC7966B" w14:textId="77777777" w:rsidR="00A15861" w:rsidRPr="00A21BDA" w:rsidRDefault="00A15861" w:rsidP="00A15861">
      <w:pPr>
        <w:pStyle w:val="SingleTxtG"/>
      </w:pPr>
      <w:r w:rsidRPr="00A21BDA">
        <w:t>27.</w:t>
      </w:r>
      <w:r w:rsidRPr="00A21BDA">
        <w:tab/>
      </w:r>
      <w:r w:rsidRPr="000902FE">
        <w:t>The Nairobi City County Evictions, Resettlement and Demolitions Control Bill, 2020 seeks to make it illegal to carry out evictions on weekends and during the rainy season. It also proposes that demolitions of unauthorized structures in the capital should be carried out within the regular working hours, between Monday and Friday. If passed, the county government will be required to resettle evictees from public land. The lands executive will be required to prepare a resettlement plan for those affected.</w:t>
      </w:r>
    </w:p>
    <w:p w14:paraId="32E2819B" w14:textId="77777777" w:rsidR="00A15861" w:rsidRDefault="00A15861" w:rsidP="00A15861">
      <w:pPr>
        <w:pStyle w:val="H1G"/>
      </w:pPr>
      <w:r>
        <w:tab/>
      </w:r>
      <w:r>
        <w:tab/>
        <w:t>P</w:t>
      </w:r>
      <w:r w:rsidRPr="00BD1C0A">
        <w:t>articipation in public affairs</w:t>
      </w:r>
    </w:p>
    <w:p w14:paraId="3692DF2A" w14:textId="77777777" w:rsidR="00A15861" w:rsidRPr="009207E2" w:rsidRDefault="00A15861" w:rsidP="00A15861">
      <w:pPr>
        <w:pStyle w:val="H23G"/>
      </w:pPr>
      <w:r>
        <w:tab/>
      </w:r>
      <w:r>
        <w:tab/>
      </w:r>
      <w:r w:rsidRPr="0042004C">
        <w:t>Kenya should intensify efforts to provide remedies to all victims of violence in the context of the 2017 elections, includin</w:t>
      </w:r>
      <w:r>
        <w:t>g guarantees of non-repetition; and</w:t>
      </w:r>
    </w:p>
    <w:p w14:paraId="3B882F84" w14:textId="77777777" w:rsidR="00A15861" w:rsidRPr="0042004C" w:rsidRDefault="00A15861" w:rsidP="00A15861">
      <w:pPr>
        <w:pStyle w:val="H23G"/>
      </w:pPr>
      <w:r>
        <w:tab/>
      </w:r>
      <w:r>
        <w:tab/>
      </w:r>
      <w:r w:rsidRPr="0042004C">
        <w:t>Kenya should also take all necessary steps ahead of the 2022 elections to prevent violence and ensure the effective and independent functioning of the Independent Electoral and Boundaries Commission. In addition, it should adopt all measures necessary to ensure transparency in voting and in vote-counting procedures.</w:t>
      </w:r>
    </w:p>
    <w:p w14:paraId="7293ABF3" w14:textId="77777777" w:rsidR="00A15861" w:rsidRDefault="00A15861" w:rsidP="00A15861">
      <w:pPr>
        <w:pStyle w:val="H4G"/>
      </w:pPr>
      <w:r>
        <w:tab/>
      </w:r>
      <w:r>
        <w:tab/>
        <w:t>Response</w:t>
      </w:r>
    </w:p>
    <w:p w14:paraId="263870AE" w14:textId="77777777" w:rsidR="00A15861" w:rsidRPr="001C164C" w:rsidRDefault="00A15861" w:rsidP="00A15861">
      <w:pPr>
        <w:pStyle w:val="SingleTxtG"/>
        <w:rPr>
          <w:shd w:val="clear" w:color="auto" w:fill="FFFFFF"/>
        </w:rPr>
      </w:pPr>
      <w:r w:rsidRPr="001C164C">
        <w:t>28.</w:t>
      </w:r>
      <w:r w:rsidRPr="001C164C">
        <w:tab/>
      </w:r>
      <w:r w:rsidRPr="003C27F0">
        <w:t>In 2017 the Government enhanced penalties for persons found to have breached the Code of Conduct during the campaign period. The Code was strictly enforced during the 2022 General Election, especially those found culpable of harassing and intimidating female candidates will face severe penalties, including disqualification</w:t>
      </w:r>
      <w:r>
        <w:t>.</w:t>
      </w:r>
    </w:p>
    <w:p w14:paraId="5E479029" w14:textId="7C9AD19A" w:rsidR="00A15861" w:rsidRPr="003C27F0" w:rsidRDefault="00A15861" w:rsidP="00A15861">
      <w:pPr>
        <w:pStyle w:val="SingleTxtG"/>
        <w:rPr>
          <w:shd w:val="clear" w:color="auto" w:fill="FFFFFF"/>
        </w:rPr>
      </w:pPr>
      <w:r w:rsidRPr="003C27F0">
        <w:t>29.</w:t>
      </w:r>
      <w:r w:rsidRPr="003C27F0">
        <w:tab/>
        <w:t>The 2022 general elections in Kenya were largely peaceful, with a significant reduction in documented human rights violations and abuses, particularly in electoral-related SGBV, compared to previous electoral period</w:t>
      </w:r>
      <w:r w:rsidR="00630459">
        <w:t>.</w:t>
      </w:r>
      <w:r w:rsidRPr="002908D5">
        <w:rPr>
          <w:rStyle w:val="FootnoteReference"/>
        </w:rPr>
        <w:footnoteReference w:id="2"/>
      </w:r>
      <w:r w:rsidRPr="002908D5">
        <w:rPr>
          <w:rStyle w:val="FootnoteReference"/>
        </w:rPr>
        <w:t xml:space="preserve"> </w:t>
      </w:r>
    </w:p>
    <w:p w14:paraId="7A7263A3" w14:textId="77777777" w:rsidR="00A15861" w:rsidRDefault="00A15861" w:rsidP="00A15861">
      <w:pPr>
        <w:pStyle w:val="SingleTxtG"/>
        <w:rPr>
          <w:shd w:val="clear" w:color="auto" w:fill="FFFFFF"/>
        </w:rPr>
      </w:pPr>
      <w:r>
        <w:t>30.</w:t>
      </w:r>
      <w:r>
        <w:tab/>
      </w:r>
      <w:r w:rsidRPr="003C27F0">
        <w:t>During the 2022 electoral year, UN Human Rights supported a number of activities to contribute to the smooth running of the electoral process. These included: deployment of human rights monitors across the country; civic education and community dialogue forums to engage youth; integration of sexual and gender-based violence prevention in security sector preparedness; working with women human rights defenders; training of police commanders on human rights-based policing and public order management; and dialogue and exchange between police, the Kenya National Commission on Human Rights and human rights defenders.</w:t>
      </w:r>
    </w:p>
    <w:p w14:paraId="11654FE4" w14:textId="3F3E7209" w:rsidR="00A15861" w:rsidRPr="009207E2" w:rsidRDefault="00A15861" w:rsidP="00A15861">
      <w:pPr>
        <w:pStyle w:val="SingleTxtG"/>
        <w:rPr>
          <w:shd w:val="clear" w:color="auto" w:fill="FFFFFF"/>
        </w:rPr>
      </w:pPr>
      <w:r w:rsidRPr="009207E2">
        <w:t>31.</w:t>
      </w:r>
      <w:r w:rsidRPr="009207E2">
        <w:tab/>
      </w:r>
      <w:r w:rsidRPr="00DE6FCC">
        <w:t>There was</w:t>
      </w:r>
      <w:r w:rsidR="002908D5">
        <w:t xml:space="preserve"> </w:t>
      </w:r>
      <w:r w:rsidRPr="00DE6FCC">
        <w:t>adequate presence of security officers across the country during campaign events and at polling and tallying centres</w:t>
      </w:r>
      <w:r w:rsidRPr="003C27F0">
        <w:rPr>
          <w:b/>
          <w:shd w:val="clear" w:color="auto" w:fill="FFFFFF"/>
        </w:rPr>
        <w:t>.</w:t>
      </w:r>
      <w:r w:rsidRPr="003C27F0">
        <w:rPr>
          <w:shd w:val="clear" w:color="auto" w:fill="FFFFFF"/>
        </w:rPr>
        <w:t xml:space="preserve"> Security personnel responded to incidents swiftly and in a timely fashion, de-escalating violence and restoring peace where there was unrest</w:t>
      </w:r>
      <w:r w:rsidR="000B0E07">
        <w:rPr>
          <w:shd w:val="clear" w:color="auto" w:fill="FFFFFF"/>
        </w:rPr>
        <w:t>.</w:t>
      </w:r>
      <w:r w:rsidRPr="002908D5">
        <w:rPr>
          <w:rStyle w:val="FootnoteReference"/>
        </w:rPr>
        <w:footnoteReference w:id="3"/>
      </w:r>
      <w:r w:rsidRPr="002908D5">
        <w:rPr>
          <w:rStyle w:val="FootnoteReference"/>
        </w:rPr>
        <w:t xml:space="preserve"> </w:t>
      </w:r>
      <w:r w:rsidRPr="003C27F0">
        <w:rPr>
          <w:shd w:val="clear" w:color="auto" w:fill="FFFFFF"/>
        </w:rPr>
        <w:t>The Government through its National Police Service ensured that there was meticulous deployment of law enforcement officers across the country during the electoral period. Training of security officers on public order management and the responsible use of force and firearms during crowd control was also done.</w:t>
      </w:r>
    </w:p>
    <w:p w14:paraId="76B6920D" w14:textId="77777777" w:rsidR="00A15861" w:rsidRPr="003C27F0" w:rsidRDefault="00A15861" w:rsidP="00A15861">
      <w:pPr>
        <w:pStyle w:val="SingleTxtG"/>
        <w:rPr>
          <w:shd w:val="clear" w:color="auto" w:fill="FFFFFF"/>
        </w:rPr>
      </w:pPr>
      <w:r w:rsidRPr="003C27F0">
        <w:t>32.</w:t>
      </w:r>
      <w:r w:rsidRPr="003C27F0">
        <w:tab/>
      </w:r>
      <w:r w:rsidRPr="003C27F0">
        <w:rPr>
          <w:rFonts w:eastAsia="Times New Roman"/>
        </w:rPr>
        <w:t>The Independent Elections and Boundaries Commission (IEBC) also engaged the relevant stakeholders to secure credible elections.</w:t>
      </w:r>
      <w:r w:rsidRPr="003C27F0">
        <w:t xml:space="preserve"> Government Ministries, Departments and Agencies (MDAs) involved in the elections preparedness for the August 2022 polls came together to form the National Multi-Agency Consultative Forum on Election Preparedness. The forum chaired by the Chief Justice provided a platform to share technical knowledge and expertise to guide the realization of credible elections whilst leveraging on the mandates of the respective MDAs. </w:t>
      </w:r>
    </w:p>
    <w:p w14:paraId="19E7AF8F" w14:textId="3DEF858D" w:rsidR="00A15861" w:rsidRDefault="00A15861" w:rsidP="000B0E07">
      <w:pPr>
        <w:pStyle w:val="SingleTxtG"/>
      </w:pPr>
      <w:r w:rsidRPr="00F0492E">
        <w:t>33.</w:t>
      </w:r>
      <w:r w:rsidRPr="00F0492E">
        <w:tab/>
        <w:t>The</w:t>
      </w:r>
      <w:r w:rsidRPr="003C27F0">
        <w:t xml:space="preserve"> Judicial</w:t>
      </w:r>
      <w:r w:rsidRPr="003C27F0">
        <w:rPr>
          <w:b/>
        </w:rPr>
        <w:t xml:space="preserve"> </w:t>
      </w:r>
      <w:r w:rsidRPr="003C27F0">
        <w:t>Committee on Elections provided a platform for collaboration and provided for preparation of resolution of electoral disputes including dialogue on legislative framework review on Electoral Dispute Resolution and training of Judges, Magistrates and other judicial officers on the electoral process.</w:t>
      </w:r>
      <w:r w:rsidRPr="003C27F0">
        <w:rPr>
          <w:b/>
        </w:rPr>
        <w:t xml:space="preserve"> </w:t>
      </w:r>
      <w:r w:rsidRPr="003C27F0">
        <w:t>The</w:t>
      </w:r>
      <w:r w:rsidRPr="003C27F0">
        <w:rPr>
          <w:b/>
        </w:rPr>
        <w:t xml:space="preserve"> </w:t>
      </w:r>
      <w:r w:rsidRPr="003C27F0">
        <w:t>Office of the Registrar of Political Parties, (ORPP) together with the IEBC established a joint technical advisory committee to address emerging concerns, in relation to political parties, that have an impact on the election.</w:t>
      </w:r>
      <w:r w:rsidRPr="003C27F0">
        <w:rPr>
          <w:b/>
        </w:rPr>
        <w:t xml:space="preserve"> </w:t>
      </w:r>
      <w:r w:rsidRPr="003C27F0">
        <w:t>The Directorate of Criminal Investigations (DCI) seconded investigators to the IEBC under a program that sought to enhance investigation and prosecution of breaches of security and election malpractices during election period.</w:t>
      </w:r>
      <w:r w:rsidRPr="003C27F0">
        <w:rPr>
          <w:b/>
        </w:rPr>
        <w:t xml:space="preserve"> </w:t>
      </w:r>
      <w:r w:rsidRPr="003C27F0">
        <w:t>The</w:t>
      </w:r>
      <w:r w:rsidRPr="003C27F0">
        <w:rPr>
          <w:b/>
        </w:rPr>
        <w:t xml:space="preserve"> </w:t>
      </w:r>
      <w:r w:rsidRPr="003C27F0">
        <w:t>Office of the Director for Public Prosecution (ODPP) and IEBC had a draft memorandum of understanding to establish a collaborative framework that seeks to efficiently enforce the Election Offences Act.</w:t>
      </w:r>
    </w:p>
    <w:p w14:paraId="28E3488B" w14:textId="1ED9A485" w:rsidR="000B0E07" w:rsidRPr="000B0E07" w:rsidRDefault="000B0E07" w:rsidP="000B0E07">
      <w:pPr>
        <w:pStyle w:val="SingleTxtG"/>
        <w:spacing w:before="240"/>
        <w:jc w:val="center"/>
        <w:rPr>
          <w:rFonts w:ascii="Century Gothic" w:eastAsia="Times New Roman" w:hAnsi="Century Gothic"/>
          <w:sz w:val="24"/>
          <w:szCs w:val="24"/>
          <w:u w:val="single"/>
          <w:lang w:eastAsia="en-US"/>
        </w:rPr>
      </w:pPr>
      <w:r>
        <w:rPr>
          <w:u w:val="single"/>
        </w:rPr>
        <w:tab/>
      </w:r>
      <w:r>
        <w:rPr>
          <w:u w:val="single"/>
        </w:rPr>
        <w:tab/>
      </w:r>
      <w:r>
        <w:rPr>
          <w:u w:val="single"/>
        </w:rPr>
        <w:tab/>
      </w:r>
      <w:r>
        <w:rPr>
          <w:u w:val="single"/>
        </w:rPr>
        <w:tab/>
      </w:r>
    </w:p>
    <w:sectPr w:rsidR="000B0E07" w:rsidRPr="000B0E07"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5DCA41" w14:textId="77777777" w:rsidR="0078476C" w:rsidRPr="00B903E5" w:rsidRDefault="0078476C" w:rsidP="00B903E5">
      <w:pPr>
        <w:pStyle w:val="Footer"/>
      </w:pPr>
    </w:p>
  </w:endnote>
  <w:endnote w:type="continuationSeparator" w:id="0">
    <w:p w14:paraId="3403AC20" w14:textId="77777777" w:rsidR="0078476C" w:rsidRPr="00B903E5" w:rsidRDefault="0078476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13EE1" w14:textId="77777777" w:rsidR="00A15861" w:rsidRDefault="00A15861" w:rsidP="00A15861">
    <w:pPr>
      <w:pStyle w:val="Footer"/>
      <w:tabs>
        <w:tab w:val="right" w:pos="9638"/>
      </w:tabs>
    </w:pPr>
    <w:r w:rsidRPr="00A15861">
      <w:rPr>
        <w:b/>
        <w:bCs/>
        <w:sz w:val="18"/>
      </w:rPr>
      <w:fldChar w:fldCharType="begin"/>
    </w:r>
    <w:r w:rsidRPr="00A15861">
      <w:rPr>
        <w:b/>
        <w:bCs/>
        <w:sz w:val="18"/>
      </w:rPr>
      <w:instrText xml:space="preserve"> PAGE  \* MERGEFORMAT </w:instrText>
    </w:r>
    <w:r w:rsidRPr="00A15861">
      <w:rPr>
        <w:b/>
        <w:bCs/>
        <w:sz w:val="18"/>
      </w:rPr>
      <w:fldChar w:fldCharType="separate"/>
    </w:r>
    <w:r w:rsidRPr="00A15861">
      <w:rPr>
        <w:b/>
        <w:bCs/>
        <w:noProof/>
        <w:sz w:val="18"/>
      </w:rPr>
      <w:t>2</w:t>
    </w:r>
    <w:r w:rsidRPr="00A15861">
      <w:rPr>
        <w:b/>
        <w:bCs/>
        <w:sz w:val="18"/>
      </w:rPr>
      <w:fldChar w:fldCharType="end"/>
    </w:r>
    <w:r>
      <w:tab/>
      <w:t>GE.23-14044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67039" w14:textId="77777777" w:rsidR="00A15861" w:rsidRDefault="00A15861" w:rsidP="00A15861">
    <w:pPr>
      <w:pStyle w:val="Footer"/>
      <w:tabs>
        <w:tab w:val="right" w:pos="9638"/>
      </w:tabs>
    </w:pPr>
    <w:r>
      <w:t>GE.23-14044</w:t>
    </w:r>
    <w:r>
      <w:tab/>
    </w:r>
    <w:r w:rsidRPr="00A15861">
      <w:rPr>
        <w:b/>
        <w:bCs/>
        <w:sz w:val="18"/>
      </w:rPr>
      <w:fldChar w:fldCharType="begin"/>
    </w:r>
    <w:r w:rsidRPr="00A15861">
      <w:rPr>
        <w:b/>
        <w:bCs/>
        <w:sz w:val="18"/>
      </w:rPr>
      <w:instrText xml:space="preserve"> PAGE  \* MERGEFORMAT </w:instrText>
    </w:r>
    <w:r w:rsidRPr="00A15861">
      <w:rPr>
        <w:b/>
        <w:bCs/>
        <w:sz w:val="18"/>
      </w:rPr>
      <w:fldChar w:fldCharType="separate"/>
    </w:r>
    <w:r w:rsidRPr="00A15861">
      <w:rPr>
        <w:b/>
        <w:bCs/>
        <w:noProof/>
        <w:sz w:val="18"/>
      </w:rPr>
      <w:t>3</w:t>
    </w:r>
    <w:r w:rsidRPr="00A158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01182" w14:textId="77777777" w:rsidR="00A15861" w:rsidRDefault="00A15861">
    <w:pPr>
      <w:pStyle w:val="Footer"/>
      <w:rPr>
        <w:sz w:val="20"/>
      </w:rPr>
    </w:pPr>
    <w:r>
      <w:rPr>
        <w:noProof/>
        <w:lang w:val="en-US"/>
      </w:rPr>
      <w:drawing>
        <wp:anchor distT="0" distB="0" distL="114300" distR="114300" simplePos="0" relativeHeight="251659264" behindDoc="1" locked="1" layoutInCell="1" allowOverlap="1" wp14:anchorId="2C0D2579" wp14:editId="0F63628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6C90AD" w14:textId="6C06023F" w:rsidR="00A15861" w:rsidRPr="00A15861" w:rsidRDefault="00A15861" w:rsidP="00A15861">
    <w:pPr>
      <w:pStyle w:val="Footer"/>
      <w:tabs>
        <w:tab w:val="right" w:pos="7370"/>
      </w:tabs>
      <w:rPr>
        <w:sz w:val="20"/>
      </w:rPr>
    </w:pPr>
    <w:r>
      <w:rPr>
        <w:sz w:val="20"/>
      </w:rPr>
      <w:t>GE.23-14044  (E)</w:t>
    </w:r>
    <w:r>
      <w:rPr>
        <w:noProof/>
        <w:sz w:val="20"/>
      </w:rPr>
      <w:drawing>
        <wp:anchor distT="0" distB="0" distL="114300" distR="114300" simplePos="0" relativeHeight="251660288" behindDoc="0" locked="0" layoutInCell="1" allowOverlap="1" wp14:anchorId="72C7D17F" wp14:editId="76BCEA0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76A89">
      <w:rPr>
        <w:sz w:val="20"/>
      </w:rPr>
      <w:t xml:space="preserve">    </w:t>
    </w:r>
    <w:r w:rsidR="001B1305">
      <w:rPr>
        <w:sz w:val="20"/>
      </w:rPr>
      <w:t>210723    2</w:t>
    </w:r>
    <w:r w:rsidR="00DD583D">
      <w:rPr>
        <w:sz w:val="20"/>
      </w:rPr>
      <w:t>4</w:t>
    </w:r>
    <w:r w:rsidR="001B1305">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B062C" w14:textId="77777777" w:rsidR="0078476C" w:rsidRPr="00B903E5" w:rsidRDefault="0078476C" w:rsidP="00B903E5">
      <w:pPr>
        <w:tabs>
          <w:tab w:val="right" w:pos="2155"/>
        </w:tabs>
        <w:spacing w:after="80" w:line="240" w:lineRule="auto"/>
        <w:ind w:left="680"/>
      </w:pPr>
      <w:r>
        <w:rPr>
          <w:u w:val="single"/>
        </w:rPr>
        <w:tab/>
      </w:r>
    </w:p>
  </w:footnote>
  <w:footnote w:type="continuationSeparator" w:id="0">
    <w:p w14:paraId="75F86D8F" w14:textId="77777777" w:rsidR="0078476C" w:rsidRPr="00B903E5" w:rsidRDefault="0078476C" w:rsidP="00B903E5">
      <w:pPr>
        <w:tabs>
          <w:tab w:val="right" w:pos="2155"/>
        </w:tabs>
        <w:spacing w:after="80" w:line="240" w:lineRule="auto"/>
        <w:ind w:left="680"/>
      </w:pPr>
      <w:r>
        <w:rPr>
          <w:u w:val="single"/>
        </w:rPr>
        <w:tab/>
      </w:r>
    </w:p>
  </w:footnote>
  <w:footnote w:id="1">
    <w:p w14:paraId="55882426" w14:textId="77777777" w:rsidR="00A15861" w:rsidRDefault="00A15861" w:rsidP="008247EF">
      <w:pPr>
        <w:pStyle w:val="FootnoteText"/>
        <w:rPr>
          <w:lang w:val="en-US"/>
        </w:rPr>
      </w:pPr>
      <w:r>
        <w:tab/>
      </w:r>
      <w:r w:rsidRPr="00645AF4">
        <w:rPr>
          <w:sz w:val="20"/>
        </w:rPr>
        <w:t>*</w:t>
      </w:r>
      <w:r>
        <w:rPr>
          <w:sz w:val="20"/>
        </w:rPr>
        <w:tab/>
      </w:r>
      <w:r>
        <w:t>The present document is being issued without formal editing.</w:t>
      </w:r>
    </w:p>
  </w:footnote>
  <w:footnote w:id="2">
    <w:p w14:paraId="62DFBB11" w14:textId="4E0E6049" w:rsidR="00A15861" w:rsidRPr="00370082" w:rsidRDefault="00A15861" w:rsidP="008247EF">
      <w:pPr>
        <w:pStyle w:val="FootnoteText"/>
      </w:pPr>
      <w:r>
        <w:tab/>
      </w:r>
      <w:r w:rsidRPr="002908D5">
        <w:rPr>
          <w:rStyle w:val="FootnoteReference"/>
        </w:rPr>
        <w:footnoteRef/>
      </w:r>
      <w:r w:rsidRPr="002908D5">
        <w:rPr>
          <w:rStyle w:val="FootnoteReference"/>
        </w:rPr>
        <w:tab/>
      </w:r>
      <w:r w:rsidRPr="00D834FA">
        <w:t>https://www.ohchr.org/en/stories/2023/03/partnerships-and-training-helped-prevent-election-violence</w:t>
      </w:r>
      <w:r w:rsidR="000B0E07">
        <w:t>.</w:t>
      </w:r>
    </w:p>
  </w:footnote>
  <w:footnote w:id="3">
    <w:p w14:paraId="3C185F48" w14:textId="1890B3A7" w:rsidR="00A15861" w:rsidRPr="00370082" w:rsidRDefault="00A15861" w:rsidP="008247EF">
      <w:pPr>
        <w:pStyle w:val="FootnoteText"/>
        <w:rPr>
          <w:sz w:val="20"/>
        </w:rPr>
      </w:pPr>
      <w:r>
        <w:tab/>
      </w:r>
      <w:r w:rsidRPr="002908D5">
        <w:rPr>
          <w:rStyle w:val="FootnoteReference"/>
        </w:rPr>
        <w:footnoteRef/>
      </w:r>
      <w:r w:rsidRPr="002908D5">
        <w:rPr>
          <w:rStyle w:val="FootnoteReference"/>
        </w:rPr>
        <w:tab/>
      </w:r>
      <w:r w:rsidRPr="00D834FA">
        <w:t>Kenya National Commission on Human Rights (KNCHR) 2022 election observation report</w:t>
      </w:r>
      <w:r w:rsidR="000B0E0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E4BBB" w14:textId="77777777" w:rsidR="00A15861" w:rsidRDefault="00A15861" w:rsidP="00A15861">
    <w:pPr>
      <w:pStyle w:val="Header"/>
    </w:pPr>
    <w:r>
      <w:t>CCPR/C/KEN/FCO/4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5C8D" w14:textId="77777777" w:rsidR="00A15861" w:rsidRDefault="00A15861" w:rsidP="00A15861">
    <w:pPr>
      <w:pStyle w:val="Header"/>
      <w:jc w:val="right"/>
    </w:pPr>
    <w:r>
      <w:t>CCPR/C/KEN/FCO/4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2353302">
    <w:abstractNumId w:val="3"/>
  </w:num>
  <w:num w:numId="2" w16cid:durableId="1110396465">
    <w:abstractNumId w:val="2"/>
  </w:num>
  <w:num w:numId="3" w16cid:durableId="668993047">
    <w:abstractNumId w:val="0"/>
  </w:num>
  <w:num w:numId="4" w16cid:durableId="2059621837">
    <w:abstractNumId w:val="4"/>
  </w:num>
  <w:num w:numId="5" w16cid:durableId="237641984">
    <w:abstractNumId w:val="5"/>
  </w:num>
  <w:num w:numId="6" w16cid:durableId="1474983045">
    <w:abstractNumId w:val="6"/>
  </w:num>
  <w:num w:numId="7" w16cid:durableId="1523665640">
    <w:abstractNumId w:val="1"/>
  </w:num>
  <w:num w:numId="8" w16cid:durableId="181822485">
    <w:abstractNumId w:val="3"/>
  </w:num>
  <w:num w:numId="9" w16cid:durableId="1452825212">
    <w:abstractNumId w:val="2"/>
  </w:num>
  <w:num w:numId="10" w16cid:durableId="132910706">
    <w:abstractNumId w:val="0"/>
  </w:num>
  <w:num w:numId="11" w16cid:durableId="1388457701">
    <w:abstractNumId w:val="5"/>
  </w:num>
  <w:num w:numId="12" w16cid:durableId="1323923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6C"/>
    <w:rsid w:val="00005CAD"/>
    <w:rsid w:val="00021113"/>
    <w:rsid w:val="00030126"/>
    <w:rsid w:val="00046E92"/>
    <w:rsid w:val="0006523D"/>
    <w:rsid w:val="000820E8"/>
    <w:rsid w:val="000B0E07"/>
    <w:rsid w:val="00131D7A"/>
    <w:rsid w:val="00165C15"/>
    <w:rsid w:val="00193B08"/>
    <w:rsid w:val="001B1305"/>
    <w:rsid w:val="0022507E"/>
    <w:rsid w:val="00231AB0"/>
    <w:rsid w:val="00247E2C"/>
    <w:rsid w:val="002908D5"/>
    <w:rsid w:val="002A3FDE"/>
    <w:rsid w:val="002D6C53"/>
    <w:rsid w:val="002F5595"/>
    <w:rsid w:val="00334F6A"/>
    <w:rsid w:val="0034214B"/>
    <w:rsid w:val="00342AC8"/>
    <w:rsid w:val="003B4550"/>
    <w:rsid w:val="003E2256"/>
    <w:rsid w:val="00425E45"/>
    <w:rsid w:val="00432A65"/>
    <w:rsid w:val="00461253"/>
    <w:rsid w:val="00472FED"/>
    <w:rsid w:val="005042C2"/>
    <w:rsid w:val="00567569"/>
    <w:rsid w:val="0057425E"/>
    <w:rsid w:val="005B06B7"/>
    <w:rsid w:val="005C5111"/>
    <w:rsid w:val="005D65FD"/>
    <w:rsid w:val="00605E60"/>
    <w:rsid w:val="00630459"/>
    <w:rsid w:val="00671529"/>
    <w:rsid w:val="00684AE7"/>
    <w:rsid w:val="007268F9"/>
    <w:rsid w:val="007327A0"/>
    <w:rsid w:val="0078476C"/>
    <w:rsid w:val="007A2032"/>
    <w:rsid w:val="007C52B0"/>
    <w:rsid w:val="007F21A2"/>
    <w:rsid w:val="00817E57"/>
    <w:rsid w:val="008247EF"/>
    <w:rsid w:val="00892361"/>
    <w:rsid w:val="008D3450"/>
    <w:rsid w:val="009075B0"/>
    <w:rsid w:val="009411B4"/>
    <w:rsid w:val="0098200B"/>
    <w:rsid w:val="009B0788"/>
    <w:rsid w:val="009D0139"/>
    <w:rsid w:val="009F5CDC"/>
    <w:rsid w:val="00A15861"/>
    <w:rsid w:val="00A23459"/>
    <w:rsid w:val="00A775CF"/>
    <w:rsid w:val="00A96A08"/>
    <w:rsid w:val="00B06045"/>
    <w:rsid w:val="00B53AA5"/>
    <w:rsid w:val="00B64E4D"/>
    <w:rsid w:val="00B761CF"/>
    <w:rsid w:val="00B76A89"/>
    <w:rsid w:val="00B903E5"/>
    <w:rsid w:val="00B90943"/>
    <w:rsid w:val="00BC0ABE"/>
    <w:rsid w:val="00BE17C7"/>
    <w:rsid w:val="00C340D0"/>
    <w:rsid w:val="00C35A27"/>
    <w:rsid w:val="00C4754A"/>
    <w:rsid w:val="00CA1AEA"/>
    <w:rsid w:val="00CD5695"/>
    <w:rsid w:val="00D327D6"/>
    <w:rsid w:val="00D437B7"/>
    <w:rsid w:val="00DB065A"/>
    <w:rsid w:val="00DB713A"/>
    <w:rsid w:val="00DD583D"/>
    <w:rsid w:val="00E02C2B"/>
    <w:rsid w:val="00E05879"/>
    <w:rsid w:val="00ED6C48"/>
    <w:rsid w:val="00F248D5"/>
    <w:rsid w:val="00F41F0F"/>
    <w:rsid w:val="00F65F5D"/>
    <w:rsid w:val="00F66825"/>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2F3C4"/>
  <w15:docId w15:val="{0EC877DD-90BB-46BB-8371-0CEC1AB9E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5861"/>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A15861"/>
    <w:pPr>
      <w:spacing w:after="0" w:line="240" w:lineRule="auto"/>
      <w:ind w:right="0"/>
      <w:jc w:val="left"/>
      <w:outlineLvl w:val="0"/>
    </w:pPr>
  </w:style>
  <w:style w:type="paragraph" w:styleId="Heading2">
    <w:name w:val="heading 2"/>
    <w:basedOn w:val="Normal"/>
    <w:next w:val="Normal"/>
    <w:link w:val="Heading2Char"/>
    <w:semiHidden/>
    <w:rsid w:val="00A15861"/>
    <w:pPr>
      <w:spacing w:line="240" w:lineRule="auto"/>
      <w:outlineLvl w:val="1"/>
    </w:pPr>
  </w:style>
  <w:style w:type="paragraph" w:styleId="Heading3">
    <w:name w:val="heading 3"/>
    <w:basedOn w:val="Normal"/>
    <w:next w:val="Normal"/>
    <w:link w:val="Heading3Char"/>
    <w:semiHidden/>
    <w:rsid w:val="00A15861"/>
    <w:pPr>
      <w:spacing w:line="240" w:lineRule="auto"/>
      <w:outlineLvl w:val="2"/>
    </w:pPr>
  </w:style>
  <w:style w:type="paragraph" w:styleId="Heading4">
    <w:name w:val="heading 4"/>
    <w:basedOn w:val="Normal"/>
    <w:next w:val="Normal"/>
    <w:link w:val="Heading4Char"/>
    <w:semiHidden/>
    <w:rsid w:val="00A15861"/>
    <w:pPr>
      <w:spacing w:line="240" w:lineRule="auto"/>
      <w:outlineLvl w:val="3"/>
    </w:pPr>
  </w:style>
  <w:style w:type="paragraph" w:styleId="Heading5">
    <w:name w:val="heading 5"/>
    <w:basedOn w:val="Normal"/>
    <w:next w:val="Normal"/>
    <w:link w:val="Heading5Char"/>
    <w:semiHidden/>
    <w:rsid w:val="00A15861"/>
    <w:pPr>
      <w:spacing w:line="240" w:lineRule="auto"/>
      <w:outlineLvl w:val="4"/>
    </w:pPr>
  </w:style>
  <w:style w:type="paragraph" w:styleId="Heading6">
    <w:name w:val="heading 6"/>
    <w:basedOn w:val="Normal"/>
    <w:next w:val="Normal"/>
    <w:link w:val="Heading6Char"/>
    <w:semiHidden/>
    <w:rsid w:val="00A15861"/>
    <w:pPr>
      <w:spacing w:line="240" w:lineRule="auto"/>
      <w:outlineLvl w:val="5"/>
    </w:pPr>
  </w:style>
  <w:style w:type="paragraph" w:styleId="Heading7">
    <w:name w:val="heading 7"/>
    <w:basedOn w:val="Normal"/>
    <w:next w:val="Normal"/>
    <w:link w:val="Heading7Char"/>
    <w:semiHidden/>
    <w:rsid w:val="00A15861"/>
    <w:pPr>
      <w:spacing w:line="240" w:lineRule="auto"/>
      <w:outlineLvl w:val="6"/>
    </w:pPr>
  </w:style>
  <w:style w:type="paragraph" w:styleId="Heading8">
    <w:name w:val="heading 8"/>
    <w:basedOn w:val="Normal"/>
    <w:next w:val="Normal"/>
    <w:link w:val="Heading8Char"/>
    <w:semiHidden/>
    <w:rsid w:val="00A15861"/>
    <w:pPr>
      <w:spacing w:line="240" w:lineRule="auto"/>
      <w:outlineLvl w:val="7"/>
    </w:pPr>
  </w:style>
  <w:style w:type="paragraph" w:styleId="Heading9">
    <w:name w:val="heading 9"/>
    <w:basedOn w:val="Normal"/>
    <w:next w:val="Normal"/>
    <w:link w:val="Heading9Char"/>
    <w:semiHidden/>
    <w:rsid w:val="00A15861"/>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1586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A15861"/>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A15861"/>
    <w:pPr>
      <w:tabs>
        <w:tab w:val="left" w:pos="1701"/>
        <w:tab w:val="left" w:pos="2268"/>
      </w:tabs>
      <w:spacing w:after="120"/>
      <w:ind w:left="1134" w:right="1134"/>
      <w:jc w:val="both"/>
    </w:pPr>
  </w:style>
  <w:style w:type="paragraph" w:customStyle="1" w:styleId="SLG">
    <w:name w:val="__S_L_G"/>
    <w:basedOn w:val="Normal"/>
    <w:next w:val="Normal"/>
    <w:rsid w:val="00A15861"/>
    <w:pPr>
      <w:keepNext/>
      <w:keepLines/>
      <w:spacing w:before="240" w:after="240" w:line="580" w:lineRule="exact"/>
      <w:ind w:left="1134" w:right="1134"/>
    </w:pPr>
    <w:rPr>
      <w:b/>
      <w:sz w:val="56"/>
    </w:rPr>
  </w:style>
  <w:style w:type="paragraph" w:customStyle="1" w:styleId="SMG">
    <w:name w:val="__S_M_G"/>
    <w:basedOn w:val="Normal"/>
    <w:next w:val="Normal"/>
    <w:rsid w:val="00A15861"/>
    <w:pPr>
      <w:keepNext/>
      <w:keepLines/>
      <w:spacing w:before="240" w:after="240" w:line="420" w:lineRule="exact"/>
      <w:ind w:left="1134" w:right="1134"/>
    </w:pPr>
    <w:rPr>
      <w:b/>
      <w:sz w:val="40"/>
    </w:rPr>
  </w:style>
  <w:style w:type="paragraph" w:customStyle="1" w:styleId="SSG">
    <w:name w:val="__S_S_G"/>
    <w:basedOn w:val="Normal"/>
    <w:next w:val="Normal"/>
    <w:rsid w:val="00A15861"/>
    <w:pPr>
      <w:keepNext/>
      <w:keepLines/>
      <w:spacing w:before="240" w:after="240" w:line="300" w:lineRule="exact"/>
      <w:ind w:left="1134" w:right="1134"/>
    </w:pPr>
    <w:rPr>
      <w:b/>
      <w:sz w:val="28"/>
    </w:rPr>
  </w:style>
  <w:style w:type="paragraph" w:customStyle="1" w:styleId="XLargeG">
    <w:name w:val="__XLarge_G"/>
    <w:basedOn w:val="Normal"/>
    <w:next w:val="Normal"/>
    <w:rsid w:val="00A15861"/>
    <w:pPr>
      <w:keepNext/>
      <w:keepLines/>
      <w:spacing w:before="240" w:after="240" w:line="420" w:lineRule="exact"/>
      <w:ind w:left="1134" w:right="1134"/>
    </w:pPr>
    <w:rPr>
      <w:b/>
      <w:sz w:val="40"/>
    </w:rPr>
  </w:style>
  <w:style w:type="paragraph" w:customStyle="1" w:styleId="Bullet1G">
    <w:name w:val="_Bullet 1_G"/>
    <w:basedOn w:val="Normal"/>
    <w:rsid w:val="00A15861"/>
    <w:pPr>
      <w:numPr>
        <w:numId w:val="8"/>
      </w:numPr>
      <w:spacing w:after="120"/>
      <w:ind w:right="1134"/>
      <w:jc w:val="both"/>
    </w:pPr>
  </w:style>
  <w:style w:type="paragraph" w:customStyle="1" w:styleId="Bullet2G">
    <w:name w:val="_Bullet 2_G"/>
    <w:basedOn w:val="Normal"/>
    <w:rsid w:val="00A15861"/>
    <w:pPr>
      <w:numPr>
        <w:numId w:val="9"/>
      </w:numPr>
      <w:spacing w:after="120"/>
      <w:ind w:right="1134"/>
      <w:jc w:val="both"/>
    </w:pPr>
  </w:style>
  <w:style w:type="paragraph" w:customStyle="1" w:styleId="ParaNoG">
    <w:name w:val="_ParaNo._G"/>
    <w:basedOn w:val="SingleTxtG"/>
    <w:rsid w:val="00A15861"/>
    <w:pPr>
      <w:numPr>
        <w:numId w:val="10"/>
      </w:numPr>
      <w:tabs>
        <w:tab w:val="clear" w:pos="0"/>
      </w:tabs>
    </w:pPr>
  </w:style>
  <w:style w:type="numbering" w:styleId="111111">
    <w:name w:val="Outline List 2"/>
    <w:basedOn w:val="NoList"/>
    <w:semiHidden/>
    <w:rsid w:val="00A15861"/>
    <w:pPr>
      <w:numPr>
        <w:numId w:val="5"/>
      </w:numPr>
    </w:pPr>
  </w:style>
  <w:style w:type="numbering" w:styleId="1ai">
    <w:name w:val="Outline List 1"/>
    <w:basedOn w:val="NoList"/>
    <w:semiHidden/>
    <w:rsid w:val="00A15861"/>
    <w:pPr>
      <w:numPr>
        <w:numId w:val="6"/>
      </w:numPr>
    </w:pPr>
  </w:style>
  <w:style w:type="character" w:styleId="EndnoteReference">
    <w:name w:val="endnote reference"/>
    <w:aliases w:val="1_G"/>
    <w:rsid w:val="00A15861"/>
    <w:rPr>
      <w:rFonts w:ascii="Times New Roman" w:hAnsi="Times New Roman"/>
      <w:sz w:val="18"/>
      <w:vertAlign w:val="superscript"/>
    </w:rPr>
  </w:style>
  <w:style w:type="character" w:styleId="CommentReference">
    <w:name w:val="annotation reference"/>
    <w:basedOn w:val="DefaultParagraphFont"/>
    <w:uiPriority w:val="99"/>
    <w:semiHidden/>
    <w:unhideWhenUsed/>
    <w:rsid w:val="00030126"/>
    <w:rPr>
      <w:sz w:val="16"/>
      <w:szCs w:val="16"/>
    </w:rPr>
  </w:style>
  <w:style w:type="paragraph" w:styleId="CommentText">
    <w:name w:val="annotation text"/>
    <w:basedOn w:val="Normal"/>
    <w:link w:val="CommentTextChar"/>
    <w:uiPriority w:val="99"/>
    <w:semiHidden/>
    <w:unhideWhenUsed/>
    <w:rsid w:val="00030126"/>
    <w:pPr>
      <w:spacing w:line="240" w:lineRule="auto"/>
    </w:pPr>
  </w:style>
  <w:style w:type="paragraph" w:styleId="EndnoteText">
    <w:name w:val="endnote text"/>
    <w:aliases w:val="2_G"/>
    <w:basedOn w:val="FootnoteText"/>
    <w:link w:val="EndnoteTextChar"/>
    <w:rsid w:val="00A15861"/>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A15861"/>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A15861"/>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586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A15861"/>
    <w:rPr>
      <w:rFonts w:ascii="Times New Roman" w:hAnsi="Times New Roman" w:cs="Times New Roman"/>
      <w:sz w:val="18"/>
      <w:szCs w:val="20"/>
    </w:rPr>
  </w:style>
  <w:style w:type="character" w:styleId="FootnoteReference">
    <w:name w:val="footnote reference"/>
    <w:aliases w:val="4_G"/>
    <w:rsid w:val="00A15861"/>
    <w:rPr>
      <w:rFonts w:ascii="Times New Roman" w:hAnsi="Times New Roman"/>
      <w:sz w:val="18"/>
      <w:vertAlign w:val="superscript"/>
    </w:rPr>
  </w:style>
  <w:style w:type="character" w:customStyle="1" w:styleId="SingleTxtGChar">
    <w:name w:val="_ Single Txt_G Char"/>
    <w:link w:val="SingleTxtG"/>
    <w:rsid w:val="00A15861"/>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30126"/>
    <w:rPr>
      <w:rFonts w:ascii="Times New Roman" w:hAnsi="Times New Roman" w:cs="Times New Roman"/>
      <w:sz w:val="20"/>
      <w:szCs w:val="20"/>
    </w:rPr>
  </w:style>
  <w:style w:type="character" w:styleId="Hyperlink">
    <w:name w:val="Hyperlink"/>
    <w:basedOn w:val="DefaultParagraphFont"/>
    <w:rsid w:val="00A15861"/>
    <w:rPr>
      <w:color w:val="0000FF" w:themeColor="hyperlink"/>
      <w:u w:val="none"/>
    </w:rPr>
  </w:style>
  <w:style w:type="character" w:styleId="UnresolvedMention">
    <w:name w:val="Unresolved Mention"/>
    <w:basedOn w:val="DefaultParagraphFont"/>
    <w:uiPriority w:val="99"/>
    <w:semiHidden/>
    <w:unhideWhenUsed/>
    <w:rsid w:val="001B1305"/>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30126"/>
    <w:rPr>
      <w:b/>
      <w:bCs/>
    </w:rPr>
  </w:style>
  <w:style w:type="character" w:customStyle="1" w:styleId="CommentSubjectChar">
    <w:name w:val="Comment Subject Char"/>
    <w:basedOn w:val="CommentTextChar"/>
    <w:link w:val="CommentSubject"/>
    <w:uiPriority w:val="99"/>
    <w:semiHidden/>
    <w:rsid w:val="0003012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CPR/C/KEN/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3119</Words>
  <Characters>17080</Characters>
  <Application>Microsoft Office Word</Application>
  <DocSecurity>0</DocSecurity>
  <Lines>479</Lines>
  <Paragraphs>245</Paragraphs>
  <ScaleCrop>false</ScaleCrop>
  <HeadingPairs>
    <vt:vector size="2" baseType="variant">
      <vt:variant>
        <vt:lpstr>Title</vt:lpstr>
      </vt:variant>
      <vt:variant>
        <vt:i4>1</vt:i4>
      </vt:variant>
    </vt:vector>
  </HeadingPairs>
  <TitlesOfParts>
    <vt:vector size="1" baseType="lpstr">
      <vt:lpstr>CCPR/C/KEN/FCO/4</vt:lpstr>
    </vt:vector>
  </TitlesOfParts>
  <Company>DCM</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CCPR/C/KEN/FCO/4</dc:title>
  <dc:subject>2314044</dc:subject>
  <dc:creator>AVT</dc:creator>
  <cp:keywords/>
  <dc:description/>
  <cp:lastModifiedBy>Anni Vi Tirol</cp:lastModifiedBy>
  <cp:revision>2</cp:revision>
  <dcterms:created xsi:type="dcterms:W3CDTF">2023-07-24T07:02:00Z</dcterms:created>
  <dcterms:modified xsi:type="dcterms:W3CDTF">2023-07-24T07:02:00Z</dcterms:modified>
</cp:coreProperties>
</file>