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92E" w:rsidRDefault="0065792E" w:rsidP="0065792E">
      <w:pPr>
        <w:spacing w:line="60" w:lineRule="exact"/>
        <w:rPr>
          <w:sz w:val="6"/>
        </w:rPr>
        <w:sectPr w:rsidR="0065792E" w:rsidSect="0065792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65792E" w:rsidRDefault="0065792E" w:rsidP="0065792E">
      <w:pPr>
        <w:spacing w:line="60" w:lineRule="exact"/>
        <w:rPr>
          <w:sz w:val="6"/>
        </w:rPr>
      </w:pPr>
    </w:p>
    <w:p w:rsidR="00773576" w:rsidRDefault="00773576" w:rsidP="000B19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消除对妇女一切形式歧视委员会</w:t>
      </w:r>
    </w:p>
    <w:p w:rsidR="00773576" w:rsidRPr="000B1922" w:rsidRDefault="00773576" w:rsidP="000B19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spacing w:val="2"/>
          <w:sz w:val="21"/>
        </w:rPr>
      </w:pPr>
      <w:r w:rsidRPr="000B1922">
        <w:rPr>
          <w:rFonts w:hint="eastAsia"/>
          <w:spacing w:val="2"/>
          <w:sz w:val="21"/>
        </w:rPr>
        <w:t>会前工作组</w:t>
      </w:r>
    </w:p>
    <w:p w:rsidR="00773576" w:rsidRDefault="00773576" w:rsidP="000B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第三十七届会议</w:t>
      </w:r>
    </w:p>
    <w:p w:rsidR="00773576" w:rsidRDefault="00773576" w:rsidP="00773576">
      <w:pPr>
        <w:pStyle w:val="SingleTxt"/>
        <w:spacing w:after="80"/>
        <w:ind w:hanging="1264"/>
        <w:rPr>
          <w:rFonts w:hint="eastAsia"/>
        </w:rPr>
      </w:pPr>
      <w:r>
        <w:rPr>
          <w:rFonts w:hint="eastAsia"/>
        </w:rPr>
        <w:t>2007年1月15日</w:t>
      </w:r>
      <w:r>
        <w:t>-</w:t>
      </w:r>
      <w:r>
        <w:rPr>
          <w:rFonts w:hint="eastAsia"/>
        </w:rPr>
        <w:t>2月2日</w:t>
      </w:r>
    </w:p>
    <w:p w:rsidR="00773576" w:rsidRPr="00773576" w:rsidRDefault="00773576" w:rsidP="0077357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73576" w:rsidRPr="00773576" w:rsidRDefault="00773576" w:rsidP="0077357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302DE" w:rsidRPr="007302DE" w:rsidRDefault="007302DE" w:rsidP="007302DE">
      <w:pPr>
        <w:framePr w:w="9792" w:h="432" w:hSpace="180" w:wrap="around" w:hAnchor="page" w:x="1210" w:yAlign="bottom"/>
        <w:spacing w:line="100" w:lineRule="exact"/>
        <w:rPr>
          <w:sz w:val="10"/>
        </w:rPr>
      </w:pPr>
    </w:p>
    <w:p w:rsidR="007302DE" w:rsidRPr="007302DE" w:rsidRDefault="007302DE" w:rsidP="007302DE">
      <w:pPr>
        <w:framePr w:w="9792" w:h="432" w:hSpace="180" w:wrap="around" w:hAnchor="page" w:x="1210" w:yAlign="bottom"/>
        <w:spacing w:line="60" w:lineRule="exact"/>
        <w:rPr>
          <w:sz w:val="6"/>
        </w:rPr>
      </w:pPr>
      <w:r w:rsidRPr="007302DE">
        <w:rPr>
          <w:noProof/>
          <w:sz w:val="6"/>
        </w:rPr>
        <w:pict>
          <v:line id="_x0000_s1027" style="position:absolute;left:0;text-align:left;z-index:2;mso-position-horizontal-relative:page" from="108pt,-1pt" to="180pt,-1pt" strokeweight=".25pt">
            <w10:wrap anchorx="page"/>
          </v:line>
        </w:pict>
      </w:r>
    </w:p>
    <w:p w:rsidR="007302DE" w:rsidRPr="007302DE" w:rsidRDefault="007302DE" w:rsidP="007302DE">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7302DE">
        <w:rPr>
          <w:sz w:val="18"/>
          <w:vertAlign w:val="superscript"/>
        </w:rPr>
        <w:t>*</w:t>
      </w:r>
      <w:r>
        <w:rPr>
          <w:sz w:val="18"/>
        </w:rPr>
        <w:tab/>
      </w:r>
      <w:r w:rsidRPr="007302DE">
        <w:rPr>
          <w:rFonts w:hint="eastAsia"/>
          <w:sz w:val="18"/>
        </w:rPr>
        <w:t>问题清单的页码指该报告英文本的页码。</w:t>
      </w:r>
    </w:p>
    <w:p w:rsidR="000B1922" w:rsidRPr="000B1922" w:rsidRDefault="000B1922" w:rsidP="000B192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73576" w:rsidRPr="007302DE" w:rsidRDefault="00773576" w:rsidP="0077357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rPr>
          <w:rFonts w:ascii="Times New Roman"/>
        </w:rPr>
        <w:tab/>
      </w:r>
      <w:r>
        <w:rPr>
          <w:rFonts w:ascii="Times New Roman"/>
        </w:rPr>
        <w:tab/>
      </w:r>
      <w:r>
        <w:rPr>
          <w:rFonts w:hint="eastAsia"/>
        </w:rPr>
        <w:t>审议定期报告的问题清单</w:t>
      </w:r>
      <w:r w:rsidR="007302DE" w:rsidRPr="007302DE">
        <w:rPr>
          <w:rFonts w:ascii="Times New Roman"/>
          <w:vertAlign w:val="superscript"/>
        </w:rPr>
        <w:t>*</w:t>
      </w:r>
    </w:p>
    <w:p w:rsidR="00773576" w:rsidRPr="00773576" w:rsidRDefault="00773576" w:rsidP="007735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73576" w:rsidRDefault="00773576" w:rsidP="007735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波兰</w:t>
      </w:r>
    </w:p>
    <w:p w:rsidR="00773576" w:rsidRPr="00773576" w:rsidRDefault="00773576" w:rsidP="00773576">
      <w:pPr>
        <w:pStyle w:val="SingleTxt"/>
        <w:spacing w:after="0" w:line="120" w:lineRule="exact"/>
        <w:rPr>
          <w:rFonts w:hint="eastAsia"/>
          <w:sz w:val="10"/>
        </w:rPr>
      </w:pPr>
    </w:p>
    <w:p w:rsidR="00773576" w:rsidRDefault="00773576" w:rsidP="0007247D">
      <w:pPr>
        <w:pStyle w:val="SingleTxt"/>
        <w:spacing w:after="120"/>
        <w:rPr>
          <w:rFonts w:hint="eastAsia"/>
        </w:rPr>
      </w:pPr>
      <w:r>
        <w:rPr>
          <w:rFonts w:hint="eastAsia"/>
        </w:rPr>
        <w:t>1</w:t>
      </w:r>
      <w:r w:rsidR="000B1922">
        <w:rPr>
          <w:rFonts w:hint="eastAsia"/>
        </w:rPr>
        <w:t>.</w:t>
      </w:r>
      <w:r>
        <w:rPr>
          <w:rFonts w:hint="eastAsia"/>
        </w:rPr>
        <w:tab/>
        <w:t>会前工作组审查了波兰的第四次和第五次合并定期报告(CEDAW/C/POL/4-5) 和第六次定期报告(CEDAW/C/POL/6)。</w:t>
      </w:r>
    </w:p>
    <w:p w:rsidR="00773576" w:rsidRPr="00773576" w:rsidRDefault="00773576" w:rsidP="0007247D">
      <w:pPr>
        <w:pStyle w:val="SingleTxt"/>
        <w:spacing w:after="120"/>
        <w:rPr>
          <w:rFonts w:ascii="SimHei" w:eastAsia="SimHei" w:hint="eastAsia"/>
          <w:color w:val="FF0000"/>
        </w:rPr>
      </w:pPr>
      <w:r w:rsidRPr="00773576">
        <w:rPr>
          <w:rFonts w:ascii="SimHei" w:eastAsia="SimHei" w:hint="eastAsia"/>
          <w:color w:val="FF0000"/>
        </w:rPr>
        <w:t>概述</w:t>
      </w:r>
    </w:p>
    <w:p w:rsidR="00773576" w:rsidRDefault="00773576" w:rsidP="0007247D">
      <w:pPr>
        <w:pStyle w:val="SingleTxt"/>
        <w:spacing w:after="120"/>
        <w:rPr>
          <w:rFonts w:hint="eastAsia"/>
        </w:rPr>
      </w:pPr>
      <w:r>
        <w:rPr>
          <w:rFonts w:hint="eastAsia"/>
        </w:rPr>
        <w:t>2</w:t>
      </w:r>
      <w:r w:rsidR="000B1922">
        <w:rPr>
          <w:rFonts w:hint="eastAsia"/>
        </w:rPr>
        <w:t>.</w:t>
      </w:r>
      <w:r>
        <w:rPr>
          <w:rFonts w:hint="eastAsia"/>
        </w:rPr>
        <w:tab/>
        <w:t>请提供关于编写第四次和第五次合并定期报告和第六次定期报告过程的资料。应指出哪些政府部门和机构曾参与，以及它们参与的性质和程度，是否曾与非政府组织协商，该报告是否提交给议会。</w:t>
      </w:r>
    </w:p>
    <w:p w:rsidR="00773576" w:rsidRPr="00773576" w:rsidRDefault="00773576" w:rsidP="0007247D">
      <w:pPr>
        <w:pStyle w:val="SingleTxt"/>
        <w:spacing w:after="120"/>
        <w:rPr>
          <w:rFonts w:ascii="SimHei" w:eastAsia="SimHei" w:hint="eastAsia"/>
          <w:color w:val="FF0000"/>
        </w:rPr>
      </w:pPr>
      <w:r w:rsidRPr="00773576">
        <w:rPr>
          <w:rFonts w:ascii="SimHei" w:eastAsia="SimHei" w:hint="eastAsia"/>
          <w:color w:val="FF0000"/>
        </w:rPr>
        <w:t>宪法，立法，国家机关</w:t>
      </w:r>
    </w:p>
    <w:p w:rsidR="00773576" w:rsidRDefault="00773576" w:rsidP="0007247D">
      <w:pPr>
        <w:pStyle w:val="SingleTxt"/>
        <w:spacing w:after="120"/>
        <w:rPr>
          <w:rFonts w:hint="eastAsia"/>
        </w:rPr>
      </w:pPr>
      <w:r>
        <w:rPr>
          <w:rFonts w:hint="eastAsia"/>
        </w:rPr>
        <w:t>3</w:t>
      </w:r>
      <w:r w:rsidR="000B1922">
        <w:rPr>
          <w:rFonts w:hint="eastAsia"/>
        </w:rPr>
        <w:t>.</w:t>
      </w:r>
      <w:r>
        <w:rPr>
          <w:rFonts w:hint="eastAsia"/>
        </w:rPr>
        <w:tab/>
        <w:t>据第四次和第五次合并定期报告第54段称，1997年《宪法》第91条规定，“已经批准的国际协定应为国内法律秩序的组成部分，并应直接适用。”请详细说明，是否曾经有法庭案件援用或引用《公约》。</w:t>
      </w:r>
    </w:p>
    <w:p w:rsidR="00773576" w:rsidRDefault="00773576" w:rsidP="0007247D">
      <w:pPr>
        <w:pStyle w:val="SingleTxt"/>
        <w:spacing w:after="120"/>
        <w:rPr>
          <w:rFonts w:hint="eastAsia"/>
        </w:rPr>
      </w:pPr>
      <w:r>
        <w:rPr>
          <w:rFonts w:hint="eastAsia"/>
        </w:rPr>
        <w:t>4</w:t>
      </w:r>
      <w:r w:rsidR="000B1922">
        <w:rPr>
          <w:rFonts w:hint="eastAsia"/>
        </w:rPr>
        <w:t>.</w:t>
      </w:r>
      <w:r>
        <w:rPr>
          <w:rFonts w:hint="eastAsia"/>
        </w:rPr>
        <w:tab/>
        <w:t>该两报告概述了1990至2002年期间立法的改变。但是没有举出司法或其他培训方案,</w:t>
      </w:r>
      <w:r w:rsidR="000B1922">
        <w:rPr>
          <w:rFonts w:hint="eastAsia"/>
        </w:rPr>
        <w:t>可以确保通过国家的管辖法院和其他政府机关，根据《公约》第二条</w:t>
      </w:r>
      <w:r w:rsidR="000B1922">
        <w:t>(</w:t>
      </w:r>
      <w:r>
        <w:rPr>
          <w:rFonts w:hint="eastAsia"/>
        </w:rPr>
        <w:t>c</w:t>
      </w:r>
      <w:r w:rsidR="000B1922">
        <w:t>)</w:t>
      </w:r>
      <w:r>
        <w:rPr>
          <w:rFonts w:hint="eastAsia"/>
        </w:rPr>
        <w:t>款的要求，切实保护妇女不受歧视。请举例说明这类培训方案。</w:t>
      </w:r>
    </w:p>
    <w:p w:rsidR="00773576" w:rsidRDefault="00773576" w:rsidP="00773576">
      <w:pPr>
        <w:pStyle w:val="SingleTxt"/>
        <w:rPr>
          <w:rFonts w:hint="eastAsia"/>
        </w:rPr>
      </w:pPr>
      <w:r>
        <w:rPr>
          <w:rFonts w:hint="eastAsia"/>
        </w:rPr>
        <w:t>5</w:t>
      </w:r>
      <w:r w:rsidR="000B1922">
        <w:rPr>
          <w:rFonts w:hint="eastAsia"/>
        </w:rPr>
        <w:t>.</w:t>
      </w:r>
      <w:r>
        <w:rPr>
          <w:rFonts w:hint="eastAsia"/>
        </w:rPr>
        <w:tab/>
        <w:t>报告说，保护民权专员（监察员）曾多次干预有关男女不平等和歧视的事件。请提供这类事件次数的统计数据(CEDAW/C/POL/4</w:t>
      </w:r>
      <w:r>
        <w:t>-</w:t>
      </w:r>
      <w:r>
        <w:rPr>
          <w:rFonts w:hint="eastAsia"/>
        </w:rPr>
        <w:t>5，第65</w:t>
      </w:r>
      <w:r w:rsidR="000B1922">
        <w:rPr>
          <w:rFonts w:hint="eastAsia"/>
        </w:rPr>
        <w:t>段和</w:t>
      </w:r>
      <w:r>
        <w:rPr>
          <w:rFonts w:hint="eastAsia"/>
        </w:rPr>
        <w:t>CEDAW/C/POL/6，第36段)。</w:t>
      </w:r>
    </w:p>
    <w:p w:rsidR="00773576" w:rsidRDefault="00773576" w:rsidP="00773576">
      <w:pPr>
        <w:pStyle w:val="SingleTxt"/>
      </w:pPr>
      <w:r>
        <w:rPr>
          <w:rFonts w:hint="eastAsia"/>
        </w:rPr>
        <w:t>6</w:t>
      </w:r>
      <w:r w:rsidR="000B1922">
        <w:rPr>
          <w:rFonts w:hint="eastAsia"/>
        </w:rPr>
        <w:t>.</w:t>
      </w:r>
      <w:r w:rsidR="007302DE">
        <w:tab/>
      </w:r>
      <w:r w:rsidRPr="000B1922">
        <w:rPr>
          <w:rFonts w:hint="eastAsia"/>
        </w:rPr>
        <w:t>其他条约组织曾经表示关切波兰境内罗姆人始终被歧视的问题（见</w:t>
      </w:r>
      <w:r w:rsidR="000B1922" w:rsidRPr="000B1922">
        <w:rPr>
          <w:rFonts w:hint="eastAsia"/>
        </w:rPr>
        <w:t>CRC/15/</w:t>
      </w:r>
      <w:r w:rsidR="000B1922">
        <w:t xml:space="preserve"> </w:t>
      </w:r>
      <w:r w:rsidR="000B1922" w:rsidRPr="000B1922">
        <w:rPr>
          <w:rFonts w:hint="eastAsia"/>
        </w:rPr>
        <w:t>Add.194、E/C.12/1/Add.82</w:t>
      </w:r>
      <w:r w:rsidR="007302DE" w:rsidRPr="000B1922">
        <w:rPr>
          <w:rFonts w:hint="eastAsia"/>
        </w:rPr>
        <w:t>和CCPR/CO/82/POL）。请就罗姆人的地位提供统计数据，并说明正在采取什么措施，在就业、教育、保健、住房、其他领域防止对他们的歧视。</w:t>
      </w:r>
    </w:p>
    <w:p w:rsidR="00773576" w:rsidRDefault="00773576" w:rsidP="00773576">
      <w:pPr>
        <w:pStyle w:val="SingleTxt"/>
        <w:rPr>
          <w:rFonts w:hint="eastAsia"/>
        </w:rPr>
      </w:pPr>
      <w:r>
        <w:rPr>
          <w:rFonts w:hint="eastAsia"/>
        </w:rPr>
        <w:t>7</w:t>
      </w:r>
      <w:r w:rsidR="000B1922">
        <w:rPr>
          <w:rFonts w:hint="eastAsia"/>
        </w:rPr>
        <w:t>.</w:t>
      </w:r>
      <w:r>
        <w:rPr>
          <w:rFonts w:hint="eastAsia"/>
        </w:rPr>
        <w:tab/>
        <w:t>各报告详细概述了妇女议员团努力提出了两性平等法案(CEDAW/C/POL/6，第38</w:t>
      </w:r>
      <w:r>
        <w:t>-</w:t>
      </w:r>
      <w:r>
        <w:rPr>
          <w:rFonts w:hint="eastAsia"/>
        </w:rPr>
        <w:t>41段)。请就通过新法和设立男女平等全国性机构提供最新资料。</w:t>
      </w:r>
    </w:p>
    <w:p w:rsidR="00773576" w:rsidRDefault="00773576" w:rsidP="00773576">
      <w:pPr>
        <w:pStyle w:val="SingleTxt"/>
        <w:rPr>
          <w:rFonts w:hint="eastAsia"/>
        </w:rPr>
      </w:pPr>
      <w:r>
        <w:rPr>
          <w:rFonts w:hint="eastAsia"/>
        </w:rPr>
        <w:t>8</w:t>
      </w:r>
      <w:r w:rsidR="000B1922">
        <w:rPr>
          <w:rFonts w:hint="eastAsia"/>
        </w:rPr>
        <w:t>.</w:t>
      </w:r>
      <w:r>
        <w:rPr>
          <w:rFonts w:hint="eastAsia"/>
        </w:rPr>
        <w:tab/>
        <w:t>第六次定期报告说，在设立政府男女平等地位全权代表办公室后，政府于2002年6月25日将该办公室的职权扩大到反对基于种族、族裔血统、宗教、年龄和性倾向的歧视（第46段）。请说明现在有什么措施，确保这一扩大的任务不至于削弱消除对妇女歧视的努力。请提供关于政府男女平等地位全权代表办公室工作的任何最新资料。</w:t>
      </w:r>
    </w:p>
    <w:p w:rsidR="00773576" w:rsidRDefault="00773576" w:rsidP="00773576">
      <w:pPr>
        <w:pStyle w:val="SingleTxt"/>
        <w:rPr>
          <w:rFonts w:hint="eastAsia"/>
        </w:rPr>
      </w:pPr>
      <w:r>
        <w:rPr>
          <w:rFonts w:hint="eastAsia"/>
        </w:rPr>
        <w:t>9</w:t>
      </w:r>
      <w:r w:rsidR="000B1922">
        <w:rPr>
          <w:rFonts w:hint="eastAsia"/>
        </w:rPr>
        <w:t>.</w:t>
      </w:r>
      <w:r>
        <w:rPr>
          <w:rFonts w:hint="eastAsia"/>
        </w:rPr>
        <w:tab/>
        <w:t>请阐述欧盟赞助的“促进男女平等待遇政策”项目(CEDAW/C/POL/6，第52段)的成果，说明查出了国家统计中有什么缺漏，填补这些缺漏的进展怎样。</w:t>
      </w:r>
    </w:p>
    <w:p w:rsidR="00773576" w:rsidRPr="00773576" w:rsidRDefault="00773576" w:rsidP="00773576">
      <w:pPr>
        <w:pStyle w:val="SingleTxt"/>
        <w:rPr>
          <w:rFonts w:ascii="SimHei" w:eastAsia="SimHei" w:hint="eastAsia"/>
          <w:color w:val="FF0000"/>
        </w:rPr>
      </w:pPr>
      <w:r w:rsidRPr="00773576">
        <w:rPr>
          <w:rFonts w:ascii="SimHei" w:eastAsia="SimHei" w:hint="eastAsia"/>
          <w:color w:val="FF0000"/>
        </w:rPr>
        <w:t>男女定型角色</w:t>
      </w:r>
    </w:p>
    <w:p w:rsidR="00773576" w:rsidRDefault="00773576" w:rsidP="00773576">
      <w:pPr>
        <w:pStyle w:val="SingleTxt"/>
        <w:rPr>
          <w:rFonts w:hint="eastAsia"/>
        </w:rPr>
      </w:pPr>
      <w:r>
        <w:rPr>
          <w:rFonts w:hint="eastAsia"/>
        </w:rPr>
        <w:t>10</w:t>
      </w:r>
      <w:r w:rsidR="000B1922">
        <w:rPr>
          <w:rFonts w:hint="eastAsia"/>
        </w:rPr>
        <w:t>.</w:t>
      </w:r>
      <w:r>
        <w:rPr>
          <w:rFonts w:hint="eastAsia"/>
        </w:rPr>
        <w:tab/>
      </w:r>
      <w:r w:rsidRPr="0007247D">
        <w:rPr>
          <w:rFonts w:hint="eastAsia"/>
          <w:spacing w:val="-2"/>
        </w:rPr>
        <w:t>报告承认，定型概念“在波兰公众心目中根深蒂固”（CEDAW/C/POL/4</w:t>
      </w:r>
      <w:r w:rsidRPr="0007247D">
        <w:rPr>
          <w:spacing w:val="-2"/>
        </w:rPr>
        <w:t>-</w:t>
      </w:r>
      <w:r w:rsidRPr="0007247D">
        <w:rPr>
          <w:rFonts w:hint="eastAsia"/>
          <w:spacing w:val="-2"/>
        </w:rPr>
        <w:t>5，第88段），且其表现形式很多。第六次定期报告第56至58段说明了政府男女平等地位全权代表从2001年后已经采取若干措施，对抗性别定型概念。请阐述这些措施的影响，列举已经拟定的提倡男女在家庭和社会上平分责任的具体政策及其影响。</w:t>
      </w:r>
    </w:p>
    <w:p w:rsidR="00773576" w:rsidRPr="00773576" w:rsidRDefault="00773576" w:rsidP="00773576">
      <w:pPr>
        <w:pStyle w:val="SingleTxt"/>
        <w:rPr>
          <w:rFonts w:ascii="SimHei" w:eastAsia="SimHei" w:hint="eastAsia"/>
          <w:color w:val="FF0000"/>
        </w:rPr>
      </w:pPr>
      <w:r w:rsidRPr="00773576">
        <w:rPr>
          <w:rFonts w:ascii="SimHei" w:eastAsia="SimHei" w:hint="eastAsia"/>
          <w:color w:val="FF0000"/>
        </w:rPr>
        <w:t>妇女与贫穷</w:t>
      </w:r>
    </w:p>
    <w:p w:rsidR="00773576" w:rsidRDefault="00773576" w:rsidP="00773576">
      <w:pPr>
        <w:pStyle w:val="SingleTxt"/>
        <w:rPr>
          <w:rFonts w:hint="eastAsia"/>
        </w:rPr>
      </w:pPr>
      <w:r>
        <w:rPr>
          <w:rFonts w:hint="eastAsia"/>
        </w:rPr>
        <w:t>11</w:t>
      </w:r>
      <w:r w:rsidR="000B1922">
        <w:rPr>
          <w:rFonts w:hint="eastAsia"/>
        </w:rPr>
        <w:t>.</w:t>
      </w:r>
      <w:r>
        <w:tab/>
      </w:r>
      <w:r>
        <w:rPr>
          <w:rFonts w:hint="eastAsia"/>
        </w:rPr>
        <w:t>各报告好几次说，随着经济转型，贫穷率上升，生活标准恶化。请提供城乡的波兰人中贫穷者的百分比，和妇女为户主的贫穷家庭数目的现在数据和长期趋势，按性别分列。</w:t>
      </w:r>
    </w:p>
    <w:p w:rsidR="00773576" w:rsidRDefault="00773576" w:rsidP="00773576">
      <w:pPr>
        <w:pStyle w:val="SingleTxt"/>
        <w:rPr>
          <w:rFonts w:hint="eastAsia"/>
        </w:rPr>
      </w:pPr>
      <w:r>
        <w:rPr>
          <w:rFonts w:hint="eastAsia"/>
        </w:rPr>
        <w:t>12</w:t>
      </w:r>
      <w:r w:rsidR="000B1922">
        <w:rPr>
          <w:rFonts w:hint="eastAsia"/>
        </w:rPr>
        <w:t>.</w:t>
      </w:r>
      <w:r>
        <w:tab/>
      </w:r>
      <w:r>
        <w:rPr>
          <w:rFonts w:hint="eastAsia"/>
        </w:rPr>
        <w:t>第四次和第五次合并定期报告第266段说，1999年农村地区的贫穷问题特别严重，12</w:t>
      </w:r>
      <w:r w:rsidR="000B1922">
        <w:rPr>
          <w:rFonts w:hint="eastAsia"/>
        </w:rPr>
        <w:t>％</w:t>
      </w:r>
      <w:r>
        <w:rPr>
          <w:rFonts w:hint="eastAsia"/>
        </w:rPr>
        <w:t>的农村家庭生活在贫穷线之下，而城市的百分比是3.7％。既然妇女比男子更容易遭到失业（CEDAW/C/POL/4</w:t>
      </w:r>
      <w:r>
        <w:t>-</w:t>
      </w:r>
      <w:r>
        <w:rPr>
          <w:rFonts w:hint="eastAsia"/>
        </w:rPr>
        <w:t>5，第15</w:t>
      </w:r>
      <w:r w:rsidR="000B1922">
        <w:rPr>
          <w:rFonts w:hint="eastAsia"/>
        </w:rPr>
        <w:t>段和</w:t>
      </w:r>
      <w:r>
        <w:rPr>
          <w:rFonts w:hint="eastAsia"/>
        </w:rPr>
        <w:t>CEDAW/C/POL/6，第4段），而且她们的退休金较少，请说明为改善农村妇女的福利，特别是老年妇女，所已经执行的政策和已采取的措施，及其影响。</w:t>
      </w:r>
    </w:p>
    <w:p w:rsidR="00773576" w:rsidRPr="00773576" w:rsidRDefault="00773576" w:rsidP="00773576">
      <w:pPr>
        <w:pStyle w:val="SingleTxt"/>
        <w:rPr>
          <w:rFonts w:ascii="SimHei" w:eastAsia="SimHei" w:hint="eastAsia"/>
          <w:color w:val="FF0000"/>
        </w:rPr>
      </w:pPr>
      <w:r w:rsidRPr="00773576">
        <w:rPr>
          <w:rFonts w:ascii="SimHei" w:eastAsia="SimHei" w:hint="eastAsia"/>
          <w:color w:val="FF0000"/>
        </w:rPr>
        <w:t>对妇女的暴力</w:t>
      </w:r>
    </w:p>
    <w:p w:rsidR="00773576" w:rsidRDefault="00773576" w:rsidP="00773576">
      <w:pPr>
        <w:pStyle w:val="SingleTxt"/>
        <w:rPr>
          <w:rFonts w:hint="eastAsia"/>
        </w:rPr>
      </w:pPr>
      <w:r>
        <w:rPr>
          <w:rFonts w:hint="eastAsia"/>
        </w:rPr>
        <w:t>13</w:t>
      </w:r>
      <w:r w:rsidR="000B1922">
        <w:rPr>
          <w:rFonts w:hint="eastAsia"/>
        </w:rPr>
        <w:t>.</w:t>
      </w:r>
      <w:r>
        <w:tab/>
      </w:r>
      <w:r>
        <w:rPr>
          <w:rFonts w:hint="eastAsia"/>
        </w:rPr>
        <w:t>暴力侵害妇女行为及其因果问题特别报告员报告说，波兰没有关于家庭暴力的全盘立法（E/C.4/2003/75/Add.1</w:t>
      </w:r>
      <w:r w:rsidR="000B1922">
        <w:rPr>
          <w:rFonts w:hint="eastAsia"/>
        </w:rPr>
        <w:t>，</w:t>
      </w:r>
      <w:r>
        <w:rPr>
          <w:rFonts w:hint="eastAsia"/>
        </w:rPr>
        <w:t>第2036段）。第六次定期报告第65段说，“2004年的政府计划打算在波兰法律内纳入驱逐施暴者及防止他们接近受害者或暴力证人的法规。”请提供关于保护妇女，包括家庭暴力问题，起草立法和其他措施的进展情况的资料。</w:t>
      </w:r>
    </w:p>
    <w:p w:rsidR="00773576" w:rsidRDefault="00773576" w:rsidP="0007247D">
      <w:pPr>
        <w:pStyle w:val="SingleTxt"/>
        <w:spacing w:line="326" w:lineRule="exact"/>
        <w:rPr>
          <w:rFonts w:hint="eastAsia"/>
        </w:rPr>
      </w:pPr>
      <w:r>
        <w:rPr>
          <w:rFonts w:hint="eastAsia"/>
        </w:rPr>
        <w:t>14</w:t>
      </w:r>
      <w:r w:rsidR="000B1922">
        <w:rPr>
          <w:rFonts w:hint="eastAsia"/>
        </w:rPr>
        <w:t>.</w:t>
      </w:r>
      <w:r>
        <w:tab/>
      </w:r>
      <w:r>
        <w:rPr>
          <w:rFonts w:hint="eastAsia"/>
        </w:rPr>
        <w:t>暴力侵害妇女行为及其因果问题特别报告员在她的报告（E/C</w:t>
      </w:r>
      <w:r w:rsidR="000B1922">
        <w:rPr>
          <w:rFonts w:hint="eastAsia"/>
        </w:rPr>
        <w:t>N</w:t>
      </w:r>
      <w:r>
        <w:rPr>
          <w:rFonts w:hint="eastAsia"/>
        </w:rPr>
        <w:t>.4/2003/75/</w:t>
      </w:r>
      <w:r w:rsidR="000B1922">
        <w:t xml:space="preserve"> </w:t>
      </w:r>
      <w:r>
        <w:rPr>
          <w:rFonts w:hint="eastAsia"/>
        </w:rPr>
        <w:t>Add.1）中指出，农村居民特别难以诉诸法律程序。请说明已经采取什么具体措施，鼓励妇女将暴力事件提出报告，并且增加她们诉诸法律程序的机会，特别是在农村地区，以及这些措施的影响。</w:t>
      </w:r>
    </w:p>
    <w:p w:rsidR="00773576" w:rsidRDefault="00773576" w:rsidP="0007247D">
      <w:pPr>
        <w:pStyle w:val="SingleTxt"/>
        <w:spacing w:line="326" w:lineRule="exact"/>
      </w:pPr>
      <w:r>
        <w:rPr>
          <w:rFonts w:hint="eastAsia"/>
        </w:rPr>
        <w:t>15</w:t>
      </w:r>
      <w:r w:rsidR="000B1922">
        <w:rPr>
          <w:rFonts w:hint="eastAsia"/>
        </w:rPr>
        <w:t>.</w:t>
      </w:r>
      <w:r>
        <w:tab/>
      </w:r>
      <w:r w:rsidRPr="0007247D">
        <w:rPr>
          <w:rFonts w:hint="eastAsia"/>
          <w:spacing w:val="2"/>
        </w:rPr>
        <w:t>第四次和第五次合并定期报告第109段说，在现在的120个提供给单身母亲、无家可归者和妇女和儿童的收容</w:t>
      </w:r>
      <w:r w:rsidRPr="0007247D">
        <w:rPr>
          <w:rFonts w:hint="eastAsia"/>
        </w:rPr>
        <w:t>所</w:t>
      </w:r>
      <w:r w:rsidRPr="0007247D">
        <w:rPr>
          <w:rFonts w:hint="eastAsia"/>
          <w:spacing w:val="2"/>
        </w:rPr>
        <w:t>中，</w:t>
      </w:r>
      <w:r w:rsidRPr="0007247D">
        <w:rPr>
          <w:rFonts w:hint="eastAsia"/>
        </w:rPr>
        <w:t>只有八个对家庭暴力的受害者提供特别援助</w:t>
      </w:r>
      <w:r w:rsidRPr="0007247D">
        <w:rPr>
          <w:rFonts w:hint="eastAsia"/>
          <w:spacing w:val="2"/>
        </w:rPr>
        <w:t>。该段并说，在该国49个省中，33个为从暴力丈夫和父亲逃离的妇女儿童设立了收容所。对家庭暴力受害者的收容所有没有增加？提供的服务有没有改进？</w:t>
      </w:r>
    </w:p>
    <w:p w:rsidR="00773576" w:rsidRPr="00773576" w:rsidRDefault="00773576" w:rsidP="0007247D">
      <w:pPr>
        <w:pStyle w:val="SingleTxt"/>
        <w:rPr>
          <w:rFonts w:ascii="SimHei" w:eastAsia="SimHei" w:hint="eastAsia"/>
          <w:color w:val="FF0000"/>
        </w:rPr>
      </w:pPr>
      <w:r w:rsidRPr="00773576">
        <w:rPr>
          <w:rFonts w:ascii="SimHei" w:eastAsia="SimHei" w:hint="eastAsia"/>
          <w:color w:val="FF0000"/>
        </w:rPr>
        <w:t xml:space="preserve">贩卖人口和剥削卖淫妇女 </w:t>
      </w:r>
    </w:p>
    <w:p w:rsidR="00773576" w:rsidRDefault="00773576" w:rsidP="0007247D">
      <w:pPr>
        <w:pStyle w:val="SingleTxt"/>
        <w:spacing w:line="326" w:lineRule="exact"/>
        <w:rPr>
          <w:rFonts w:hint="eastAsia"/>
        </w:rPr>
      </w:pPr>
      <w:r>
        <w:rPr>
          <w:rFonts w:hint="eastAsia"/>
        </w:rPr>
        <w:t>16</w:t>
      </w:r>
      <w:r w:rsidR="000B1922">
        <w:rPr>
          <w:rFonts w:hint="eastAsia"/>
        </w:rPr>
        <w:t>.</w:t>
      </w:r>
      <w:r>
        <w:tab/>
      </w:r>
      <w:r>
        <w:rPr>
          <w:rFonts w:hint="eastAsia"/>
        </w:rPr>
        <w:t>暴力侵害妇女行为及其因果问题特别报告员指出，估计每年从波兰贩卖出去的妇女达1万人（E/</w:t>
      </w:r>
      <w:r w:rsidR="000B1922">
        <w:rPr>
          <w:rFonts w:hint="eastAsia"/>
        </w:rPr>
        <w:t>N</w:t>
      </w:r>
      <w:r>
        <w:rPr>
          <w:rFonts w:hint="eastAsia"/>
        </w:rPr>
        <w:t>.4/2003/75/Add.1</w:t>
      </w:r>
      <w:r w:rsidR="000B1922">
        <w:rPr>
          <w:rFonts w:hint="eastAsia"/>
        </w:rPr>
        <w:t>，</w:t>
      </w:r>
      <w:r>
        <w:rPr>
          <w:rFonts w:hint="eastAsia"/>
        </w:rPr>
        <w:t>第2044段）。按照第六次定期报告第84段所提供的资料，2003年通过的《全国防止和扑灭贩卖人口行动计划》显然将重点置于扑灭贩卖人口活动和改善对受害者的服务。请阐述政府防止贩卖人口的工作，包括提高公众的认识。</w:t>
      </w:r>
    </w:p>
    <w:p w:rsidR="00773576" w:rsidRDefault="00773576" w:rsidP="0007247D">
      <w:pPr>
        <w:pStyle w:val="SingleTxt"/>
        <w:spacing w:line="326" w:lineRule="exact"/>
        <w:rPr>
          <w:rFonts w:hint="eastAsia"/>
        </w:rPr>
      </w:pPr>
      <w:r>
        <w:rPr>
          <w:rFonts w:hint="eastAsia"/>
        </w:rPr>
        <w:t>17</w:t>
      </w:r>
      <w:r w:rsidR="000B1922">
        <w:rPr>
          <w:rFonts w:hint="eastAsia"/>
        </w:rPr>
        <w:t>.</w:t>
      </w:r>
      <w:r>
        <w:tab/>
      </w:r>
      <w:r>
        <w:rPr>
          <w:rFonts w:hint="eastAsia"/>
        </w:rPr>
        <w:t>暴力侵害妇女行为及其因果问题特别报告员对非法移徙妓女的待遇表示关切，她举出递解出境的做法，以及警察不了解，非法移徙妓女可能是人口贩卖的受害者。请说明对非法移徙妓女的待遇是否有任何改善，以及是否对警察在这些问题以及其他问题上给予培训。</w:t>
      </w:r>
    </w:p>
    <w:p w:rsidR="00773576" w:rsidRPr="00773576" w:rsidRDefault="00773576" w:rsidP="0007247D">
      <w:pPr>
        <w:pStyle w:val="SingleTxt"/>
        <w:rPr>
          <w:rFonts w:ascii="SimHei" w:eastAsia="SimHei" w:hint="eastAsia"/>
          <w:color w:val="FF0000"/>
        </w:rPr>
      </w:pPr>
      <w:r w:rsidRPr="00773576">
        <w:rPr>
          <w:rFonts w:ascii="SimHei" w:eastAsia="SimHei" w:hint="eastAsia"/>
          <w:color w:val="FF0000"/>
        </w:rPr>
        <w:t>在决策阶层和企业界的妇女</w:t>
      </w:r>
    </w:p>
    <w:p w:rsidR="00773576" w:rsidRDefault="00773576" w:rsidP="0007247D">
      <w:pPr>
        <w:pStyle w:val="SingleTxt"/>
        <w:spacing w:line="326" w:lineRule="exact"/>
      </w:pPr>
      <w:r>
        <w:rPr>
          <w:rFonts w:hint="eastAsia"/>
        </w:rPr>
        <w:t>18</w:t>
      </w:r>
      <w:r w:rsidR="000B1922">
        <w:rPr>
          <w:rFonts w:hint="eastAsia"/>
        </w:rPr>
        <w:t>.</w:t>
      </w:r>
      <w:r>
        <w:tab/>
      </w:r>
      <w:r>
        <w:rPr>
          <w:rFonts w:hint="eastAsia"/>
        </w:rPr>
        <w:t>定期报告指出，妇女在充分、平等参与公共生活和决策阶层方面取得了若干进展，虽然很缓慢。请说明政府为改进妇女参与决策，特别是在全国阶层和地方阶层，根据《公约》第四条第1款和委员会一般性建议25而采取暂行特别措施所进行的工作。</w:t>
      </w:r>
    </w:p>
    <w:p w:rsidR="00773576" w:rsidRDefault="00773576" w:rsidP="0007247D">
      <w:pPr>
        <w:pStyle w:val="SingleTxt"/>
        <w:spacing w:line="326" w:lineRule="exact"/>
        <w:rPr>
          <w:rFonts w:hint="eastAsia"/>
        </w:rPr>
      </w:pPr>
      <w:r>
        <w:rPr>
          <w:rFonts w:hint="eastAsia"/>
        </w:rPr>
        <w:t>19</w:t>
      </w:r>
      <w:r w:rsidR="000B1922">
        <w:rPr>
          <w:rFonts w:hint="eastAsia"/>
        </w:rPr>
        <w:t>.</w:t>
      </w:r>
      <w:r>
        <w:tab/>
      </w:r>
      <w:r>
        <w:rPr>
          <w:rFonts w:hint="eastAsia"/>
        </w:rPr>
        <w:t>根据报告，妇女创办自己的企业时往往犹疑不决，因为她们没有必要的关系，缺乏企业家精神，传统教养没有给她们自信心（CEDAW/C/POL/6，第210段）。政府是否打算采取积极的政策，鼓励和协助妇女创办企业？</w:t>
      </w:r>
    </w:p>
    <w:p w:rsidR="00773576" w:rsidRPr="00773576" w:rsidRDefault="00773576" w:rsidP="0007247D">
      <w:pPr>
        <w:pStyle w:val="SingleTxt"/>
        <w:rPr>
          <w:rFonts w:ascii="SimHei" w:eastAsia="SimHei"/>
          <w:color w:val="FF0000"/>
        </w:rPr>
      </w:pPr>
      <w:r w:rsidRPr="00773576">
        <w:rPr>
          <w:rFonts w:ascii="SimHei" w:eastAsia="SimHei" w:hint="eastAsia"/>
          <w:color w:val="FF0000"/>
        </w:rPr>
        <w:t>教育</w:t>
      </w:r>
    </w:p>
    <w:p w:rsidR="00773576" w:rsidRDefault="00773576" w:rsidP="0007247D">
      <w:pPr>
        <w:pStyle w:val="SingleTxt"/>
        <w:spacing w:line="326" w:lineRule="exact"/>
        <w:rPr>
          <w:rFonts w:hint="eastAsia"/>
        </w:rPr>
      </w:pPr>
      <w:r>
        <w:rPr>
          <w:rFonts w:hint="eastAsia"/>
        </w:rPr>
        <w:t>20</w:t>
      </w:r>
      <w:r w:rsidR="000B1922">
        <w:rPr>
          <w:rFonts w:hint="eastAsia"/>
        </w:rPr>
        <w:t>.</w:t>
      </w:r>
      <w:r>
        <w:tab/>
      </w:r>
      <w:r w:rsidRPr="0007247D">
        <w:rPr>
          <w:rFonts w:hint="eastAsia"/>
        </w:rPr>
        <w:t>第六次定期报告第119条说，独立的专家宣称，1999年以后波兰使用的所有教科书都遵守男女平等和两性伙伴关系的原则。如果属实，请解释为什么《全国妇女行动计划》的目的之一，在2003至2005年第二个执行阶段中，要“将两性平等原则纳入各级教育的教学大纲、教科书和教学辅助材料”（CEDAW/C/POL/6， 第130</w:t>
      </w:r>
      <w:r w:rsidR="000B1922" w:rsidRPr="0007247D">
        <w:rPr>
          <w:rFonts w:hint="eastAsia"/>
        </w:rPr>
        <w:t>段）。</w:t>
      </w:r>
    </w:p>
    <w:p w:rsidR="00773576" w:rsidRDefault="00773576" w:rsidP="000B1922">
      <w:pPr>
        <w:pStyle w:val="SingleTxt"/>
        <w:spacing w:after="120" w:line="310" w:lineRule="exact"/>
        <w:rPr>
          <w:rFonts w:hint="eastAsia"/>
        </w:rPr>
      </w:pPr>
      <w:r>
        <w:rPr>
          <w:rFonts w:hint="eastAsia"/>
        </w:rPr>
        <w:t>21</w:t>
      </w:r>
      <w:r w:rsidR="000B1922">
        <w:rPr>
          <w:rFonts w:hint="eastAsia"/>
        </w:rPr>
        <w:t>.</w:t>
      </w:r>
      <w:r>
        <w:tab/>
      </w:r>
      <w:r>
        <w:rPr>
          <w:rFonts w:hint="eastAsia"/>
        </w:rPr>
        <w:t>请提供数据，举例说明政府2001至2003年在小波兰行政区对罗姆人社区援助的示范方案对罗姆人儿童的辍学率的影响，特别是对女童的影响。请再提供关于罗姆人女童教育的全盘统计数据。</w:t>
      </w:r>
    </w:p>
    <w:p w:rsidR="00773576" w:rsidRPr="00773576" w:rsidRDefault="00773576" w:rsidP="000B1922">
      <w:pPr>
        <w:pStyle w:val="SingleTxt"/>
        <w:spacing w:after="120" w:line="310" w:lineRule="exact"/>
        <w:rPr>
          <w:rFonts w:ascii="SimHei" w:eastAsia="SimHei" w:hint="eastAsia"/>
          <w:color w:val="FF0000"/>
        </w:rPr>
      </w:pPr>
      <w:r w:rsidRPr="00773576">
        <w:rPr>
          <w:rFonts w:ascii="SimHei" w:eastAsia="SimHei" w:hint="eastAsia"/>
          <w:color w:val="FF0000"/>
        </w:rPr>
        <w:t>就业和兼顾工作与家庭的责任</w:t>
      </w:r>
    </w:p>
    <w:p w:rsidR="00773576" w:rsidRDefault="00773576" w:rsidP="000B1922">
      <w:pPr>
        <w:pStyle w:val="SingleTxt"/>
        <w:spacing w:after="120" w:line="310" w:lineRule="exact"/>
        <w:rPr>
          <w:rFonts w:hint="eastAsia"/>
        </w:rPr>
      </w:pPr>
      <w:r>
        <w:rPr>
          <w:rFonts w:hint="eastAsia"/>
        </w:rPr>
        <w:t>22</w:t>
      </w:r>
      <w:r w:rsidR="000B1922">
        <w:rPr>
          <w:rFonts w:hint="eastAsia"/>
        </w:rPr>
        <w:t>.</w:t>
      </w:r>
      <w:r>
        <w:tab/>
      </w:r>
      <w:r>
        <w:rPr>
          <w:rFonts w:hint="eastAsia"/>
        </w:rPr>
        <w:t>定期报告说，虽然法律禁止基于性别的薪酬歧视，两性工资的差距继续存在，妇女的收入平均低于男子20</w:t>
      </w:r>
      <w:r w:rsidR="000B1922">
        <w:rPr>
          <w:rFonts w:hint="eastAsia"/>
        </w:rPr>
        <w:t>％</w:t>
      </w:r>
      <w:r>
        <w:rPr>
          <w:rFonts w:hint="eastAsia"/>
        </w:rPr>
        <w:t>。政府采取了什么具体步骤，强制执行法律，这些步骤的影响如何？</w:t>
      </w:r>
    </w:p>
    <w:p w:rsidR="00773576" w:rsidRDefault="00773576" w:rsidP="000B1922">
      <w:pPr>
        <w:pStyle w:val="SingleTxt"/>
        <w:spacing w:after="120" w:line="310" w:lineRule="exact"/>
        <w:rPr>
          <w:rFonts w:hint="eastAsia"/>
        </w:rPr>
      </w:pPr>
      <w:r>
        <w:rPr>
          <w:rFonts w:hint="eastAsia"/>
        </w:rPr>
        <w:t>23</w:t>
      </w:r>
      <w:r w:rsidR="000B1922">
        <w:rPr>
          <w:rFonts w:hint="eastAsia"/>
        </w:rPr>
        <w:t>.</w:t>
      </w:r>
      <w:r>
        <w:tab/>
      </w:r>
      <w:r>
        <w:rPr>
          <w:rFonts w:hint="eastAsia"/>
        </w:rPr>
        <w:t>退休金制度认为生育假期间是非缴款期间，以及男女退休年龄不同，其结果是妇女得到的退休金低于男子。根据报告，1998年通过的新退休金制度对若干妇女之不利甚至过于前一个制度（CEDAW/C/POL/6，第157段）。新的制度也歧视男子，因为加入了退休时预期寿命的考虑因素，而男子寿命低于妇女。请说明，政府是否打算复审退休金制度，以便确保男女权利和待遇平等。</w:t>
      </w:r>
    </w:p>
    <w:p w:rsidR="00773576" w:rsidRDefault="00773576" w:rsidP="000B1922">
      <w:pPr>
        <w:pStyle w:val="SingleTxt"/>
        <w:spacing w:after="120" w:line="310" w:lineRule="exact"/>
        <w:rPr>
          <w:rFonts w:hint="eastAsia"/>
        </w:rPr>
      </w:pPr>
      <w:r>
        <w:rPr>
          <w:rFonts w:hint="eastAsia"/>
        </w:rPr>
        <w:t>24</w:t>
      </w:r>
      <w:r w:rsidR="000B1922">
        <w:rPr>
          <w:rFonts w:hint="eastAsia"/>
        </w:rPr>
        <w:t>.</w:t>
      </w:r>
      <w:r>
        <w:tab/>
      </w:r>
      <w:r>
        <w:rPr>
          <w:rFonts w:hint="eastAsia"/>
        </w:rPr>
        <w:t>根据报告，现有的儿童护理设备没有充分利用，因为价格高昂，难以负担（CEDAW/C/POL/4</w:t>
      </w:r>
      <w:r>
        <w:t>-</w:t>
      </w:r>
      <w:r>
        <w:rPr>
          <w:rFonts w:hint="eastAsia"/>
        </w:rPr>
        <w:t>5，第194段）。同时，大多数开始经营自己企业的妇女后来放弃，因为无法兼顾事业和家务（CEDAW/C/POL/4</w:t>
      </w:r>
      <w:r>
        <w:t>-</w:t>
      </w:r>
      <w:r>
        <w:rPr>
          <w:rFonts w:hint="eastAsia"/>
        </w:rPr>
        <w:t>5，第249段）。请提供资料，说明采取了什么步骤，使得可以比较容易地利用儿童护理设备，并且负担得起，以及采取了什么其他措施，协助父母兼顾工作和家庭的责任。</w:t>
      </w:r>
    </w:p>
    <w:p w:rsidR="00773576" w:rsidRPr="00773576" w:rsidRDefault="00773576" w:rsidP="000B1922">
      <w:pPr>
        <w:pStyle w:val="SingleTxt"/>
        <w:spacing w:after="120" w:line="310" w:lineRule="exact"/>
        <w:rPr>
          <w:rFonts w:ascii="SimHei" w:eastAsia="SimHei" w:hint="eastAsia"/>
          <w:color w:val="FF0000"/>
        </w:rPr>
      </w:pPr>
      <w:r w:rsidRPr="00773576">
        <w:rPr>
          <w:rFonts w:ascii="SimHei" w:eastAsia="SimHei" w:hint="eastAsia"/>
          <w:color w:val="FF0000"/>
        </w:rPr>
        <w:t>获得保健护理的机会</w:t>
      </w:r>
    </w:p>
    <w:p w:rsidR="00773576" w:rsidRDefault="00773576" w:rsidP="000B1922">
      <w:pPr>
        <w:pStyle w:val="SingleTxt"/>
        <w:spacing w:after="120" w:line="310" w:lineRule="exact"/>
      </w:pPr>
      <w:r>
        <w:rPr>
          <w:rFonts w:hint="eastAsia"/>
        </w:rPr>
        <w:t>25</w:t>
      </w:r>
      <w:r w:rsidR="000B1922">
        <w:rPr>
          <w:rFonts w:hint="eastAsia"/>
        </w:rPr>
        <w:t>.</w:t>
      </w:r>
      <w:r>
        <w:tab/>
      </w:r>
      <w:r>
        <w:rPr>
          <w:rFonts w:hint="eastAsia"/>
        </w:rPr>
        <w:t>报告说，在波兰堕胎已经很受限制，更因为医护人员有权以道德理由拒绝执行合法的堕胎而更为复杂，从而可能使得要求堕胎的怀孕妇女的生命遭到危险。第六次定期报告还揭露流产的次数非常惊人，见表A.12.2（第190段）。人权委员会在2004年的结论意见表示，对于即使法律允许仍无法得到堕胎，例如，因强奸而怀孕的情况，表示关切，并关切缺乏资料，显示医生利用良心反对条款而拒绝做合法的堕胎。委员会还对缺乏资料以说明非法堕胎的程度及其对当事者妇女的影响，表示遗憾。请阐述政府对这个令人关切问题的立场，并提供资料，说明设想了哪些修正案，根据委员会关于《公约》第十二条的一般性建议24，提高妇女获得生殖保健服务的机会。</w:t>
      </w:r>
    </w:p>
    <w:p w:rsidR="00773576" w:rsidRDefault="00773576" w:rsidP="000B1922">
      <w:pPr>
        <w:pStyle w:val="SingleTxt"/>
        <w:spacing w:after="120" w:line="310" w:lineRule="exact"/>
        <w:rPr>
          <w:rFonts w:hint="eastAsia"/>
        </w:rPr>
      </w:pPr>
      <w:r>
        <w:rPr>
          <w:rFonts w:hint="eastAsia"/>
        </w:rPr>
        <w:t>26</w:t>
      </w:r>
      <w:r w:rsidR="000B1922">
        <w:rPr>
          <w:rFonts w:hint="eastAsia"/>
        </w:rPr>
        <w:t>.</w:t>
      </w:r>
      <w:r>
        <w:tab/>
      </w:r>
      <w:r>
        <w:rPr>
          <w:rFonts w:hint="eastAsia"/>
        </w:rPr>
        <w:t>农村妇女获得保健护理的机会不平等，因为在农村的医疗设备较少（CEDAW/C/POL/4</w:t>
      </w:r>
      <w:r>
        <w:t>-</w:t>
      </w:r>
      <w:r>
        <w:rPr>
          <w:rFonts w:hint="eastAsia"/>
        </w:rPr>
        <w:t>5，第211段）。请说明政府采取了什么措施，改善农村妇女获得保健护理的机会。</w:t>
      </w:r>
    </w:p>
    <w:p w:rsidR="00773576" w:rsidRPr="00773576" w:rsidRDefault="00773576" w:rsidP="000B1922">
      <w:pPr>
        <w:pStyle w:val="SingleTxt"/>
        <w:spacing w:after="120" w:line="310" w:lineRule="exact"/>
        <w:rPr>
          <w:rFonts w:ascii="SimHei" w:eastAsia="SimHei" w:hint="eastAsia"/>
          <w:color w:val="FF0000"/>
        </w:rPr>
      </w:pPr>
      <w:r w:rsidRPr="00773576">
        <w:rPr>
          <w:rFonts w:ascii="SimHei" w:eastAsia="SimHei" w:hint="eastAsia"/>
          <w:color w:val="FF0000"/>
        </w:rPr>
        <w:t>任择议定书</w:t>
      </w:r>
    </w:p>
    <w:p w:rsidR="00EA31C3" w:rsidRDefault="00773576" w:rsidP="000B1922">
      <w:pPr>
        <w:pStyle w:val="SingleTxt"/>
        <w:spacing w:after="120" w:line="310" w:lineRule="exact"/>
      </w:pPr>
      <w:r>
        <w:rPr>
          <w:rFonts w:hint="eastAsia"/>
        </w:rPr>
        <w:t>27</w:t>
      </w:r>
      <w:r w:rsidR="000B1922">
        <w:rPr>
          <w:rFonts w:hint="eastAsia"/>
        </w:rPr>
        <w:t>.</w:t>
      </w:r>
      <w:r>
        <w:tab/>
      </w:r>
      <w:r>
        <w:rPr>
          <w:rFonts w:hint="eastAsia"/>
        </w:rPr>
        <w:t>请提供资料，说明采取了什么措施，广为宣传波兰于2003年12月22日批准的《公约》的《任择议定书》。</w:t>
      </w:r>
    </w:p>
    <w:p w:rsidR="00773576" w:rsidRPr="00773576" w:rsidRDefault="00773576" w:rsidP="00773576">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773576" w:rsidRPr="00773576" w:rsidSect="0065792E">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09:52:00Z" w:initials="Start">
    <w:p w:rsidR="008E44F6" w:rsidRDefault="008E44F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NO&gt;&gt;N0646808C&lt;&lt;ODS JOB NO&gt;&gt;</w:t>
      </w:r>
    </w:p>
    <w:p w:rsidR="008E44F6" w:rsidRDefault="008E44F6">
      <w:pPr>
        <w:pStyle w:val="CommentText"/>
      </w:pPr>
      <w:r>
        <w:t>&lt;&lt;ODS DOC SYMBOL1&gt;&gt;CEDAW/C/POL/Q/6&lt;&lt;ODS DOC SYMBOL1&gt;&gt;</w:t>
      </w:r>
    </w:p>
    <w:p w:rsidR="008E44F6" w:rsidRDefault="008E44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4CB" w:rsidRDefault="006F14CB" w:rsidP="0065792E">
      <w:pPr>
        <w:pStyle w:val="Footer"/>
      </w:pPr>
      <w:r>
        <w:separator/>
      </w:r>
    </w:p>
  </w:endnote>
  <w:endnote w:type="continuationSeparator" w:id="0">
    <w:p w:rsidR="006F14CB" w:rsidRDefault="006F14CB" w:rsidP="0065792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E44F6" w:rsidTr="0065792E">
      <w:tblPrEx>
        <w:tblCellMar>
          <w:top w:w="0" w:type="dxa"/>
          <w:bottom w:w="0" w:type="dxa"/>
        </w:tblCellMar>
      </w:tblPrEx>
      <w:tc>
        <w:tcPr>
          <w:tcW w:w="5033" w:type="dxa"/>
          <w:shd w:val="clear" w:color="auto" w:fill="auto"/>
          <w:vAlign w:val="bottom"/>
        </w:tcPr>
        <w:p w:rsidR="008E44F6" w:rsidRPr="0065792E" w:rsidRDefault="008E44F6" w:rsidP="0065792E">
          <w:pPr>
            <w:pStyle w:val="Footer"/>
            <w:jc w:val="left"/>
          </w:pPr>
          <w:r>
            <w:fldChar w:fldCharType="begin"/>
          </w:r>
          <w:r>
            <w:instrText xml:space="preserve"> PAGE  \* MERGEFORMAT </w:instrText>
          </w:r>
          <w:r>
            <w:fldChar w:fldCharType="separate"/>
          </w:r>
          <w:r w:rsidR="00A90E26">
            <w:t>4</w:t>
          </w:r>
          <w:r>
            <w:fldChar w:fldCharType="end"/>
          </w:r>
        </w:p>
      </w:tc>
      <w:tc>
        <w:tcPr>
          <w:tcW w:w="5033" w:type="dxa"/>
          <w:shd w:val="clear" w:color="auto" w:fill="auto"/>
          <w:vAlign w:val="bottom"/>
        </w:tcPr>
        <w:p w:rsidR="008E44F6" w:rsidRPr="0065792E" w:rsidRDefault="008E44F6" w:rsidP="0065792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06-46808</w:t>
          </w:r>
          <w:r>
            <w:rPr>
              <w:b w:val="0"/>
              <w:sz w:val="14"/>
            </w:rPr>
            <w:fldChar w:fldCharType="end"/>
          </w:r>
        </w:p>
      </w:tc>
    </w:tr>
  </w:tbl>
  <w:p w:rsidR="008E44F6" w:rsidRPr="0065792E" w:rsidRDefault="008E44F6" w:rsidP="006579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E44F6" w:rsidTr="0065792E">
      <w:tblPrEx>
        <w:tblCellMar>
          <w:top w:w="0" w:type="dxa"/>
          <w:bottom w:w="0" w:type="dxa"/>
        </w:tblCellMar>
      </w:tblPrEx>
      <w:tc>
        <w:tcPr>
          <w:tcW w:w="5033" w:type="dxa"/>
          <w:shd w:val="clear" w:color="auto" w:fill="auto"/>
          <w:vAlign w:val="bottom"/>
        </w:tcPr>
        <w:p w:rsidR="008E44F6" w:rsidRPr="0065792E" w:rsidRDefault="008E44F6" w:rsidP="0065792E">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06-46808</w:t>
          </w:r>
          <w:r>
            <w:rPr>
              <w:b w:val="0"/>
              <w:sz w:val="14"/>
            </w:rPr>
            <w:fldChar w:fldCharType="end"/>
          </w:r>
        </w:p>
      </w:tc>
      <w:tc>
        <w:tcPr>
          <w:tcW w:w="5033" w:type="dxa"/>
          <w:shd w:val="clear" w:color="auto" w:fill="auto"/>
          <w:vAlign w:val="bottom"/>
        </w:tcPr>
        <w:p w:rsidR="008E44F6" w:rsidRPr="0065792E" w:rsidRDefault="008E44F6" w:rsidP="0065792E">
          <w:pPr>
            <w:pStyle w:val="Footer"/>
            <w:jc w:val="right"/>
          </w:pPr>
          <w:r>
            <w:fldChar w:fldCharType="begin"/>
          </w:r>
          <w:r>
            <w:instrText xml:space="preserve"> PAGE  \* MERGEFORMAT </w:instrText>
          </w:r>
          <w:r>
            <w:fldChar w:fldCharType="separate"/>
          </w:r>
          <w:r w:rsidR="00A90E26">
            <w:t>3</w:t>
          </w:r>
          <w:r>
            <w:fldChar w:fldCharType="end"/>
          </w:r>
        </w:p>
      </w:tc>
    </w:tr>
  </w:tbl>
  <w:p w:rsidR="008E44F6" w:rsidRPr="0065792E" w:rsidRDefault="008E44F6" w:rsidP="006579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4F6" w:rsidRDefault="008E44F6" w:rsidP="0065792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06-46808 (C)</w:t>
    </w:r>
    <w:r>
      <w:rPr>
        <w:b w:val="0"/>
        <w:sz w:val="21"/>
      </w:rPr>
      <w:fldChar w:fldCharType="end"/>
    </w:r>
    <w:r>
      <w:rPr>
        <w:b w:val="0"/>
        <w:sz w:val="21"/>
      </w:rPr>
      <w:t xml:space="preserve">    300806    0</w:t>
    </w:r>
    <w:r>
      <w:rPr>
        <w:rFonts w:hint="eastAsia"/>
        <w:b w:val="0"/>
        <w:sz w:val="21"/>
      </w:rPr>
      <w:t>5</w:t>
    </w:r>
    <w:r>
      <w:rPr>
        <w:b w:val="0"/>
        <w:sz w:val="21"/>
      </w:rPr>
      <w:t>0906</w:t>
    </w:r>
  </w:p>
  <w:p w:rsidR="008E44F6" w:rsidRPr="0065792E" w:rsidRDefault="008E44F6" w:rsidP="0065792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*0646808*</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4CB" w:rsidRDefault="006F14CB" w:rsidP="0065792E">
      <w:pPr>
        <w:pStyle w:val="Footer"/>
      </w:pPr>
      <w:r>
        <w:separator/>
      </w:r>
    </w:p>
  </w:footnote>
  <w:footnote w:type="continuationSeparator" w:id="0">
    <w:p w:rsidR="006F14CB" w:rsidRDefault="006F14CB" w:rsidP="0065792E">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44F6" w:rsidTr="0065792E">
      <w:tblPrEx>
        <w:tblCellMar>
          <w:top w:w="0" w:type="dxa"/>
          <w:bottom w:w="0" w:type="dxa"/>
        </w:tblCellMar>
      </w:tblPrEx>
      <w:trPr>
        <w:trHeight w:hRule="exact" w:val="864"/>
      </w:trPr>
      <w:tc>
        <w:tcPr>
          <w:tcW w:w="4838" w:type="dxa"/>
          <w:shd w:val="clear" w:color="auto" w:fill="auto"/>
          <w:vAlign w:val="bottom"/>
        </w:tcPr>
        <w:p w:rsidR="008E44F6" w:rsidRPr="0065792E" w:rsidRDefault="008E44F6" w:rsidP="0065792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CEDAW/C/POL/Q/6</w:t>
          </w:r>
          <w:r>
            <w:rPr>
              <w:b/>
              <w:sz w:val="17"/>
            </w:rPr>
            <w:fldChar w:fldCharType="end"/>
          </w:r>
        </w:p>
      </w:tc>
      <w:tc>
        <w:tcPr>
          <w:tcW w:w="5033" w:type="dxa"/>
          <w:shd w:val="clear" w:color="auto" w:fill="auto"/>
          <w:vAlign w:val="bottom"/>
        </w:tcPr>
        <w:p w:rsidR="008E44F6" w:rsidRDefault="008E44F6" w:rsidP="0065792E">
          <w:pPr>
            <w:pStyle w:val="Header"/>
          </w:pPr>
        </w:p>
      </w:tc>
    </w:tr>
  </w:tbl>
  <w:p w:rsidR="008E44F6" w:rsidRPr="0065792E" w:rsidRDefault="008E44F6" w:rsidP="006579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44F6" w:rsidTr="0065792E">
      <w:tblPrEx>
        <w:tblCellMar>
          <w:top w:w="0" w:type="dxa"/>
          <w:bottom w:w="0" w:type="dxa"/>
        </w:tblCellMar>
      </w:tblPrEx>
      <w:trPr>
        <w:trHeight w:hRule="exact" w:val="864"/>
      </w:trPr>
      <w:tc>
        <w:tcPr>
          <w:tcW w:w="4838" w:type="dxa"/>
          <w:shd w:val="clear" w:color="auto" w:fill="auto"/>
          <w:vAlign w:val="bottom"/>
        </w:tcPr>
        <w:p w:rsidR="008E44F6" w:rsidRDefault="008E44F6" w:rsidP="0065792E">
          <w:pPr>
            <w:pStyle w:val="Header"/>
          </w:pPr>
        </w:p>
      </w:tc>
      <w:tc>
        <w:tcPr>
          <w:tcW w:w="5033" w:type="dxa"/>
          <w:shd w:val="clear" w:color="auto" w:fill="auto"/>
          <w:vAlign w:val="bottom"/>
        </w:tcPr>
        <w:p w:rsidR="008E44F6" w:rsidRPr="0065792E" w:rsidRDefault="008E44F6" w:rsidP="0065792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CEDAW/C/POL/Q/6</w:t>
          </w:r>
          <w:r>
            <w:rPr>
              <w:b/>
              <w:sz w:val="17"/>
            </w:rPr>
            <w:fldChar w:fldCharType="end"/>
          </w:r>
        </w:p>
      </w:tc>
    </w:tr>
  </w:tbl>
  <w:p w:rsidR="008E44F6" w:rsidRPr="0065792E" w:rsidRDefault="008E44F6" w:rsidP="006579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E44F6" w:rsidTr="0065792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44F6" w:rsidRDefault="008E44F6" w:rsidP="0065792E">
          <w:pPr>
            <w:pStyle w:val="Header"/>
            <w:spacing w:after="120"/>
          </w:pPr>
        </w:p>
      </w:tc>
      <w:tc>
        <w:tcPr>
          <w:tcW w:w="1872" w:type="dxa"/>
          <w:tcBorders>
            <w:bottom w:val="single" w:sz="4" w:space="0" w:color="auto"/>
          </w:tcBorders>
          <w:shd w:val="clear" w:color="auto" w:fill="auto"/>
          <w:vAlign w:val="bottom"/>
        </w:tcPr>
        <w:p w:rsidR="008E44F6" w:rsidRPr="0065792E" w:rsidRDefault="008E44F6" w:rsidP="0065792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E44F6" w:rsidRDefault="008E44F6" w:rsidP="0065792E">
          <w:pPr>
            <w:pStyle w:val="Header"/>
            <w:spacing w:after="120"/>
          </w:pPr>
        </w:p>
      </w:tc>
      <w:tc>
        <w:tcPr>
          <w:tcW w:w="6523" w:type="dxa"/>
          <w:gridSpan w:val="3"/>
          <w:tcBorders>
            <w:bottom w:val="single" w:sz="4" w:space="0" w:color="auto"/>
          </w:tcBorders>
          <w:shd w:val="clear" w:color="auto" w:fill="auto"/>
          <w:vAlign w:val="bottom"/>
        </w:tcPr>
        <w:p w:rsidR="008E44F6" w:rsidRPr="0065792E" w:rsidRDefault="008E44F6" w:rsidP="0065792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/C/POL/Q/6</w:t>
          </w:r>
        </w:p>
      </w:tc>
    </w:tr>
    <w:tr w:rsidR="008E44F6" w:rsidRPr="0065792E" w:rsidTr="0065792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44F6" w:rsidRDefault="008E44F6" w:rsidP="0065792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44F6" w:rsidRPr="0065792E" w:rsidRDefault="008E44F6" w:rsidP="0065792E">
          <w:pPr>
            <w:pStyle w:val="Header"/>
            <w:spacing w:before="109"/>
            <w:ind w:left="-72"/>
          </w:pPr>
        </w:p>
      </w:tc>
      <w:tc>
        <w:tcPr>
          <w:tcW w:w="5227" w:type="dxa"/>
          <w:gridSpan w:val="3"/>
          <w:tcBorders>
            <w:top w:val="single" w:sz="4" w:space="0" w:color="auto"/>
            <w:bottom w:val="single" w:sz="12" w:space="0" w:color="auto"/>
          </w:tcBorders>
          <w:shd w:val="clear" w:color="auto" w:fill="auto"/>
        </w:tcPr>
        <w:p w:rsidR="008E44F6" w:rsidRPr="0065792E" w:rsidRDefault="008E44F6" w:rsidP="0065792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E44F6" w:rsidRPr="0065792E" w:rsidRDefault="008E44F6" w:rsidP="0065792E">
          <w:pPr>
            <w:pStyle w:val="Header"/>
            <w:spacing w:before="109"/>
          </w:pPr>
        </w:p>
      </w:tc>
      <w:tc>
        <w:tcPr>
          <w:tcW w:w="3180" w:type="dxa"/>
          <w:gridSpan w:val="2"/>
          <w:tcBorders>
            <w:top w:val="single" w:sz="4" w:space="0" w:color="auto"/>
            <w:bottom w:val="single" w:sz="12" w:space="0" w:color="auto"/>
          </w:tcBorders>
          <w:shd w:val="clear" w:color="auto" w:fill="auto"/>
        </w:tcPr>
        <w:p w:rsidR="008E44F6" w:rsidRDefault="008E44F6" w:rsidP="0065792E">
          <w:pPr>
            <w:spacing w:before="240" w:line="240" w:lineRule="exact"/>
            <w:rPr>
              <w:rFonts w:ascii="Times New Roman"/>
            </w:rPr>
          </w:pPr>
          <w:r>
            <w:rPr>
              <w:rFonts w:ascii="Times New Roman"/>
            </w:rPr>
            <w:t>Distr.: General</w:t>
          </w:r>
        </w:p>
        <w:p w:rsidR="008E44F6" w:rsidRDefault="008E44F6" w:rsidP="0065792E">
          <w:pPr>
            <w:spacing w:line="240" w:lineRule="exact"/>
            <w:rPr>
              <w:rFonts w:ascii="Times New Roman"/>
            </w:rPr>
          </w:pPr>
          <w:r>
            <w:rPr>
              <w:rFonts w:ascii="Times New Roman"/>
            </w:rPr>
            <w:t>8 August 2006</w:t>
          </w:r>
        </w:p>
        <w:p w:rsidR="008E44F6" w:rsidRDefault="008E44F6" w:rsidP="0065792E">
          <w:pPr>
            <w:spacing w:line="240" w:lineRule="exact"/>
            <w:rPr>
              <w:rFonts w:ascii="Times New Roman"/>
            </w:rPr>
          </w:pPr>
          <w:r>
            <w:rPr>
              <w:rFonts w:ascii="Times New Roman"/>
            </w:rPr>
            <w:t>Chinese</w:t>
          </w:r>
        </w:p>
        <w:p w:rsidR="008E44F6" w:rsidRPr="0065792E" w:rsidRDefault="008E44F6" w:rsidP="0065792E">
          <w:pPr>
            <w:spacing w:line="240" w:lineRule="exact"/>
            <w:rPr>
              <w:rFonts w:ascii="Times New Roman"/>
            </w:rPr>
          </w:pPr>
          <w:r>
            <w:rPr>
              <w:rFonts w:ascii="Times New Roman"/>
            </w:rPr>
            <w:t>Original: English</w:t>
          </w:r>
        </w:p>
      </w:tc>
    </w:tr>
  </w:tbl>
  <w:p w:rsidR="008E44F6" w:rsidRPr="0065792E" w:rsidRDefault="008E44F6" w:rsidP="006579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8*"/>
    <w:docVar w:name="CreationDt" w:val="01/09/2006 14:50:07"/>
    <w:docVar w:name="DocCategory" w:val="Doc"/>
    <w:docVar w:name="DocType" w:val="Final"/>
    <w:docVar w:name="FooterJN" w:val="06-46808"/>
    <w:docVar w:name="jobn" w:val="06-46808 (C)"/>
    <w:docVar w:name="jobnDT" w:val="06-46808 (C)   010906"/>
    <w:docVar w:name="jobnDTDT" w:val="06-46808 (C)   010906   010906"/>
    <w:docVar w:name="JobNo" w:val="0646808C"/>
    <w:docVar w:name="OandT" w:val="DU HG"/>
    <w:docVar w:name="sss1" w:val="CEDAW/C/POL/Q/6"/>
    <w:docVar w:name="sss2" w:val="-"/>
    <w:docVar w:name="Symbol1" w:val="CEDAW/C/POL/Q/6"/>
    <w:docVar w:name="Symbol2" w:val="-"/>
  </w:docVars>
  <w:rsids>
    <w:rsidRoot w:val="001D5975"/>
    <w:rsid w:val="00037B39"/>
    <w:rsid w:val="00044CA4"/>
    <w:rsid w:val="0007247D"/>
    <w:rsid w:val="000A31F9"/>
    <w:rsid w:val="000B1922"/>
    <w:rsid w:val="000C1786"/>
    <w:rsid w:val="000F1058"/>
    <w:rsid w:val="00141322"/>
    <w:rsid w:val="0017506F"/>
    <w:rsid w:val="001D5975"/>
    <w:rsid w:val="001E5A51"/>
    <w:rsid w:val="00252E35"/>
    <w:rsid w:val="00282D17"/>
    <w:rsid w:val="002B305F"/>
    <w:rsid w:val="00371BC6"/>
    <w:rsid w:val="00521275"/>
    <w:rsid w:val="0052216F"/>
    <w:rsid w:val="005475DC"/>
    <w:rsid w:val="005541E4"/>
    <w:rsid w:val="0058302A"/>
    <w:rsid w:val="005F3273"/>
    <w:rsid w:val="0065792E"/>
    <w:rsid w:val="00680B47"/>
    <w:rsid w:val="006F14CB"/>
    <w:rsid w:val="006F3A7E"/>
    <w:rsid w:val="00702658"/>
    <w:rsid w:val="007302DE"/>
    <w:rsid w:val="00755151"/>
    <w:rsid w:val="00773576"/>
    <w:rsid w:val="007F2278"/>
    <w:rsid w:val="0081052F"/>
    <w:rsid w:val="00824C19"/>
    <w:rsid w:val="008378D1"/>
    <w:rsid w:val="008E44F6"/>
    <w:rsid w:val="008F5472"/>
    <w:rsid w:val="0096193C"/>
    <w:rsid w:val="009A2F76"/>
    <w:rsid w:val="00A90E26"/>
    <w:rsid w:val="00C61576"/>
    <w:rsid w:val="00CF7718"/>
    <w:rsid w:val="00D562B0"/>
    <w:rsid w:val="00DC2506"/>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541</Words>
  <Characters>3085</Characters>
  <Application>Microsoft Office Word</Application>
  <DocSecurity>4</DocSecurity>
  <Lines>25</Lines>
  <Paragraphs>7</Paragraphs>
  <ScaleCrop>false</ScaleCrop>
  <Company>United Nations</Company>
  <LinksUpToDate>false</LinksUpToDate>
  <CharactersWithSpaces>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Huangui.Du</dc:creator>
  <cp:keywords/>
  <dc:description/>
  <cp:lastModifiedBy>shurui duan</cp:lastModifiedBy>
  <cp:revision>20</cp:revision>
  <cp:lastPrinted>2006-09-05T08:59:00Z</cp:lastPrinted>
  <dcterms:created xsi:type="dcterms:W3CDTF">2006-09-01T13:48:00Z</dcterms:created>
  <dcterms:modified xsi:type="dcterms:W3CDTF">2006-09-05T09:00:00Z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0646808</vt:lpwstr>
  </property>
  <property fmtid="{D5CDD505-2E9C-101B-9397-08002B2CF9AE}" pid="3" name="Symbol1">
    <vt:lpwstr>CEDAW/C/POL/Q/6</vt:lpwstr>
  </property>
  <property fmtid="{D5CDD505-2E9C-101B-9397-08002B2CF9AE}" pid="4" name="Symbol2">
    <vt:lpwstr/>
  </property>
  <property fmtid="{D5CDD505-2E9C-101B-9397-08002B2CF9AE}" pid="5" name="Translator">
    <vt:lpwstr/>
  </property>
  <property fmtid="{D5CDD505-2E9C-101B-9397-08002B2CF9AE}" pid="6" name="Operator">
    <vt:lpwstr>DU HG</vt:lpwstr>
  </property>
  <property fmtid="{D5CDD505-2E9C-101B-9397-08002B2CF9AE}" pid="7" name="DraftPages">
    <vt:lpwstr> </vt:lpwstr>
  </property>
  <property fmtid="{D5CDD505-2E9C-101B-9397-08002B2CF9AE}" pid="8" name="Comment">
    <vt:lpwstr/>
  </property>
</Properties>
</file>