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56FAE" w14:paraId="162ECD49" w14:textId="77777777" w:rsidTr="00981901">
        <w:trPr>
          <w:cantSplit/>
          <w:trHeight w:hRule="exact" w:val="851"/>
        </w:trPr>
        <w:tc>
          <w:tcPr>
            <w:tcW w:w="1276" w:type="dxa"/>
            <w:tcBorders>
              <w:bottom w:val="single" w:sz="4" w:space="0" w:color="auto"/>
            </w:tcBorders>
            <w:vAlign w:val="bottom"/>
          </w:tcPr>
          <w:p w14:paraId="387EB714" w14:textId="77777777" w:rsidR="001E498C" w:rsidRPr="00F43810" w:rsidRDefault="001E498C" w:rsidP="00981901">
            <w:pPr>
              <w:spacing w:after="80"/>
            </w:pPr>
          </w:p>
        </w:tc>
        <w:tc>
          <w:tcPr>
            <w:tcW w:w="2268" w:type="dxa"/>
            <w:tcBorders>
              <w:bottom w:val="single" w:sz="4" w:space="0" w:color="auto"/>
            </w:tcBorders>
            <w:vAlign w:val="bottom"/>
          </w:tcPr>
          <w:p w14:paraId="704240C5" w14:textId="77777777" w:rsidR="001E498C" w:rsidRPr="00F43810" w:rsidRDefault="001710E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38BBC2D9" w14:textId="737A2EB0" w:rsidR="001E498C" w:rsidRPr="00A363E7" w:rsidRDefault="00A363E7" w:rsidP="00A363E7">
            <w:pPr>
              <w:suppressAutoHyphens w:val="0"/>
              <w:jc w:val="right"/>
            </w:pPr>
            <w:r w:rsidRPr="00A363E7">
              <w:rPr>
                <w:sz w:val="40"/>
              </w:rPr>
              <w:t>CCPR</w:t>
            </w:r>
            <w:r>
              <w:t>/C/LUX/FCO/4</w:t>
            </w:r>
          </w:p>
        </w:tc>
      </w:tr>
      <w:tr w:rsidR="00656FAE" w14:paraId="18F5B754" w14:textId="77777777" w:rsidTr="00981901">
        <w:trPr>
          <w:cantSplit/>
          <w:trHeight w:hRule="exact" w:val="2835"/>
        </w:trPr>
        <w:tc>
          <w:tcPr>
            <w:tcW w:w="1276" w:type="dxa"/>
            <w:tcBorders>
              <w:top w:val="single" w:sz="4" w:space="0" w:color="auto"/>
              <w:bottom w:val="single" w:sz="12" w:space="0" w:color="auto"/>
            </w:tcBorders>
          </w:tcPr>
          <w:p w14:paraId="1C8623D1" w14:textId="77777777" w:rsidR="001E498C" w:rsidRPr="00F43810" w:rsidRDefault="001710E0" w:rsidP="00981901">
            <w:pPr>
              <w:spacing w:before="120"/>
              <w:jc w:val="center"/>
            </w:pPr>
            <w:r w:rsidRPr="00F43810">
              <w:rPr>
                <w:noProof/>
                <w:lang w:eastAsia="fr-CH"/>
              </w:rPr>
              <w:drawing>
                <wp:inline distT="0" distB="0" distL="0" distR="0" wp14:anchorId="7E4ACFE6" wp14:editId="1716AD1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18C88A" w14:textId="77777777" w:rsidR="001E498C" w:rsidRPr="00F43810" w:rsidRDefault="001710E0"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ED23824" w14:textId="77777777" w:rsidR="001E498C" w:rsidRPr="00F43810" w:rsidRDefault="001710E0" w:rsidP="00981901">
            <w:pPr>
              <w:suppressAutoHyphens w:val="0"/>
              <w:spacing w:before="240" w:line="240" w:lineRule="exact"/>
            </w:pPr>
            <w:r>
              <w:t>Distr.</w:t>
            </w:r>
            <w:r w:rsidRPr="00F43810">
              <w:t xml:space="preserve"> </w:t>
            </w:r>
            <w:r w:rsidR="006056E0" w:rsidRPr="00F43810">
              <w:t>générale</w:t>
            </w:r>
          </w:p>
          <w:p w14:paraId="31C08709" w14:textId="75CD67CE" w:rsidR="001E498C" w:rsidRPr="00F43810" w:rsidRDefault="00793A10" w:rsidP="00981901">
            <w:pPr>
              <w:suppressAutoHyphens w:val="0"/>
            </w:pPr>
            <w:r>
              <w:t>10</w:t>
            </w:r>
            <w:r w:rsidR="006056E0" w:rsidRPr="00F43810">
              <w:t xml:space="preserve"> novembre 2025</w:t>
            </w:r>
          </w:p>
          <w:p w14:paraId="42092276" w14:textId="77777777" w:rsidR="006056E0" w:rsidRPr="00F43810" w:rsidRDefault="006056E0" w:rsidP="00981901">
            <w:pPr>
              <w:suppressAutoHyphens w:val="0"/>
            </w:pPr>
          </w:p>
          <w:p w14:paraId="737BD990" w14:textId="77777777" w:rsidR="001E498C" w:rsidRPr="00F43810" w:rsidRDefault="001710E0" w:rsidP="00981901">
            <w:pPr>
              <w:suppressAutoHyphens w:val="0"/>
            </w:pPr>
            <w:r>
              <w:t>Original </w:t>
            </w:r>
            <w:r w:rsidR="00206CF2">
              <w:t>:</w:t>
            </w:r>
            <w:r w:rsidRPr="00F43810">
              <w:t xml:space="preserve"> </w:t>
            </w:r>
            <w:r w:rsidR="006056E0" w:rsidRPr="00F43810">
              <w:t>français</w:t>
            </w:r>
          </w:p>
          <w:p w14:paraId="71565B33" w14:textId="77777777" w:rsidR="006056E0" w:rsidRPr="00F43810" w:rsidRDefault="001710E0" w:rsidP="00981901">
            <w:pPr>
              <w:suppressAutoHyphens w:val="0"/>
            </w:pPr>
            <w:r w:rsidRPr="00F43810">
              <w:t>Anglais et français seulement</w:t>
            </w:r>
          </w:p>
        </w:tc>
      </w:tr>
    </w:tbl>
    <w:p w14:paraId="2586D87A" w14:textId="77777777" w:rsidR="00B002C4" w:rsidRDefault="001710E0" w:rsidP="00B002C4">
      <w:pPr>
        <w:spacing w:before="120"/>
        <w:rPr>
          <w:b/>
          <w:sz w:val="24"/>
          <w:szCs w:val="24"/>
        </w:rPr>
      </w:pPr>
      <w:r w:rsidRPr="00DF3BF1">
        <w:rPr>
          <w:b/>
          <w:sz w:val="24"/>
          <w:szCs w:val="24"/>
        </w:rPr>
        <w:t>Comité des droits de l’homme</w:t>
      </w:r>
    </w:p>
    <w:p w14:paraId="412B7452" w14:textId="64143129" w:rsidR="004D6048" w:rsidRDefault="001710E0" w:rsidP="00F16DC1">
      <w:pPr>
        <w:pStyle w:val="HMG"/>
        <w:rPr>
          <w:sz w:val="20"/>
        </w:rPr>
      </w:pPr>
      <w:r>
        <w:tab/>
      </w:r>
      <w:r>
        <w:tab/>
        <w:t>Renseignements reçus du Luxembourg au sujet de</w:t>
      </w:r>
      <w:r w:rsidR="003F7678">
        <w:t> </w:t>
      </w:r>
      <w:r>
        <w:t>la suite donnée aux observations finales</w:t>
      </w:r>
      <w:r w:rsidR="00B42154">
        <w:t xml:space="preserve"> concernant son quatrième rapport périodique</w:t>
      </w:r>
      <w:r>
        <w:rPr>
          <w:rStyle w:val="Appelnotedebasdep"/>
          <w:b w:val="0"/>
          <w:sz w:val="20"/>
          <w:vertAlign w:val="baseline"/>
        </w:rPr>
        <w:footnoteReference w:customMarkFollows="1" w:id="2"/>
        <w:t>*</w:t>
      </w:r>
    </w:p>
    <w:p w14:paraId="3B1A49E0" w14:textId="138E5BF4" w:rsidR="004D6048" w:rsidRDefault="001710E0" w:rsidP="00F93630">
      <w:pPr>
        <w:pStyle w:val="SingleTxtG"/>
        <w:jc w:val="right"/>
      </w:pPr>
      <w:r>
        <w:t>[</w:t>
      </w:r>
      <w:r w:rsidRPr="00640E26">
        <w:t>Date de réception</w:t>
      </w:r>
      <w:r w:rsidR="0041397A">
        <w:t> </w:t>
      </w:r>
      <w:r w:rsidRPr="00640E26">
        <w:t xml:space="preserve">: </w:t>
      </w:r>
      <w:r w:rsidR="00782C6F">
        <w:t>29</w:t>
      </w:r>
      <w:r w:rsidR="00782C6F" w:rsidRPr="008F3C29">
        <w:t xml:space="preserve"> </w:t>
      </w:r>
      <w:r w:rsidR="008F3C29" w:rsidRPr="008F3C29">
        <w:t>juillet 2025</w:t>
      </w:r>
      <w:r w:rsidRPr="008F3C29">
        <w:t>]</w:t>
      </w:r>
    </w:p>
    <w:p w14:paraId="26B81001" w14:textId="1B51DAE0" w:rsidR="008F3C29" w:rsidRDefault="008F3C29">
      <w:pPr>
        <w:suppressAutoHyphens w:val="0"/>
        <w:kinsoku/>
        <w:overflowPunct/>
        <w:autoSpaceDE/>
        <w:autoSpaceDN/>
        <w:adjustRightInd/>
        <w:snapToGrid/>
        <w:spacing w:after="200" w:line="276" w:lineRule="auto"/>
        <w:rPr>
          <w:rFonts w:eastAsiaTheme="minorEastAsia"/>
          <w:lang w:eastAsia="zh-CN"/>
        </w:rPr>
      </w:pPr>
      <w:r>
        <w:br w:type="page"/>
      </w:r>
    </w:p>
    <w:p w14:paraId="48A5E3F3" w14:textId="71FF4BBA" w:rsidR="001133CC" w:rsidRDefault="001133CC" w:rsidP="000C7A3F">
      <w:pPr>
        <w:pStyle w:val="HChG"/>
        <w:rPr>
          <w:lang w:val="fr-FR"/>
        </w:rPr>
      </w:pPr>
      <w:r>
        <w:rPr>
          <w:lang w:val="fr-FR"/>
        </w:rPr>
        <w:lastRenderedPageBreak/>
        <w:tab/>
      </w:r>
      <w:r>
        <w:rPr>
          <w:lang w:val="fr-FR"/>
        </w:rPr>
        <w:tab/>
      </w:r>
      <w:r w:rsidRPr="00E44D18">
        <w:rPr>
          <w:lang w:val="fr-FR"/>
        </w:rPr>
        <w:t>Renseignements sur la suite donnée aux observations finales (</w:t>
      </w:r>
      <w:hyperlink r:id="rId11" w:history="1">
        <w:r w:rsidRPr="000C7A3F">
          <w:rPr>
            <w:rStyle w:val="Lienhypertexte"/>
            <w:color w:val="auto"/>
            <w:lang w:val="fr-FR"/>
          </w:rPr>
          <w:t>CCPR/C/LUX/CO/4</w:t>
        </w:r>
      </w:hyperlink>
      <w:r w:rsidRPr="00E44D18">
        <w:rPr>
          <w:lang w:val="fr-FR"/>
        </w:rPr>
        <w:t>)</w:t>
      </w:r>
    </w:p>
    <w:p w14:paraId="7B041B11" w14:textId="75AEDE50" w:rsidR="008F3C29" w:rsidRDefault="00DE004C" w:rsidP="00DE004C">
      <w:pPr>
        <w:pStyle w:val="H1G"/>
        <w:rPr>
          <w:lang w:val="fr-FR"/>
        </w:rPr>
      </w:pPr>
      <w:r>
        <w:rPr>
          <w:lang w:val="fr-FR"/>
        </w:rPr>
        <w:tab/>
      </w:r>
      <w:r>
        <w:rPr>
          <w:lang w:val="fr-FR"/>
        </w:rPr>
        <w:tab/>
      </w:r>
      <w:r w:rsidR="00977E20" w:rsidRPr="003575A7">
        <w:rPr>
          <w:lang w:val="fr-FR"/>
        </w:rPr>
        <w:t xml:space="preserve">Renseignements sur la suite donnée aux recommandations </w:t>
      </w:r>
      <w:r w:rsidR="001133CC" w:rsidRPr="001133CC">
        <w:rPr>
          <w:lang w:val="fr-FR"/>
        </w:rPr>
        <w:t>formulées</w:t>
      </w:r>
      <w:r w:rsidR="00977E20" w:rsidRPr="003575A7">
        <w:rPr>
          <w:lang w:val="fr-FR"/>
        </w:rPr>
        <w:t xml:space="preserve"> </w:t>
      </w:r>
      <w:r w:rsidR="00977E20" w:rsidRPr="000C2696">
        <w:rPr>
          <w:lang w:val="fr-FR"/>
        </w:rPr>
        <w:t>au</w:t>
      </w:r>
      <w:r w:rsidR="003F7678">
        <w:rPr>
          <w:lang w:val="fr-FR"/>
        </w:rPr>
        <w:t> </w:t>
      </w:r>
      <w:r w:rsidR="00977E20" w:rsidRPr="006D7F1B">
        <w:rPr>
          <w:lang w:val="fr-FR"/>
        </w:rPr>
        <w:t>paragraphe</w:t>
      </w:r>
      <w:r w:rsidR="000D1B58" w:rsidRPr="006D7F1B">
        <w:rPr>
          <w:lang w:val="fr-FR"/>
        </w:rPr>
        <w:t xml:space="preserve"> 12 </w:t>
      </w:r>
      <w:r w:rsidR="00977E20" w:rsidRPr="006D7F1B">
        <w:rPr>
          <w:lang w:val="fr-FR"/>
        </w:rPr>
        <w:t xml:space="preserve">des </w:t>
      </w:r>
      <w:r w:rsidR="00977E20" w:rsidRPr="003575A7">
        <w:rPr>
          <w:lang w:val="fr-FR"/>
        </w:rPr>
        <w:t>observations finales</w:t>
      </w:r>
      <w:r w:rsidR="000D1B58">
        <w:rPr>
          <w:lang w:val="fr-FR"/>
        </w:rPr>
        <w:t xml:space="preserve"> </w:t>
      </w:r>
    </w:p>
    <w:p w14:paraId="49A142DC" w14:textId="4EAAAE9D" w:rsidR="008F3C29" w:rsidRPr="00B966AF" w:rsidRDefault="00DE004C" w:rsidP="000C7A3F">
      <w:pPr>
        <w:pStyle w:val="H23G"/>
        <w:rPr>
          <w:lang w:val="fr-FR"/>
        </w:rPr>
      </w:pPr>
      <w:r>
        <w:rPr>
          <w:lang w:val="fr-BE"/>
        </w:rPr>
        <w:tab/>
      </w:r>
      <w:r>
        <w:rPr>
          <w:lang w:val="fr-BE"/>
        </w:rPr>
        <w:tab/>
      </w:r>
      <w:r w:rsidR="008F3C29" w:rsidRPr="00B966AF">
        <w:rPr>
          <w:lang w:val="fr-BE"/>
        </w:rPr>
        <w:t xml:space="preserve">Orientation sexuelle, identité de genre et personnes intersexes </w:t>
      </w:r>
    </w:p>
    <w:p w14:paraId="66453148" w14:textId="49F6E484" w:rsidR="008F3C29" w:rsidRPr="000C7A3F" w:rsidRDefault="006D7F1B" w:rsidP="006D7F1B">
      <w:pPr>
        <w:pStyle w:val="SingleTxtG"/>
        <w:rPr>
          <w:lang w:val="fr-FR"/>
        </w:rPr>
      </w:pPr>
      <w:bookmarkStart w:id="0" w:name="_Hlk109233041"/>
      <w:r>
        <w:rPr>
          <w:lang w:val="fr-FR"/>
        </w:rPr>
        <w:t>1.</w:t>
      </w:r>
      <w:r>
        <w:rPr>
          <w:lang w:val="fr-FR"/>
        </w:rPr>
        <w:tab/>
      </w:r>
      <w:r w:rsidR="008F3C29" w:rsidRPr="000C7A3F">
        <w:rPr>
          <w:lang w:val="fr-FR"/>
        </w:rPr>
        <w:t xml:space="preserve">L’accord de coalition 2023-2028 prévoit que le </w:t>
      </w:r>
      <w:r w:rsidR="008F59EC">
        <w:rPr>
          <w:lang w:val="fr-FR"/>
        </w:rPr>
        <w:t>«</w:t>
      </w:r>
      <w:r w:rsidR="008F3C29" w:rsidRPr="000C7A3F">
        <w:rPr>
          <w:lang w:val="fr-FR"/>
        </w:rPr>
        <w:t>gouvernement s’engagera pour le respect et la protection renforcée des identités de genre non-binaires. Il œuvra de sorte à ce que les modalités applicables [...] à l’assignation de sexe chez les personnes intersexuées soient évaluées et adaptées aux besoins. Le Gouvernement suivra de près et analysera le cadre légal en la matière dans les autres pays de l’Union européenne.</w:t>
      </w:r>
      <w:r w:rsidR="008F59EC">
        <w:rPr>
          <w:lang w:val="fr-FR"/>
        </w:rPr>
        <w:t>»</w:t>
      </w:r>
      <w:r w:rsidR="008F3C29" w:rsidRPr="000C7A3F">
        <w:rPr>
          <w:lang w:val="fr-FR"/>
        </w:rPr>
        <w:t xml:space="preserve"> </w:t>
      </w:r>
    </w:p>
    <w:p w14:paraId="663C4FA4" w14:textId="49F2460A" w:rsidR="008F3C29" w:rsidRPr="000C7A3F" w:rsidRDefault="006D7F1B" w:rsidP="006D7F1B">
      <w:pPr>
        <w:pStyle w:val="SingleTxtG"/>
        <w:rPr>
          <w:lang w:val="fr-FR"/>
        </w:rPr>
      </w:pPr>
      <w:r w:rsidRPr="000C7A3F">
        <w:rPr>
          <w:lang w:val="fr-FR"/>
        </w:rPr>
        <w:t>2.</w:t>
      </w:r>
      <w:r w:rsidRPr="000C7A3F">
        <w:rPr>
          <w:lang w:val="fr-FR"/>
        </w:rPr>
        <w:tab/>
      </w:r>
      <w:r w:rsidR="008F3C29" w:rsidRPr="000C7A3F">
        <w:rPr>
          <w:lang w:val="fr-FR"/>
        </w:rPr>
        <w:t>Afin de tenir compte des recommandations internationales et de l’accord de coalition, le gouvernement mettra en place un groupe de travail interministériel, lequel sera élargi aux parties prenantes, pour évaluer les modalités applicables à l’assignation de sexe chez les personnes intersexuées et les adapter aux besoins.</w:t>
      </w:r>
    </w:p>
    <w:bookmarkEnd w:id="0"/>
    <w:p w14:paraId="0E7F6993" w14:textId="1FA9884D" w:rsidR="000D1B58" w:rsidRDefault="00DE004C" w:rsidP="00DE004C">
      <w:pPr>
        <w:pStyle w:val="H1G"/>
        <w:rPr>
          <w:rFonts w:asciiTheme="majorHAnsi" w:eastAsia="Times New Roman" w:hAnsiTheme="majorHAnsi" w:cstheme="majorHAnsi"/>
          <w:bCs/>
          <w:lang w:val="fr-FR"/>
        </w:rPr>
      </w:pPr>
      <w:r>
        <w:rPr>
          <w:lang w:val="fr-FR"/>
        </w:rPr>
        <w:tab/>
      </w:r>
      <w:r>
        <w:rPr>
          <w:lang w:val="fr-FR"/>
        </w:rPr>
        <w:tab/>
      </w:r>
      <w:r w:rsidR="000D1B58" w:rsidRPr="003575A7">
        <w:rPr>
          <w:lang w:val="fr-FR"/>
        </w:rPr>
        <w:t xml:space="preserve">Renseignements sur la suite donnée aux recommandations </w:t>
      </w:r>
      <w:r w:rsidR="001133CC">
        <w:rPr>
          <w:lang w:val="fr-FR"/>
        </w:rPr>
        <w:t>formulées</w:t>
      </w:r>
      <w:r w:rsidR="000D1B58" w:rsidRPr="003575A7">
        <w:rPr>
          <w:lang w:val="fr-FR"/>
        </w:rPr>
        <w:t xml:space="preserve"> </w:t>
      </w:r>
      <w:r w:rsidR="000D1B58" w:rsidRPr="000C2696">
        <w:rPr>
          <w:lang w:val="fr-FR"/>
        </w:rPr>
        <w:t>au</w:t>
      </w:r>
      <w:r w:rsidR="003F7678">
        <w:rPr>
          <w:lang w:val="fr-FR"/>
        </w:rPr>
        <w:t> </w:t>
      </w:r>
      <w:r w:rsidR="000D1B58" w:rsidRPr="006D7F1B">
        <w:rPr>
          <w:lang w:val="fr-FR"/>
        </w:rPr>
        <w:t xml:space="preserve">paragraphe 26 des observations </w:t>
      </w:r>
      <w:r w:rsidR="000D1B58" w:rsidRPr="003575A7">
        <w:rPr>
          <w:lang w:val="fr-FR"/>
        </w:rPr>
        <w:t>finales</w:t>
      </w:r>
    </w:p>
    <w:p w14:paraId="311F859B" w14:textId="24A57AF4" w:rsidR="008F3C29" w:rsidRPr="00B966AF" w:rsidRDefault="006D7F1B" w:rsidP="000C7A3F">
      <w:pPr>
        <w:pStyle w:val="H23G"/>
        <w:rPr>
          <w:lang w:val="fr-FR"/>
        </w:rPr>
      </w:pPr>
      <w:r>
        <w:rPr>
          <w:lang w:val="fr-BE"/>
        </w:rPr>
        <w:tab/>
      </w:r>
      <w:r>
        <w:rPr>
          <w:lang w:val="fr-BE"/>
        </w:rPr>
        <w:tab/>
      </w:r>
      <w:r w:rsidR="008F3C29" w:rsidRPr="00B966AF">
        <w:rPr>
          <w:lang w:val="fr-BE"/>
        </w:rPr>
        <w:t xml:space="preserve">Droit de réunion pacifique </w:t>
      </w:r>
    </w:p>
    <w:p w14:paraId="62168B7F" w14:textId="45DEBE79" w:rsidR="008F3C29" w:rsidRPr="00B40702" w:rsidRDefault="006D7F1B" w:rsidP="006D7F1B">
      <w:pPr>
        <w:pStyle w:val="SingleTxtG"/>
        <w:rPr>
          <w:lang w:val="fr-LU"/>
        </w:rPr>
      </w:pPr>
      <w:r>
        <w:rPr>
          <w:lang w:val="fr-LU"/>
        </w:rPr>
        <w:t>3.</w:t>
      </w:r>
      <w:r>
        <w:rPr>
          <w:lang w:val="fr-LU"/>
        </w:rPr>
        <w:tab/>
      </w:r>
      <w:r w:rsidR="008F3C29" w:rsidRPr="000C7A3F">
        <w:rPr>
          <w:lang w:val="fr-LU"/>
        </w:rPr>
        <w:t>À ce jour, aucune disposition législative n’a été adoptée en réponse à l’observation</w:t>
      </w:r>
      <w:r w:rsidR="008F59EC">
        <w:rPr>
          <w:lang w:val="fr-LU"/>
        </w:rPr>
        <w:t> </w:t>
      </w:r>
      <w:r w:rsidR="008F3C29" w:rsidRPr="000C7A3F">
        <w:rPr>
          <w:lang w:val="fr-LU"/>
        </w:rPr>
        <w:t>37, dans la mesure où l’analyse juridique est toujours en cours.</w:t>
      </w:r>
    </w:p>
    <w:p w14:paraId="2E4691E7" w14:textId="5CB68D29" w:rsidR="000C1293" w:rsidRPr="004639A2" w:rsidRDefault="004639A2" w:rsidP="004639A2">
      <w:pPr>
        <w:pStyle w:val="SingleTxtG"/>
        <w:spacing w:before="240" w:after="0"/>
        <w:jc w:val="center"/>
        <w:rPr>
          <w:u w:val="single"/>
          <w:lang w:val="fr-LU"/>
        </w:rPr>
      </w:pPr>
      <w:r>
        <w:rPr>
          <w:u w:val="single"/>
          <w:lang w:val="fr-LU"/>
        </w:rPr>
        <w:tab/>
      </w:r>
      <w:r>
        <w:rPr>
          <w:u w:val="single"/>
          <w:lang w:val="fr-LU"/>
        </w:rPr>
        <w:tab/>
      </w:r>
      <w:r>
        <w:rPr>
          <w:u w:val="single"/>
          <w:lang w:val="fr-LU"/>
        </w:rPr>
        <w:tab/>
      </w:r>
    </w:p>
    <w:sectPr w:rsidR="000C1293" w:rsidRPr="004639A2" w:rsidSect="005D76FA">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0274D" w14:textId="77777777" w:rsidR="00433C05" w:rsidRDefault="00433C05" w:rsidP="00F95C08">
      <w:pPr>
        <w:spacing w:line="240" w:lineRule="auto"/>
      </w:pPr>
    </w:p>
  </w:endnote>
  <w:endnote w:type="continuationSeparator" w:id="0">
    <w:p w14:paraId="7A0548AF" w14:textId="77777777" w:rsidR="00433C05" w:rsidRPr="00AC3823" w:rsidRDefault="00433C05" w:rsidP="00AC3823">
      <w:pPr>
        <w:pStyle w:val="Pieddepage"/>
      </w:pPr>
    </w:p>
  </w:endnote>
  <w:endnote w:type="continuationNotice" w:id="1">
    <w:p w14:paraId="35259886" w14:textId="77777777" w:rsidR="00433C05" w:rsidRDefault="00433C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B635B" w14:textId="77777777" w:rsidR="006056E0" w:rsidRDefault="001710E0"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D3877">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0135B"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0F0D2" w14:textId="3B685C40" w:rsidR="00A363E7" w:rsidRPr="00A363E7" w:rsidRDefault="00A363E7" w:rsidP="00A363E7">
    <w:pPr>
      <w:pStyle w:val="Pieddepage"/>
      <w:tabs>
        <w:tab w:val="left" w:pos="6520"/>
        <w:tab w:val="right" w:pos="9638"/>
      </w:tabs>
      <w:spacing w:before="120"/>
      <w:rPr>
        <w:sz w:val="20"/>
      </w:rPr>
    </w:pPr>
    <w:r>
      <w:rPr>
        <w:sz w:val="20"/>
      </w:rPr>
      <w:t>GE.25-17916  (F)</w:t>
    </w:r>
    <w:r w:rsidR="00F90301">
      <w:rPr>
        <w:sz w:val="20"/>
      </w:rPr>
      <w:t xml:space="preserve">    101125    101125</w:t>
    </w:r>
    <w:r>
      <w:rPr>
        <w:sz w:val="20"/>
      </w:rPr>
      <w:tab/>
    </w:r>
    <w:r w:rsidRPr="00A363E7">
      <w:rPr>
        <w:noProof/>
        <w:sz w:val="20"/>
        <w:lang w:eastAsia="fr-CH"/>
      </w:rPr>
      <w:drawing>
        <wp:inline distT="0" distB="0" distL="0" distR="0" wp14:anchorId="345F1E84" wp14:editId="40226ADF">
          <wp:extent cx="1105200" cy="234000"/>
          <wp:effectExtent l="0" t="0" r="0" b="0"/>
          <wp:docPr id="546766032"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8308C4D" wp14:editId="7F8A39BD">
          <wp:extent cx="630555" cy="630555"/>
          <wp:effectExtent l="0" t="0" r="0" b="0"/>
          <wp:docPr id="4772237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42EBE" w14:textId="77777777" w:rsidR="00433C05" w:rsidRPr="00AC3823" w:rsidRDefault="00433C05" w:rsidP="00AC3823">
      <w:pPr>
        <w:pStyle w:val="Pieddepage"/>
        <w:tabs>
          <w:tab w:val="right" w:pos="2155"/>
        </w:tabs>
        <w:spacing w:after="80" w:line="240" w:lineRule="atLeast"/>
        <w:ind w:left="680"/>
        <w:rPr>
          <w:u w:val="single"/>
        </w:rPr>
      </w:pPr>
      <w:r>
        <w:rPr>
          <w:u w:val="single"/>
        </w:rPr>
        <w:tab/>
      </w:r>
    </w:p>
  </w:footnote>
  <w:footnote w:type="continuationSeparator" w:id="0">
    <w:p w14:paraId="676F83FB" w14:textId="77777777" w:rsidR="00433C05" w:rsidRPr="00AC3823" w:rsidRDefault="00433C05" w:rsidP="00AC3823">
      <w:pPr>
        <w:pStyle w:val="Pieddepage"/>
        <w:tabs>
          <w:tab w:val="right" w:pos="2155"/>
        </w:tabs>
        <w:spacing w:after="80" w:line="240" w:lineRule="atLeast"/>
        <w:ind w:left="680"/>
        <w:rPr>
          <w:u w:val="single"/>
        </w:rPr>
      </w:pPr>
      <w:r>
        <w:rPr>
          <w:u w:val="single"/>
        </w:rPr>
        <w:tab/>
      </w:r>
    </w:p>
  </w:footnote>
  <w:footnote w:type="continuationNotice" w:id="1">
    <w:p w14:paraId="46F1ED0F" w14:textId="77777777" w:rsidR="00433C05" w:rsidRPr="00AC3823" w:rsidRDefault="00433C05">
      <w:pPr>
        <w:spacing w:line="240" w:lineRule="auto"/>
        <w:rPr>
          <w:sz w:val="2"/>
          <w:szCs w:val="2"/>
        </w:rPr>
      </w:pPr>
    </w:p>
  </w:footnote>
  <w:footnote w:id="2">
    <w:p w14:paraId="634291E6" w14:textId="77777777" w:rsidR="004D6048" w:rsidRPr="005D71BF" w:rsidRDefault="001710E0" w:rsidP="004D6048">
      <w:pPr>
        <w:pStyle w:val="Notedebasdepage"/>
      </w:pPr>
      <w:r>
        <w:tab/>
      </w:r>
      <w:r w:rsidRPr="0063080D">
        <w:rPr>
          <w:rStyle w:val="Appelnotedebasdep"/>
          <w:sz w:val="20"/>
          <w:vertAlign w:val="baseline"/>
        </w:rPr>
        <w:t>*</w:t>
      </w:r>
      <w:r>
        <w:rPr>
          <w:sz w:val="20"/>
        </w:rPr>
        <w:tab/>
      </w:r>
      <w:r>
        <w:t>L</w:t>
      </w:r>
      <w:r w:rsidR="00D067C3">
        <w:t>e</w:t>
      </w:r>
      <w:r>
        <w:t xml:space="preserve"> </w:t>
      </w:r>
      <w:r w:rsidR="00B42154">
        <w:t>présent document n’a pas été revu par les services d’édition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D1F79" w14:textId="77777777" w:rsidR="006056E0" w:rsidRDefault="00E018E1">
    <w:pPr>
      <w:pStyle w:val="En-tte"/>
    </w:pPr>
    <w:r>
      <w:t>CCPR/C/LUX/FCO/4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F4B35" w14:textId="77777777" w:rsidR="005B6BC9" w:rsidRDefault="00E018E1" w:rsidP="005B6BC9">
    <w:pPr>
      <w:pStyle w:val="En-tte"/>
      <w:jc w:val="right"/>
    </w:pPr>
    <w:r>
      <w:t>CCPR/C/LUX/FCO/4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1FBA811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D6818F4" w:tentative="1">
      <w:start w:val="1"/>
      <w:numFmt w:val="lowerLetter"/>
      <w:lvlText w:val="%2."/>
      <w:lvlJc w:val="left"/>
      <w:pPr>
        <w:tabs>
          <w:tab w:val="num" w:pos="1440"/>
        </w:tabs>
        <w:ind w:left="1440" w:hanging="360"/>
      </w:pPr>
    </w:lvl>
    <w:lvl w:ilvl="2" w:tplc="9ECC9184" w:tentative="1">
      <w:start w:val="1"/>
      <w:numFmt w:val="lowerRoman"/>
      <w:lvlText w:val="%3."/>
      <w:lvlJc w:val="right"/>
      <w:pPr>
        <w:tabs>
          <w:tab w:val="num" w:pos="2160"/>
        </w:tabs>
        <w:ind w:left="2160" w:hanging="180"/>
      </w:pPr>
    </w:lvl>
    <w:lvl w:ilvl="3" w:tplc="0A940C96" w:tentative="1">
      <w:start w:val="1"/>
      <w:numFmt w:val="decimal"/>
      <w:lvlText w:val="%4."/>
      <w:lvlJc w:val="left"/>
      <w:pPr>
        <w:tabs>
          <w:tab w:val="num" w:pos="2880"/>
        </w:tabs>
        <w:ind w:left="2880" w:hanging="360"/>
      </w:pPr>
    </w:lvl>
    <w:lvl w:ilvl="4" w:tplc="13A62B4A" w:tentative="1">
      <w:start w:val="1"/>
      <w:numFmt w:val="lowerLetter"/>
      <w:lvlText w:val="%5."/>
      <w:lvlJc w:val="left"/>
      <w:pPr>
        <w:tabs>
          <w:tab w:val="num" w:pos="3600"/>
        </w:tabs>
        <w:ind w:left="3600" w:hanging="360"/>
      </w:pPr>
    </w:lvl>
    <w:lvl w:ilvl="5" w:tplc="42D0B30C" w:tentative="1">
      <w:start w:val="1"/>
      <w:numFmt w:val="lowerRoman"/>
      <w:lvlText w:val="%6."/>
      <w:lvlJc w:val="right"/>
      <w:pPr>
        <w:tabs>
          <w:tab w:val="num" w:pos="4320"/>
        </w:tabs>
        <w:ind w:left="4320" w:hanging="180"/>
      </w:pPr>
    </w:lvl>
    <w:lvl w:ilvl="6" w:tplc="479CAB32" w:tentative="1">
      <w:start w:val="1"/>
      <w:numFmt w:val="decimal"/>
      <w:lvlText w:val="%7."/>
      <w:lvlJc w:val="left"/>
      <w:pPr>
        <w:tabs>
          <w:tab w:val="num" w:pos="5040"/>
        </w:tabs>
        <w:ind w:left="5040" w:hanging="360"/>
      </w:pPr>
    </w:lvl>
    <w:lvl w:ilvl="7" w:tplc="367EC742" w:tentative="1">
      <w:start w:val="1"/>
      <w:numFmt w:val="lowerLetter"/>
      <w:lvlText w:val="%8."/>
      <w:lvlJc w:val="left"/>
      <w:pPr>
        <w:tabs>
          <w:tab w:val="num" w:pos="5760"/>
        </w:tabs>
        <w:ind w:left="5760" w:hanging="360"/>
      </w:pPr>
    </w:lvl>
    <w:lvl w:ilvl="8" w:tplc="E9CE431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8030249E"/>
    <w:lvl w:ilvl="0" w:tplc="2CEC9DF8">
      <w:start w:val="1"/>
      <w:numFmt w:val="bullet"/>
      <w:pStyle w:val="Bullet2G"/>
      <w:lvlText w:val="•"/>
      <w:lvlJc w:val="left"/>
      <w:pPr>
        <w:tabs>
          <w:tab w:val="num" w:pos="2268"/>
        </w:tabs>
        <w:ind w:left="2268" w:hanging="170"/>
      </w:pPr>
      <w:rPr>
        <w:rFonts w:ascii="Times New Roman" w:hAnsi="Times New Roman" w:cs="Times New Roman" w:hint="default"/>
      </w:rPr>
    </w:lvl>
    <w:lvl w:ilvl="1" w:tplc="C6BCA190" w:tentative="1">
      <w:start w:val="1"/>
      <w:numFmt w:val="bullet"/>
      <w:lvlText w:val="o"/>
      <w:lvlJc w:val="left"/>
      <w:pPr>
        <w:tabs>
          <w:tab w:val="num" w:pos="3708"/>
        </w:tabs>
        <w:ind w:left="3708" w:hanging="360"/>
      </w:pPr>
      <w:rPr>
        <w:rFonts w:ascii="Courier New" w:hAnsi="Courier New" w:hint="default"/>
      </w:rPr>
    </w:lvl>
    <w:lvl w:ilvl="2" w:tplc="B644EE92" w:tentative="1">
      <w:start w:val="1"/>
      <w:numFmt w:val="bullet"/>
      <w:lvlText w:val=""/>
      <w:lvlJc w:val="left"/>
      <w:pPr>
        <w:tabs>
          <w:tab w:val="num" w:pos="4428"/>
        </w:tabs>
        <w:ind w:left="4428" w:hanging="360"/>
      </w:pPr>
      <w:rPr>
        <w:rFonts w:ascii="Wingdings" w:hAnsi="Wingdings" w:hint="default"/>
      </w:rPr>
    </w:lvl>
    <w:lvl w:ilvl="3" w:tplc="19FE71FC" w:tentative="1">
      <w:start w:val="1"/>
      <w:numFmt w:val="bullet"/>
      <w:lvlText w:val=""/>
      <w:lvlJc w:val="left"/>
      <w:pPr>
        <w:tabs>
          <w:tab w:val="num" w:pos="5148"/>
        </w:tabs>
        <w:ind w:left="5148" w:hanging="360"/>
      </w:pPr>
      <w:rPr>
        <w:rFonts w:ascii="Symbol" w:hAnsi="Symbol" w:hint="default"/>
      </w:rPr>
    </w:lvl>
    <w:lvl w:ilvl="4" w:tplc="375C1FDA" w:tentative="1">
      <w:start w:val="1"/>
      <w:numFmt w:val="bullet"/>
      <w:lvlText w:val="o"/>
      <w:lvlJc w:val="left"/>
      <w:pPr>
        <w:tabs>
          <w:tab w:val="num" w:pos="5868"/>
        </w:tabs>
        <w:ind w:left="5868" w:hanging="360"/>
      </w:pPr>
      <w:rPr>
        <w:rFonts w:ascii="Courier New" w:hAnsi="Courier New" w:hint="default"/>
      </w:rPr>
    </w:lvl>
    <w:lvl w:ilvl="5" w:tplc="62FE385A" w:tentative="1">
      <w:start w:val="1"/>
      <w:numFmt w:val="bullet"/>
      <w:lvlText w:val=""/>
      <w:lvlJc w:val="left"/>
      <w:pPr>
        <w:tabs>
          <w:tab w:val="num" w:pos="6588"/>
        </w:tabs>
        <w:ind w:left="6588" w:hanging="360"/>
      </w:pPr>
      <w:rPr>
        <w:rFonts w:ascii="Wingdings" w:hAnsi="Wingdings" w:hint="default"/>
      </w:rPr>
    </w:lvl>
    <w:lvl w:ilvl="6" w:tplc="4F8E8796" w:tentative="1">
      <w:start w:val="1"/>
      <w:numFmt w:val="bullet"/>
      <w:lvlText w:val=""/>
      <w:lvlJc w:val="left"/>
      <w:pPr>
        <w:tabs>
          <w:tab w:val="num" w:pos="7308"/>
        </w:tabs>
        <w:ind w:left="7308" w:hanging="360"/>
      </w:pPr>
      <w:rPr>
        <w:rFonts w:ascii="Symbol" w:hAnsi="Symbol" w:hint="default"/>
      </w:rPr>
    </w:lvl>
    <w:lvl w:ilvl="7" w:tplc="1F30C76C" w:tentative="1">
      <w:start w:val="1"/>
      <w:numFmt w:val="bullet"/>
      <w:lvlText w:val="o"/>
      <w:lvlJc w:val="left"/>
      <w:pPr>
        <w:tabs>
          <w:tab w:val="num" w:pos="8028"/>
        </w:tabs>
        <w:ind w:left="8028" w:hanging="360"/>
      </w:pPr>
      <w:rPr>
        <w:rFonts w:ascii="Courier New" w:hAnsi="Courier New" w:hint="default"/>
      </w:rPr>
    </w:lvl>
    <w:lvl w:ilvl="8" w:tplc="F1862F5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BC20A4"/>
    <w:lvl w:ilvl="0" w:tplc="9C561690">
      <w:start w:val="1"/>
      <w:numFmt w:val="bullet"/>
      <w:pStyle w:val="Bullet1G"/>
      <w:lvlText w:val="•"/>
      <w:lvlJc w:val="left"/>
      <w:pPr>
        <w:tabs>
          <w:tab w:val="num" w:pos="1701"/>
        </w:tabs>
        <w:ind w:left="1701" w:hanging="170"/>
      </w:pPr>
      <w:rPr>
        <w:rFonts w:ascii="Times New Roman" w:hAnsi="Times New Roman" w:cs="Times New Roman" w:hint="default"/>
      </w:rPr>
    </w:lvl>
    <w:lvl w:ilvl="1" w:tplc="FABED064" w:tentative="1">
      <w:start w:val="1"/>
      <w:numFmt w:val="bullet"/>
      <w:lvlText w:val="o"/>
      <w:lvlJc w:val="left"/>
      <w:pPr>
        <w:tabs>
          <w:tab w:val="num" w:pos="3141"/>
        </w:tabs>
        <w:ind w:left="3141" w:hanging="360"/>
      </w:pPr>
      <w:rPr>
        <w:rFonts w:ascii="Courier New" w:hAnsi="Courier New" w:hint="default"/>
      </w:rPr>
    </w:lvl>
    <w:lvl w:ilvl="2" w:tplc="3CA02F4E" w:tentative="1">
      <w:start w:val="1"/>
      <w:numFmt w:val="bullet"/>
      <w:lvlText w:val=""/>
      <w:lvlJc w:val="left"/>
      <w:pPr>
        <w:tabs>
          <w:tab w:val="num" w:pos="3861"/>
        </w:tabs>
        <w:ind w:left="3861" w:hanging="360"/>
      </w:pPr>
      <w:rPr>
        <w:rFonts w:ascii="Wingdings" w:hAnsi="Wingdings" w:hint="default"/>
      </w:rPr>
    </w:lvl>
    <w:lvl w:ilvl="3" w:tplc="19BED3C0" w:tentative="1">
      <w:start w:val="1"/>
      <w:numFmt w:val="bullet"/>
      <w:lvlText w:val=""/>
      <w:lvlJc w:val="left"/>
      <w:pPr>
        <w:tabs>
          <w:tab w:val="num" w:pos="4581"/>
        </w:tabs>
        <w:ind w:left="4581" w:hanging="360"/>
      </w:pPr>
      <w:rPr>
        <w:rFonts w:ascii="Symbol" w:hAnsi="Symbol" w:hint="default"/>
      </w:rPr>
    </w:lvl>
    <w:lvl w:ilvl="4" w:tplc="04569180" w:tentative="1">
      <w:start w:val="1"/>
      <w:numFmt w:val="bullet"/>
      <w:lvlText w:val="o"/>
      <w:lvlJc w:val="left"/>
      <w:pPr>
        <w:tabs>
          <w:tab w:val="num" w:pos="5301"/>
        </w:tabs>
        <w:ind w:left="5301" w:hanging="360"/>
      </w:pPr>
      <w:rPr>
        <w:rFonts w:ascii="Courier New" w:hAnsi="Courier New" w:hint="default"/>
      </w:rPr>
    </w:lvl>
    <w:lvl w:ilvl="5" w:tplc="7550DBB0" w:tentative="1">
      <w:start w:val="1"/>
      <w:numFmt w:val="bullet"/>
      <w:lvlText w:val=""/>
      <w:lvlJc w:val="left"/>
      <w:pPr>
        <w:tabs>
          <w:tab w:val="num" w:pos="6021"/>
        </w:tabs>
        <w:ind w:left="6021" w:hanging="360"/>
      </w:pPr>
      <w:rPr>
        <w:rFonts w:ascii="Wingdings" w:hAnsi="Wingdings" w:hint="default"/>
      </w:rPr>
    </w:lvl>
    <w:lvl w:ilvl="6" w:tplc="9326A16A" w:tentative="1">
      <w:start w:val="1"/>
      <w:numFmt w:val="bullet"/>
      <w:lvlText w:val=""/>
      <w:lvlJc w:val="left"/>
      <w:pPr>
        <w:tabs>
          <w:tab w:val="num" w:pos="6741"/>
        </w:tabs>
        <w:ind w:left="6741" w:hanging="360"/>
      </w:pPr>
      <w:rPr>
        <w:rFonts w:ascii="Symbol" w:hAnsi="Symbol" w:hint="default"/>
      </w:rPr>
    </w:lvl>
    <w:lvl w:ilvl="7" w:tplc="DEC6E66A" w:tentative="1">
      <w:start w:val="1"/>
      <w:numFmt w:val="bullet"/>
      <w:lvlText w:val="o"/>
      <w:lvlJc w:val="left"/>
      <w:pPr>
        <w:tabs>
          <w:tab w:val="num" w:pos="7461"/>
        </w:tabs>
        <w:ind w:left="7461" w:hanging="360"/>
      </w:pPr>
      <w:rPr>
        <w:rFonts w:ascii="Courier New" w:hAnsi="Courier New" w:hint="default"/>
      </w:rPr>
    </w:lvl>
    <w:lvl w:ilvl="8" w:tplc="269C76BE" w:tentative="1">
      <w:start w:val="1"/>
      <w:numFmt w:val="bullet"/>
      <w:lvlText w:val=""/>
      <w:lvlJc w:val="left"/>
      <w:pPr>
        <w:tabs>
          <w:tab w:val="num" w:pos="8181"/>
        </w:tabs>
        <w:ind w:left="8181" w:hanging="360"/>
      </w:pPr>
      <w:rPr>
        <w:rFonts w:ascii="Wingdings" w:hAnsi="Wingdings" w:hint="default"/>
      </w:rPr>
    </w:lvl>
  </w:abstractNum>
  <w:num w:numId="1" w16cid:durableId="1395932324">
    <w:abstractNumId w:val="12"/>
  </w:num>
  <w:num w:numId="2" w16cid:durableId="1871607342">
    <w:abstractNumId w:val="11"/>
  </w:num>
  <w:num w:numId="3" w16cid:durableId="1437872686">
    <w:abstractNumId w:val="10"/>
  </w:num>
  <w:num w:numId="4" w16cid:durableId="1399671154">
    <w:abstractNumId w:val="8"/>
  </w:num>
  <w:num w:numId="5" w16cid:durableId="1583298192">
    <w:abstractNumId w:val="3"/>
  </w:num>
  <w:num w:numId="6" w16cid:durableId="509032635">
    <w:abstractNumId w:val="2"/>
  </w:num>
  <w:num w:numId="7" w16cid:durableId="241376264">
    <w:abstractNumId w:val="1"/>
  </w:num>
  <w:num w:numId="8" w16cid:durableId="395974206">
    <w:abstractNumId w:val="0"/>
  </w:num>
  <w:num w:numId="9" w16cid:durableId="1152796788">
    <w:abstractNumId w:val="9"/>
  </w:num>
  <w:num w:numId="10" w16cid:durableId="1629162584">
    <w:abstractNumId w:val="7"/>
  </w:num>
  <w:num w:numId="11" w16cid:durableId="1601062573">
    <w:abstractNumId w:val="6"/>
  </w:num>
  <w:num w:numId="12" w16cid:durableId="822938934">
    <w:abstractNumId w:val="5"/>
  </w:num>
  <w:num w:numId="13" w16cid:durableId="733744023">
    <w:abstractNumId w:val="4"/>
  </w:num>
  <w:num w:numId="14" w16cid:durableId="656030285">
    <w:abstractNumId w:val="12"/>
  </w:num>
  <w:num w:numId="15" w16cid:durableId="1099445375">
    <w:abstractNumId w:val="11"/>
  </w:num>
  <w:num w:numId="16" w16cid:durableId="1603955626">
    <w:abstractNumId w:val="10"/>
  </w:num>
  <w:num w:numId="17" w16cid:durableId="1140225452">
    <w:abstractNumId w:val="12"/>
  </w:num>
  <w:num w:numId="18" w16cid:durableId="1124076001">
    <w:abstractNumId w:val="11"/>
  </w:num>
  <w:num w:numId="19" w16cid:durableId="8321375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405E6"/>
    <w:rsid w:val="00065CBF"/>
    <w:rsid w:val="000714FD"/>
    <w:rsid w:val="0007796D"/>
    <w:rsid w:val="000860BB"/>
    <w:rsid w:val="000B7790"/>
    <w:rsid w:val="000C1293"/>
    <w:rsid w:val="000C2875"/>
    <w:rsid w:val="000C390E"/>
    <w:rsid w:val="000C7A3F"/>
    <w:rsid w:val="000D1A91"/>
    <w:rsid w:val="000D1B58"/>
    <w:rsid w:val="000D6818"/>
    <w:rsid w:val="001067B9"/>
    <w:rsid w:val="00111F2F"/>
    <w:rsid w:val="001133CC"/>
    <w:rsid w:val="00130C9E"/>
    <w:rsid w:val="0014365E"/>
    <w:rsid w:val="001459C9"/>
    <w:rsid w:val="00150DB2"/>
    <w:rsid w:val="001710E0"/>
    <w:rsid w:val="00176178"/>
    <w:rsid w:val="001B09A5"/>
    <w:rsid w:val="001D64AF"/>
    <w:rsid w:val="001E498C"/>
    <w:rsid w:val="001F525A"/>
    <w:rsid w:val="00206CF2"/>
    <w:rsid w:val="00214CB3"/>
    <w:rsid w:val="0022113A"/>
    <w:rsid w:val="00223272"/>
    <w:rsid w:val="00234C27"/>
    <w:rsid w:val="00235B8F"/>
    <w:rsid w:val="0024779E"/>
    <w:rsid w:val="002727E9"/>
    <w:rsid w:val="00291F1D"/>
    <w:rsid w:val="002A0540"/>
    <w:rsid w:val="002D340A"/>
    <w:rsid w:val="00353ED5"/>
    <w:rsid w:val="00363BF5"/>
    <w:rsid w:val="0037014C"/>
    <w:rsid w:val="0039005B"/>
    <w:rsid w:val="003D1AD0"/>
    <w:rsid w:val="003D2A43"/>
    <w:rsid w:val="003F1369"/>
    <w:rsid w:val="003F7678"/>
    <w:rsid w:val="0041336D"/>
    <w:rsid w:val="0041397A"/>
    <w:rsid w:val="00433C05"/>
    <w:rsid w:val="00437041"/>
    <w:rsid w:val="00446FE5"/>
    <w:rsid w:val="00452396"/>
    <w:rsid w:val="004639A2"/>
    <w:rsid w:val="00470737"/>
    <w:rsid w:val="00475149"/>
    <w:rsid w:val="00484F44"/>
    <w:rsid w:val="00494BBC"/>
    <w:rsid w:val="004B6082"/>
    <w:rsid w:val="004D6048"/>
    <w:rsid w:val="005505B7"/>
    <w:rsid w:val="00550A08"/>
    <w:rsid w:val="005525DB"/>
    <w:rsid w:val="00561DFB"/>
    <w:rsid w:val="00572580"/>
    <w:rsid w:val="00573BE5"/>
    <w:rsid w:val="00582D63"/>
    <w:rsid w:val="00586ED3"/>
    <w:rsid w:val="00596AA9"/>
    <w:rsid w:val="005B2412"/>
    <w:rsid w:val="005B6BC9"/>
    <w:rsid w:val="005D71BF"/>
    <w:rsid w:val="005D76FA"/>
    <w:rsid w:val="005E2B17"/>
    <w:rsid w:val="0060001E"/>
    <w:rsid w:val="006056E0"/>
    <w:rsid w:val="00613A58"/>
    <w:rsid w:val="0063080D"/>
    <w:rsid w:val="00640E26"/>
    <w:rsid w:val="00656FAE"/>
    <w:rsid w:val="00684555"/>
    <w:rsid w:val="00686037"/>
    <w:rsid w:val="006910CE"/>
    <w:rsid w:val="006A7A24"/>
    <w:rsid w:val="006D44E0"/>
    <w:rsid w:val="006D7F1B"/>
    <w:rsid w:val="00706E82"/>
    <w:rsid w:val="00713FA8"/>
    <w:rsid w:val="0071601D"/>
    <w:rsid w:val="0072392D"/>
    <w:rsid w:val="00766CEC"/>
    <w:rsid w:val="00782C6F"/>
    <w:rsid w:val="00793A10"/>
    <w:rsid w:val="007A62E6"/>
    <w:rsid w:val="007D4D3B"/>
    <w:rsid w:val="007E3B70"/>
    <w:rsid w:val="0080012D"/>
    <w:rsid w:val="0080684C"/>
    <w:rsid w:val="00815502"/>
    <w:rsid w:val="00824D57"/>
    <w:rsid w:val="00867D17"/>
    <w:rsid w:val="00871C75"/>
    <w:rsid w:val="008776DC"/>
    <w:rsid w:val="008A0E26"/>
    <w:rsid w:val="008A64AD"/>
    <w:rsid w:val="008B3B03"/>
    <w:rsid w:val="008C6C1B"/>
    <w:rsid w:val="008C7952"/>
    <w:rsid w:val="008D1A89"/>
    <w:rsid w:val="008F3C29"/>
    <w:rsid w:val="008F5008"/>
    <w:rsid w:val="008F59EC"/>
    <w:rsid w:val="008F5D35"/>
    <w:rsid w:val="008F69EF"/>
    <w:rsid w:val="00906162"/>
    <w:rsid w:val="00957790"/>
    <w:rsid w:val="009705C8"/>
    <w:rsid w:val="00977E20"/>
    <w:rsid w:val="00981901"/>
    <w:rsid w:val="009C3B48"/>
    <w:rsid w:val="009D23FA"/>
    <w:rsid w:val="009E06AD"/>
    <w:rsid w:val="009F65C5"/>
    <w:rsid w:val="00A356B7"/>
    <w:rsid w:val="00A363E7"/>
    <w:rsid w:val="00A41291"/>
    <w:rsid w:val="00A70623"/>
    <w:rsid w:val="00AA69DF"/>
    <w:rsid w:val="00AB51C8"/>
    <w:rsid w:val="00AC3823"/>
    <w:rsid w:val="00AC7C7A"/>
    <w:rsid w:val="00AE2A62"/>
    <w:rsid w:val="00AE323C"/>
    <w:rsid w:val="00B00181"/>
    <w:rsid w:val="00B002C4"/>
    <w:rsid w:val="00B023CF"/>
    <w:rsid w:val="00B33DFE"/>
    <w:rsid w:val="00B40702"/>
    <w:rsid w:val="00B42154"/>
    <w:rsid w:val="00B43C66"/>
    <w:rsid w:val="00B765F7"/>
    <w:rsid w:val="00B80BD3"/>
    <w:rsid w:val="00BA0CA9"/>
    <w:rsid w:val="00BC4CFE"/>
    <w:rsid w:val="00BD72E8"/>
    <w:rsid w:val="00BE4745"/>
    <w:rsid w:val="00BF3C2C"/>
    <w:rsid w:val="00C02897"/>
    <w:rsid w:val="00C02B10"/>
    <w:rsid w:val="00C04DBC"/>
    <w:rsid w:val="00C454D2"/>
    <w:rsid w:val="00C54ED5"/>
    <w:rsid w:val="00C71AAB"/>
    <w:rsid w:val="00CA3912"/>
    <w:rsid w:val="00CB2A6A"/>
    <w:rsid w:val="00CB2EC2"/>
    <w:rsid w:val="00CB58D5"/>
    <w:rsid w:val="00CC2887"/>
    <w:rsid w:val="00CD3877"/>
    <w:rsid w:val="00CF2F4A"/>
    <w:rsid w:val="00D00DEE"/>
    <w:rsid w:val="00D02F73"/>
    <w:rsid w:val="00D067C3"/>
    <w:rsid w:val="00D3439C"/>
    <w:rsid w:val="00D41951"/>
    <w:rsid w:val="00D76F7A"/>
    <w:rsid w:val="00DA21C9"/>
    <w:rsid w:val="00DA22F4"/>
    <w:rsid w:val="00DA7434"/>
    <w:rsid w:val="00DB1831"/>
    <w:rsid w:val="00DD3BFD"/>
    <w:rsid w:val="00DE004C"/>
    <w:rsid w:val="00DF0775"/>
    <w:rsid w:val="00DF3BF1"/>
    <w:rsid w:val="00DF6678"/>
    <w:rsid w:val="00E018E1"/>
    <w:rsid w:val="00E0623C"/>
    <w:rsid w:val="00E22CF2"/>
    <w:rsid w:val="00E23F40"/>
    <w:rsid w:val="00E42841"/>
    <w:rsid w:val="00E506F1"/>
    <w:rsid w:val="00E52D9F"/>
    <w:rsid w:val="00E90E22"/>
    <w:rsid w:val="00EA0791"/>
    <w:rsid w:val="00EA4D06"/>
    <w:rsid w:val="00EE2345"/>
    <w:rsid w:val="00F164B0"/>
    <w:rsid w:val="00F16DC1"/>
    <w:rsid w:val="00F43810"/>
    <w:rsid w:val="00F503AB"/>
    <w:rsid w:val="00F660DF"/>
    <w:rsid w:val="00F80094"/>
    <w:rsid w:val="00F90301"/>
    <w:rsid w:val="00F93630"/>
    <w:rsid w:val="00F95C08"/>
    <w:rsid w:val="00FA66E5"/>
    <w:rsid w:val="00FD1503"/>
    <w:rsid w:val="00FD6F2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48F8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3CF"/>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E90E22"/>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90E22"/>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90E22"/>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E90E22"/>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E90E22"/>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90E22"/>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CB2EC2"/>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Rvision">
    <w:name w:val="Revision"/>
    <w:hidden/>
    <w:uiPriority w:val="99"/>
    <w:semiHidden/>
    <w:rsid w:val="00B40702"/>
    <w:pPr>
      <w:spacing w:after="0" w:line="240" w:lineRule="auto"/>
    </w:pPr>
    <w:rPr>
      <w:rFonts w:ascii="Times New Roman" w:hAnsi="Times New Roman" w:cs="Times New Roman"/>
      <w:sz w:val="20"/>
      <w:szCs w:val="20"/>
    </w:rPr>
  </w:style>
  <w:style w:type="character" w:styleId="Mentionnonrsolue">
    <w:name w:val="Unresolved Mention"/>
    <w:basedOn w:val="Policepardfaut"/>
    <w:uiPriority w:val="99"/>
    <w:semiHidden/>
    <w:unhideWhenUsed/>
    <w:rsid w:val="000405E6"/>
    <w:rPr>
      <w:color w:val="605E5C"/>
      <w:shd w:val="clear" w:color="auto" w:fill="E1DFDD"/>
    </w:rPr>
  </w:style>
  <w:style w:type="character" w:styleId="Marquedecommentaire">
    <w:name w:val="annotation reference"/>
    <w:basedOn w:val="Policepardfaut"/>
    <w:uiPriority w:val="99"/>
    <w:semiHidden/>
    <w:unhideWhenUsed/>
    <w:rsid w:val="00572580"/>
    <w:rPr>
      <w:sz w:val="16"/>
      <w:szCs w:val="16"/>
    </w:rPr>
  </w:style>
  <w:style w:type="paragraph" w:styleId="Commentaire">
    <w:name w:val="annotation text"/>
    <w:basedOn w:val="Normal"/>
    <w:link w:val="CommentaireCar"/>
    <w:uiPriority w:val="99"/>
    <w:semiHidden/>
    <w:unhideWhenUsed/>
    <w:rsid w:val="00572580"/>
    <w:pPr>
      <w:spacing w:line="240" w:lineRule="auto"/>
    </w:pPr>
  </w:style>
  <w:style w:type="character" w:customStyle="1" w:styleId="CommentaireCar">
    <w:name w:val="Commentaire Car"/>
    <w:basedOn w:val="Policepardfaut"/>
    <w:link w:val="Commentaire"/>
    <w:uiPriority w:val="99"/>
    <w:semiHidden/>
    <w:rsid w:val="00572580"/>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572580"/>
    <w:rPr>
      <w:b/>
      <w:bCs/>
    </w:rPr>
  </w:style>
  <w:style w:type="character" w:customStyle="1" w:styleId="ObjetducommentaireCar">
    <w:name w:val="Objet du commentaire Car"/>
    <w:basedOn w:val="CommentaireCar"/>
    <w:link w:val="Objetducommentaire"/>
    <w:uiPriority w:val="99"/>
    <w:semiHidden/>
    <w:rsid w:val="00572580"/>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fr/CCPR/C/LUX/CO/4"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3070c3c90f2b1b1abd4689a6ebf9d00c">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485da891d6ff37984fece4968a558048"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0E1CD7-5797-4ABC-B0C3-FABED4C89B67}">
  <ds:schemaRefs>
    <ds:schemaRef ds:uri="http://schemas.microsoft.com/sharepoint/v3/contenttype/forms"/>
  </ds:schemaRefs>
</ds:datastoreItem>
</file>

<file path=customXml/itemProps2.xml><?xml version="1.0" encoding="utf-8"?>
<ds:datastoreItem xmlns:ds="http://schemas.openxmlformats.org/officeDocument/2006/customXml" ds:itemID="{9854D55B-3BAB-4754-A2C5-6E4650EAB318}">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3.xml><?xml version="1.0" encoding="utf-8"?>
<ds:datastoreItem xmlns:ds="http://schemas.openxmlformats.org/officeDocument/2006/customXml" ds:itemID="{04094A78-919D-4489-A52F-054DD071E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253</Words>
  <Characters>1493</Characters>
  <Application>Microsoft Office Word</Application>
  <DocSecurity>0</DocSecurity>
  <Lines>39</Lines>
  <Paragraphs>21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CCPR/C/LUX/FCO/4</vt:lpstr>
      <vt:lpstr>a/hthhhh</vt:lpstr>
      <vt:lpstr>a/hthhhh</vt:lpstr>
    </vt:vector>
  </TitlesOfParts>
  <Company>DCM</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CCPR/C/LUX/FCO/4</dc:title>
  <dc:subject/>
  <dc:creator>Gloria de la Rosa</dc:creator>
  <cp:keywords/>
  <cp:lastModifiedBy>Marie DESCHAMPS</cp:lastModifiedBy>
  <cp:revision>2</cp:revision>
  <cp:lastPrinted>2017-02-27T14:31:00Z</cp:lastPrinted>
  <dcterms:created xsi:type="dcterms:W3CDTF">2025-11-10T10:18:00Z</dcterms:created>
  <dcterms:modified xsi:type="dcterms:W3CDTF">2025-11-10T10:18:00Z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du Luxembourg</vt:lpwstr>
  </property>
  <property fmtid="{D5CDD505-2E9C-101B-9397-08002B2CF9AE}" pid="8" name="countw">
    <vt:lpwstr>Luxembourg</vt:lpwstr>
  </property>
  <property fmtid="{D5CDD505-2E9C-101B-9397-08002B2CF9AE}" pid="9" name="countwd">
    <vt:lpwstr>le Luxembourg</vt:lpwstr>
  </property>
  <property fmtid="{D5CDD505-2E9C-101B-9397-08002B2CF9AE}" pid="10" name="date">
    <vt:lpwstr>5 novembre 2025</vt:lpwstr>
  </property>
  <property fmtid="{D5CDD505-2E9C-101B-9397-08002B2CF9AE}" pid="11" name="Date-Generated">
    <vt:filetime>2025-11-04T15:36:48Z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190000</vt:r8>
  </property>
  <property fmtid="{D5CDD505-2E9C-101B-9397-08002B2CF9AE}" pid="21" name="Org">
    <vt:lpwstr>OHCHR</vt:lpwstr>
  </property>
  <property fmtid="{D5CDD505-2E9C-101B-9397-08002B2CF9AE}" pid="22" name="prep">
    <vt:lpwstr>quatrième rapport périodique du Luxembourg</vt:lpwstr>
  </property>
  <property fmtid="{D5CDD505-2E9C-101B-9397-08002B2CF9AE}" pid="23" name="preps">
    <vt:lpwstr>quatrième rapport périodique du Luxembourg</vt:lpwstr>
  </property>
  <property fmtid="{D5CDD505-2E9C-101B-9397-08002B2CF9AE}" pid="24" name="prepw">
    <vt:lpwstr>quatrième rapport périodique</vt:lpwstr>
  </property>
  <property fmtid="{D5CDD505-2E9C-101B-9397-08002B2CF9AE}" pid="25" name="prepwc">
    <vt:lpwstr>Quatrième rapport périodique </vt:lpwstr>
  </property>
  <property fmtid="{D5CDD505-2E9C-101B-9397-08002B2CF9AE}" pid="26" name="prepws">
    <vt:lpwstr>quatrième rapport périodique</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C/LUX/FCO/4</vt:lpwstr>
  </property>
  <property fmtid="{D5CDD505-2E9C-101B-9397-08002B2CF9AE}" pid="32" name="symh">
    <vt:lpwstr>CCPR/C/LUX/FCO/4</vt:lpwstr>
  </property>
  <property fmtid="{D5CDD505-2E9C-101B-9397-08002B2CF9AE}" pid="33" name="Title">
    <vt:lpwstr>CCPR/C/LUX/FCO/4</vt:lpwstr>
  </property>
  <property fmtid="{D5CDD505-2E9C-101B-9397-08002B2CF9AE}" pid="34" name="tlang">
    <vt:lpwstr/>
  </property>
  <property fmtid="{D5CDD505-2E9C-101B-9397-08002B2CF9AE}" pid="35" name="virs">
    <vt:lpwstr>Anglais et français seulement</vt:lpwstr>
  </property>
  <property fmtid="{D5CDD505-2E9C-101B-9397-08002B2CF9AE}" pid="36" name="ContentTypeId">
    <vt:lpwstr>0x010100F6C8A26EFEF88B48B35F38778DBC3EF6</vt:lpwstr>
  </property>
</Properties>
</file>