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F9A" w:rsidRDefault="00FC6F9A" w:rsidP="00FC6F9A">
      <w:pPr>
        <w:pStyle w:val="Release"/>
        <w:spacing w:line="60" w:lineRule="exact"/>
        <w:rPr>
          <w:rFonts w:hint="eastAsia"/>
          <w:sz w:val="6"/>
        </w:rPr>
        <w:sectPr w:rsidR="00FC6F9A" w:rsidSect="00FC6F9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p>
    <w:p w:rsidR="00B31E9D" w:rsidRDefault="00B31E9D" w:rsidP="00FC6F9A">
      <w:pPr>
        <w:pStyle w:val="Release"/>
        <w:spacing w:line="60" w:lineRule="exact"/>
        <w:rPr>
          <w:sz w:val="6"/>
        </w:rPr>
      </w:pPr>
    </w:p>
    <w:p w:rsidR="005B0D71" w:rsidRDefault="005B0D71" w:rsidP="005B0D71">
      <w:pPr>
        <w:spacing w:before="120"/>
        <w:rPr>
          <w:rFonts w:eastAsia="SimHei"/>
          <w:sz w:val="24"/>
          <w:szCs w:val="24"/>
        </w:rPr>
      </w:pPr>
      <w:r>
        <w:rPr>
          <w:rFonts w:eastAsia="SimHei" w:hint="eastAsia"/>
          <w:sz w:val="24"/>
          <w:szCs w:val="24"/>
        </w:rPr>
        <w:t>消除对妇女歧视委员会</w:t>
      </w:r>
    </w:p>
    <w:p w:rsidR="005B0D71" w:rsidRDefault="005B0D71" w:rsidP="005B0D71">
      <w:pPr>
        <w:spacing w:before="60"/>
        <w:rPr>
          <w:rFonts w:eastAsia="SimHei"/>
          <w:sz w:val="24"/>
          <w:szCs w:val="24"/>
        </w:rPr>
      </w:pPr>
      <w:r>
        <w:rPr>
          <w:rFonts w:eastAsia="SimHei" w:hint="eastAsia"/>
          <w:sz w:val="24"/>
          <w:szCs w:val="24"/>
        </w:rPr>
        <w:t>第六十一届会议</w:t>
      </w:r>
    </w:p>
    <w:p w:rsidR="005B0D71" w:rsidRDefault="005B0D71" w:rsidP="005B0D71">
      <w:pPr>
        <w:spacing w:before="60"/>
        <w:rPr>
          <w:sz w:val="24"/>
          <w:szCs w:val="24"/>
        </w:rPr>
      </w:pPr>
      <w:r>
        <w:rPr>
          <w:sz w:val="24"/>
          <w:szCs w:val="24"/>
        </w:rPr>
        <w:t>2015</w:t>
      </w:r>
      <w:r>
        <w:rPr>
          <w:rFonts w:hAnsi="SimSun" w:hint="eastAsia"/>
          <w:sz w:val="24"/>
          <w:szCs w:val="24"/>
        </w:rPr>
        <w:t>年</w:t>
      </w:r>
      <w:r>
        <w:rPr>
          <w:sz w:val="24"/>
          <w:szCs w:val="24"/>
        </w:rPr>
        <w:t>7</w:t>
      </w:r>
      <w:r>
        <w:rPr>
          <w:rFonts w:hAnsi="SimSun" w:hint="eastAsia"/>
          <w:sz w:val="24"/>
          <w:szCs w:val="24"/>
        </w:rPr>
        <w:t>月</w:t>
      </w:r>
      <w:r>
        <w:rPr>
          <w:sz w:val="24"/>
          <w:szCs w:val="24"/>
        </w:rPr>
        <w:t>2</w:t>
      </w:r>
      <w:r>
        <w:rPr>
          <w:rFonts w:hAnsi="SimSun" w:hint="eastAsia"/>
          <w:sz w:val="24"/>
          <w:szCs w:val="24"/>
        </w:rPr>
        <w:t>日至</w:t>
      </w:r>
      <w:r>
        <w:rPr>
          <w:sz w:val="24"/>
          <w:szCs w:val="24"/>
        </w:rPr>
        <w:t>24</w:t>
      </w:r>
      <w:r>
        <w:rPr>
          <w:rFonts w:hAnsi="SimSun" w:hint="eastAsia"/>
          <w:sz w:val="24"/>
          <w:szCs w:val="24"/>
        </w:rPr>
        <w:t>日</w:t>
      </w:r>
    </w:p>
    <w:p w:rsidR="005B0D71" w:rsidRDefault="005B0D71" w:rsidP="005B0D71">
      <w:pPr>
        <w:spacing w:before="60"/>
        <w:rPr>
          <w:sz w:val="24"/>
          <w:szCs w:val="24"/>
        </w:rPr>
      </w:pPr>
      <w:r>
        <w:rPr>
          <w:rFonts w:hAnsi="SimSun" w:hint="eastAsia"/>
          <w:sz w:val="24"/>
          <w:szCs w:val="24"/>
        </w:rPr>
        <w:t>临时议程</w:t>
      </w:r>
      <w:r w:rsidRPr="005B0D71">
        <w:rPr>
          <w:vertAlign w:val="superscript"/>
          <w:lang w:val="zh-CN"/>
        </w:rPr>
        <w:footnoteReference w:customMarkFollows="1" w:id="1"/>
        <w:t>*</w:t>
      </w:r>
      <w:r>
        <w:rPr>
          <w:vertAlign w:val="superscript"/>
        </w:rPr>
        <w:t xml:space="preserve"> </w:t>
      </w:r>
      <w:r>
        <w:rPr>
          <w:rFonts w:hAnsi="SimSun" w:hint="eastAsia"/>
          <w:sz w:val="24"/>
          <w:szCs w:val="24"/>
        </w:rPr>
        <w:t>项目</w:t>
      </w:r>
      <w:r>
        <w:rPr>
          <w:sz w:val="24"/>
          <w:szCs w:val="24"/>
        </w:rPr>
        <w:t>4</w:t>
      </w:r>
    </w:p>
    <w:p w:rsidR="005B0D71" w:rsidRDefault="005B0D71" w:rsidP="005B0D71">
      <w:pPr>
        <w:spacing w:before="60"/>
        <w:rPr>
          <w:rFonts w:eastAsia="SimHei"/>
          <w:sz w:val="24"/>
          <w:szCs w:val="24"/>
        </w:rPr>
      </w:pPr>
      <w:r>
        <w:rPr>
          <w:rFonts w:eastAsia="SimHei" w:hint="eastAsia"/>
          <w:sz w:val="24"/>
          <w:szCs w:val="24"/>
        </w:rPr>
        <w:t>审议缔约国按照《消除对妇女一切形式歧视公约》第</w:t>
      </w:r>
      <w:r>
        <w:rPr>
          <w:rFonts w:eastAsia="SimHei"/>
          <w:sz w:val="24"/>
          <w:szCs w:val="24"/>
        </w:rPr>
        <w:t>18</w:t>
      </w:r>
      <w:r>
        <w:rPr>
          <w:rFonts w:eastAsia="SimHei" w:hint="eastAsia"/>
          <w:sz w:val="24"/>
          <w:szCs w:val="24"/>
        </w:rPr>
        <w:t>条提交的报告</w:t>
      </w:r>
    </w:p>
    <w:p w:rsidR="005B0D71" w:rsidRDefault="005B0D71" w:rsidP="005B0D71">
      <w:pPr>
        <w:pStyle w:val="HMGC"/>
        <w:ind w:left="1276" w:hanging="1276"/>
      </w:pPr>
      <w:r>
        <w:tab/>
      </w:r>
      <w:r>
        <w:tab/>
      </w:r>
      <w:r>
        <w:rPr>
          <w:rFonts w:hint="eastAsia"/>
        </w:rPr>
        <w:t>与塞内加尔第三次至第七次合并定期报告有关的议题和问题清单</w:t>
      </w:r>
    </w:p>
    <w:p w:rsidR="005B0D71" w:rsidRDefault="005B0D71" w:rsidP="005B0D71">
      <w:pPr>
        <w:pStyle w:val="HChGC"/>
        <w:ind w:left="1276" w:hanging="1276"/>
      </w:pPr>
      <w:r>
        <w:tab/>
      </w:r>
      <w:r>
        <w:tab/>
      </w:r>
      <w:r>
        <w:rPr>
          <w:rFonts w:hint="eastAsia"/>
        </w:rPr>
        <w:t>宪法和体制框架及司法救助</w:t>
      </w:r>
      <w:bookmarkStart w:id="1" w:name="TmpSave"/>
      <w:bookmarkEnd w:id="1"/>
    </w:p>
    <w:p w:rsidR="005B0D71" w:rsidRDefault="005B0D71" w:rsidP="005B0D71">
      <w:pPr>
        <w:pStyle w:val="SingleTxtG"/>
        <w:tabs>
          <w:tab w:val="left" w:pos="1701"/>
        </w:tabs>
        <w:spacing w:line="320" w:lineRule="exact"/>
        <w:ind w:left="1276"/>
        <w:rPr>
          <w:sz w:val="21"/>
          <w:szCs w:val="21"/>
          <w:lang w:eastAsia="zh-CN"/>
        </w:rPr>
      </w:pPr>
      <w:r>
        <w:rPr>
          <w:sz w:val="21"/>
          <w:szCs w:val="21"/>
          <w:lang w:val="en-CA" w:eastAsia="zh-CN"/>
        </w:rPr>
        <w:t>1.</w:t>
      </w:r>
      <w:r>
        <w:rPr>
          <w:sz w:val="21"/>
          <w:szCs w:val="21"/>
          <w:lang w:val="en-CA" w:eastAsia="zh-CN"/>
        </w:rPr>
        <w:tab/>
      </w:r>
      <w:r>
        <w:rPr>
          <w:rFonts w:cs="SimSun" w:hint="eastAsia"/>
          <w:sz w:val="21"/>
          <w:szCs w:val="21"/>
          <w:lang w:val="zh-CN" w:eastAsia="zh-CN"/>
        </w:rPr>
        <w:t>鉴于《宪法》第</w:t>
      </w:r>
      <w:r>
        <w:rPr>
          <w:sz w:val="21"/>
          <w:szCs w:val="21"/>
          <w:lang w:eastAsia="zh-CN"/>
        </w:rPr>
        <w:t>98</w:t>
      </w:r>
      <w:r>
        <w:rPr>
          <w:rFonts w:cs="SimSun" w:hint="eastAsia"/>
          <w:sz w:val="21"/>
          <w:szCs w:val="21"/>
          <w:lang w:val="zh-CN" w:eastAsia="zh-CN"/>
        </w:rPr>
        <w:t>条规定了国际公约高于国内法律</w:t>
      </w:r>
      <w:r>
        <w:rPr>
          <w:rFonts w:cs="SimSun" w:hint="eastAsia"/>
          <w:sz w:val="21"/>
          <w:szCs w:val="21"/>
          <w:lang w:eastAsia="zh-CN"/>
        </w:rPr>
        <w:t>，</w:t>
      </w:r>
      <w:r>
        <w:rPr>
          <w:rFonts w:cs="SimSun" w:hint="eastAsia"/>
          <w:sz w:val="21"/>
          <w:szCs w:val="21"/>
          <w:lang w:val="zh-CN" w:eastAsia="zh-CN"/>
        </w:rPr>
        <w:t>请解释为什么在未予任何保留地批准《公约》</w:t>
      </w:r>
      <w:r>
        <w:rPr>
          <w:sz w:val="21"/>
          <w:szCs w:val="21"/>
          <w:lang w:eastAsia="zh-CN"/>
        </w:rPr>
        <w:t>29</w:t>
      </w:r>
      <w:r>
        <w:rPr>
          <w:rFonts w:cs="SimSun" w:hint="eastAsia"/>
          <w:sz w:val="21"/>
          <w:szCs w:val="21"/>
          <w:lang w:val="zh-CN" w:eastAsia="zh-CN"/>
        </w:rPr>
        <w:t>年后</w:t>
      </w:r>
      <w:r>
        <w:rPr>
          <w:rFonts w:cs="SimSun" w:hint="eastAsia"/>
          <w:sz w:val="21"/>
          <w:szCs w:val="21"/>
          <w:lang w:eastAsia="zh-CN"/>
        </w:rPr>
        <w:t>，</w:t>
      </w:r>
      <w:r>
        <w:rPr>
          <w:rFonts w:cs="SimSun" w:hint="eastAsia"/>
          <w:sz w:val="21"/>
          <w:szCs w:val="21"/>
          <w:lang w:val="zh-CN" w:eastAsia="zh-CN"/>
        </w:rPr>
        <w:t>国内立法、尤其是《家庭法典》和《劳动法典》中仍然保留着大量歧视性规定。请说明修改这些法律的时限（第</w:t>
      </w:r>
      <w:r>
        <w:rPr>
          <w:sz w:val="21"/>
          <w:szCs w:val="21"/>
          <w:lang w:val="zh-CN" w:eastAsia="zh-CN"/>
        </w:rPr>
        <w:t>33</w:t>
      </w:r>
      <w:r>
        <w:rPr>
          <w:rFonts w:cs="SimSun" w:hint="eastAsia"/>
          <w:sz w:val="21"/>
          <w:szCs w:val="21"/>
          <w:lang w:val="zh-CN" w:eastAsia="zh-CN"/>
        </w:rPr>
        <w:t>段）。</w:t>
      </w:r>
      <w:r w:rsidRPr="005B0D71">
        <w:rPr>
          <w:rStyle w:val="FootnoteReference"/>
          <w:rFonts w:cs="SimSun"/>
          <w:sz w:val="21"/>
          <w:szCs w:val="21"/>
          <w:lang w:val="zh-CN"/>
        </w:rPr>
        <w:footnoteReference w:id="2"/>
      </w:r>
      <w:r>
        <w:rPr>
          <w:rFonts w:cs="SimSun" w:hint="eastAsia"/>
          <w:sz w:val="21"/>
          <w:szCs w:val="21"/>
          <w:lang w:val="zh-CN" w:eastAsia="zh-CN"/>
        </w:rPr>
        <w:t>报告指出，可以通过提出合宪性异议（诉讼途径）或申请司法审查（抗辩途径）的方式向宪法委员会申请阻止立法的颁布或执行。请说明是否有妇女提出了此类申请。</w:t>
      </w:r>
    </w:p>
    <w:p w:rsidR="005B0D71" w:rsidRDefault="005B0D71" w:rsidP="005B0D71">
      <w:pPr>
        <w:pStyle w:val="SingleTxtG"/>
        <w:tabs>
          <w:tab w:val="left" w:pos="1701"/>
        </w:tabs>
        <w:spacing w:line="320" w:lineRule="exact"/>
        <w:ind w:left="1276"/>
        <w:rPr>
          <w:sz w:val="21"/>
          <w:szCs w:val="21"/>
          <w:lang w:eastAsia="zh-CN"/>
        </w:rPr>
      </w:pPr>
      <w:r>
        <w:rPr>
          <w:sz w:val="21"/>
          <w:szCs w:val="21"/>
          <w:lang w:val="en-CA" w:eastAsia="zh-CN"/>
        </w:rPr>
        <w:t>2.</w:t>
      </w:r>
      <w:r>
        <w:rPr>
          <w:sz w:val="21"/>
          <w:szCs w:val="21"/>
          <w:lang w:val="en-CA" w:eastAsia="zh-CN"/>
        </w:rPr>
        <w:tab/>
      </w:r>
      <w:r>
        <w:rPr>
          <w:rFonts w:cs="SimSun" w:hint="eastAsia"/>
          <w:sz w:val="21"/>
          <w:szCs w:val="21"/>
          <w:lang w:val="zh-CN" w:eastAsia="zh-CN"/>
        </w:rPr>
        <w:t>请指明采取了哪些措施来评估旨在实现地方更便利司法的政策的影响（第</w:t>
      </w:r>
      <w:r>
        <w:rPr>
          <w:sz w:val="21"/>
          <w:szCs w:val="21"/>
          <w:lang w:val="zh-CN" w:eastAsia="zh-CN"/>
        </w:rPr>
        <w:t>140</w:t>
      </w:r>
      <w:r>
        <w:rPr>
          <w:rFonts w:cs="SimSun" w:hint="eastAsia"/>
          <w:sz w:val="21"/>
          <w:szCs w:val="21"/>
          <w:lang w:val="zh-CN" w:eastAsia="zh-CN"/>
        </w:rPr>
        <w:t>段）。请提供资料，说明妇女获得司法救助方面面临的障碍及克服这些障碍的措施。请说明在歧视妇女的案件中用于向所有生活贫穷的妇女提供免费法律援助的措施，以及允许与诉讼程序存在利害关系的民间社会组织提起申诉。并请说明是否存在习惯司法机制，如果存在这种机制，请说明它们如何行使职能及其与正规司法系统的关系。尤其请说明，依据习惯法缔结婚姻的妇女是否可以将所有涉及婚姻、家庭关系和继承的事项诉诸民事法院。</w:t>
      </w:r>
    </w:p>
    <w:p w:rsidR="005B0D71" w:rsidRDefault="005B0D71" w:rsidP="005B0D71">
      <w:pPr>
        <w:pStyle w:val="SingleTxtG"/>
        <w:tabs>
          <w:tab w:val="left" w:pos="1701"/>
        </w:tabs>
        <w:spacing w:line="320" w:lineRule="exact"/>
        <w:ind w:left="1276"/>
        <w:rPr>
          <w:color w:val="000000"/>
          <w:sz w:val="21"/>
          <w:szCs w:val="21"/>
          <w:lang w:eastAsia="zh-CN"/>
        </w:rPr>
      </w:pPr>
      <w:r>
        <w:rPr>
          <w:sz w:val="21"/>
          <w:szCs w:val="21"/>
          <w:lang w:eastAsia="zh-CN"/>
        </w:rPr>
        <w:t>3.</w:t>
      </w:r>
      <w:r>
        <w:rPr>
          <w:sz w:val="21"/>
          <w:szCs w:val="21"/>
          <w:lang w:eastAsia="zh-CN"/>
        </w:rPr>
        <w:tab/>
      </w:r>
      <w:r>
        <w:rPr>
          <w:rFonts w:cs="SimSun" w:hint="eastAsia"/>
          <w:sz w:val="21"/>
          <w:szCs w:val="21"/>
          <w:lang w:val="zh-CN" w:eastAsia="zh-CN"/>
        </w:rPr>
        <w:t>请阐明国内法院是否援引《公约》，如果援引，请提供案例详情。请提供资料说明为培训法律专职人员，包括法官、检察官和律师以及其他负责落实《公约》所载条款人员采取的步骤。还请提供资料阐述传播《公约》及其《任择议定书》的举措、委员会通过的一般性建议以及它根据《任择议定书》作出的决定。</w:t>
      </w:r>
    </w:p>
    <w:p w:rsidR="005B0D71" w:rsidRDefault="005B0D71" w:rsidP="005B0D71">
      <w:pPr>
        <w:pStyle w:val="HChGC"/>
        <w:ind w:left="1276" w:hanging="1276"/>
      </w:pPr>
      <w:r>
        <w:tab/>
      </w:r>
      <w:r>
        <w:tab/>
      </w:r>
      <w:r>
        <w:rPr>
          <w:rFonts w:hint="eastAsia"/>
        </w:rPr>
        <w:t>提高妇女地位的国家机制</w:t>
      </w:r>
    </w:p>
    <w:p w:rsidR="005B0D71" w:rsidRDefault="005B0D71" w:rsidP="005B0D71">
      <w:pPr>
        <w:pStyle w:val="SingleTxtG"/>
        <w:tabs>
          <w:tab w:val="left" w:pos="1701"/>
        </w:tabs>
        <w:spacing w:line="320" w:lineRule="exact"/>
        <w:ind w:left="1276"/>
        <w:rPr>
          <w:sz w:val="21"/>
          <w:szCs w:val="21"/>
          <w:lang w:eastAsia="zh-CN"/>
        </w:rPr>
      </w:pPr>
      <w:r>
        <w:rPr>
          <w:sz w:val="21"/>
          <w:szCs w:val="21"/>
          <w:lang w:eastAsia="zh-CN"/>
        </w:rPr>
        <w:t>4.</w:t>
      </w:r>
      <w:r>
        <w:rPr>
          <w:sz w:val="21"/>
          <w:szCs w:val="21"/>
          <w:lang w:eastAsia="zh-CN"/>
        </w:rPr>
        <w:tab/>
      </w:r>
      <w:r>
        <w:rPr>
          <w:rFonts w:cs="SimSun" w:hint="eastAsia"/>
          <w:sz w:val="21"/>
          <w:szCs w:val="21"/>
          <w:lang w:val="zh-CN" w:eastAsia="zh-CN"/>
        </w:rPr>
        <w:t>请说明国家预算分配用于提高妇女地位的比例，以及各级政府用于提高妇女地位的国家机制和这一机制工作人员能力的预算分配是否足够。请提供资料说明采取了哪些措施确保教育、保健和农村发展方面的预算分配得到增加，同时纳入性别观点。鉴于</w:t>
      </w:r>
      <w:r>
        <w:rPr>
          <w:sz w:val="21"/>
          <w:szCs w:val="21"/>
          <w:lang w:val="zh-CN" w:eastAsia="zh-CN"/>
        </w:rPr>
        <w:t>2015</w:t>
      </w:r>
      <w:r>
        <w:rPr>
          <w:rFonts w:cs="SimSun" w:hint="eastAsia"/>
          <w:sz w:val="21"/>
          <w:szCs w:val="21"/>
          <w:lang w:val="zh-CN" w:eastAsia="zh-CN"/>
        </w:rPr>
        <w:t>年国家预算对人员分配的限制，请说明如何能够对妇女在健康、教育和农村发展领域的境况实施各种改善。还请提供资料说明提高妇女地位的国家机制与各部委以及与行政区、县、市镇和农村社区当局及这些当局所在地的性别平等问题协调中心或其他性别机制开展协调配合的能力（第</w:t>
      </w:r>
      <w:r>
        <w:rPr>
          <w:sz w:val="21"/>
          <w:szCs w:val="21"/>
          <w:lang w:val="zh-CN" w:eastAsia="zh-CN"/>
        </w:rPr>
        <w:t>8</w:t>
      </w:r>
      <w:r>
        <w:rPr>
          <w:rFonts w:cs="SimSun" w:hint="eastAsia"/>
          <w:sz w:val="21"/>
          <w:szCs w:val="21"/>
          <w:lang w:val="zh-CN" w:eastAsia="zh-CN"/>
        </w:rPr>
        <w:t>段）。请解释妇女、儿童和妇女创业部、塞内加尔人权委员会、监察员办公室和国家均等观察站的作用和权能以及它们之间的协作。关于涉及歧视妇女的议题，请说明何人有权在法院提起案件诉讼，有权建议新的立法或修订现行立法，以及有权开展培训和提高认识的活动。请说明报告中尤其是第</w:t>
      </w:r>
      <w:r>
        <w:rPr>
          <w:sz w:val="21"/>
          <w:szCs w:val="21"/>
          <w:lang w:val="zh-CN" w:eastAsia="zh-CN"/>
        </w:rPr>
        <w:t>39</w:t>
      </w:r>
      <w:r>
        <w:rPr>
          <w:rFonts w:cs="SimSun" w:hint="eastAsia"/>
          <w:sz w:val="21"/>
          <w:szCs w:val="21"/>
          <w:lang w:val="zh-CN" w:eastAsia="zh-CN"/>
        </w:rPr>
        <w:t>段中提及的无数方案、计划、活动和措施是否已经进行了评价，如果是，评价结果怎样。还请指明这些方案是否将继续执行。</w:t>
      </w:r>
      <w:r>
        <w:rPr>
          <w:sz w:val="21"/>
          <w:szCs w:val="21"/>
          <w:lang w:eastAsia="zh-CN"/>
        </w:rPr>
        <w:t xml:space="preserve"> </w:t>
      </w:r>
    </w:p>
    <w:p w:rsidR="005B0D71" w:rsidRDefault="005B0D71" w:rsidP="005B0D71">
      <w:pPr>
        <w:pStyle w:val="HChGC"/>
        <w:ind w:left="1276" w:hanging="1276"/>
      </w:pPr>
      <w:r>
        <w:tab/>
      </w:r>
      <w:r>
        <w:tab/>
      </w:r>
      <w:r>
        <w:rPr>
          <w:rFonts w:hint="eastAsia"/>
        </w:rPr>
        <w:t>陈规定型观念和有害做法</w:t>
      </w:r>
    </w:p>
    <w:p w:rsidR="005B0D71" w:rsidRDefault="005B0D71" w:rsidP="005B0D71">
      <w:pPr>
        <w:pStyle w:val="SingleTxtG"/>
        <w:tabs>
          <w:tab w:val="left" w:pos="1701"/>
        </w:tabs>
        <w:spacing w:line="320" w:lineRule="exact"/>
        <w:ind w:left="1276"/>
        <w:rPr>
          <w:sz w:val="21"/>
          <w:szCs w:val="21"/>
          <w:lang w:eastAsia="zh-CN"/>
        </w:rPr>
      </w:pPr>
      <w:r>
        <w:rPr>
          <w:sz w:val="21"/>
          <w:szCs w:val="21"/>
          <w:lang w:eastAsia="zh-CN"/>
        </w:rPr>
        <w:t>5.</w:t>
      </w:r>
      <w:r>
        <w:rPr>
          <w:sz w:val="21"/>
          <w:szCs w:val="21"/>
          <w:lang w:eastAsia="zh-CN"/>
        </w:rPr>
        <w:tab/>
      </w:r>
      <w:r>
        <w:rPr>
          <w:rFonts w:cs="SimSun" w:hint="eastAsia"/>
          <w:sz w:val="21"/>
          <w:szCs w:val="21"/>
          <w:lang w:val="zh-CN" w:eastAsia="zh-CN"/>
        </w:rPr>
        <w:t>请提供资料阐明采取了哪些步骤禁止此类有害做法，比如：一夫多妻制、娶寡嫂、妻姊妹婚、休妻、剥夺妇女的继承权、食物禁止或禁忌以及反对生育间隔，还有对童婚和</w:t>
      </w:r>
      <w:r>
        <w:rPr>
          <w:sz w:val="21"/>
          <w:szCs w:val="21"/>
          <w:lang w:val="zh-CN" w:eastAsia="zh-CN"/>
        </w:rPr>
        <w:t>/</w:t>
      </w:r>
      <w:r>
        <w:rPr>
          <w:rFonts w:cs="SimSun" w:hint="eastAsia"/>
          <w:sz w:val="21"/>
          <w:szCs w:val="21"/>
          <w:lang w:val="zh-CN" w:eastAsia="zh-CN"/>
        </w:rPr>
        <w:t>或强迫婚姻予以刑事定罪。还请说明缔约国是否打算采取更有效的措施以根除童婚习俗。请说明采取了哪些措施监测关于加快终止残割女性生殖器习俗的第二项国家行动计划（</w:t>
      </w:r>
      <w:r>
        <w:rPr>
          <w:sz w:val="21"/>
          <w:szCs w:val="21"/>
          <w:lang w:val="zh-CN" w:eastAsia="zh-CN"/>
        </w:rPr>
        <w:t>2010-2015</w:t>
      </w:r>
      <w:r>
        <w:rPr>
          <w:rFonts w:cs="SimSun" w:hint="eastAsia"/>
          <w:sz w:val="21"/>
          <w:szCs w:val="21"/>
          <w:lang w:val="zh-CN" w:eastAsia="zh-CN"/>
        </w:rPr>
        <w:t>年）的实施情况以及</w:t>
      </w:r>
      <w:r>
        <w:rPr>
          <w:sz w:val="21"/>
          <w:szCs w:val="21"/>
          <w:lang w:val="zh-CN" w:eastAsia="zh-CN"/>
        </w:rPr>
        <w:t>1999</w:t>
      </w:r>
      <w:r>
        <w:rPr>
          <w:rFonts w:cs="SimSun" w:hint="eastAsia"/>
          <w:sz w:val="21"/>
          <w:szCs w:val="21"/>
          <w:lang w:val="zh-CN" w:eastAsia="zh-CN"/>
        </w:rPr>
        <w:t>年</w:t>
      </w:r>
      <w:r>
        <w:rPr>
          <w:sz w:val="21"/>
          <w:szCs w:val="21"/>
          <w:lang w:val="zh-CN" w:eastAsia="zh-CN"/>
        </w:rPr>
        <w:t>1</w:t>
      </w:r>
      <w:r>
        <w:rPr>
          <w:rFonts w:cs="SimSun" w:hint="eastAsia"/>
          <w:sz w:val="21"/>
          <w:szCs w:val="21"/>
          <w:lang w:val="zh-CN" w:eastAsia="zh-CN"/>
        </w:rPr>
        <w:t>月</w:t>
      </w:r>
      <w:r>
        <w:rPr>
          <w:sz w:val="21"/>
          <w:szCs w:val="21"/>
          <w:lang w:val="zh-CN" w:eastAsia="zh-CN"/>
        </w:rPr>
        <w:t>29</w:t>
      </w:r>
      <w:r>
        <w:rPr>
          <w:rFonts w:cs="SimSun" w:hint="eastAsia"/>
          <w:sz w:val="21"/>
          <w:szCs w:val="21"/>
          <w:lang w:val="zh-CN" w:eastAsia="zh-CN"/>
        </w:rPr>
        <w:t>日关于对残割女性生殖器予以刑事定罪的第</w:t>
      </w:r>
      <w:r>
        <w:rPr>
          <w:sz w:val="21"/>
          <w:szCs w:val="21"/>
          <w:lang w:val="zh-CN" w:eastAsia="zh-CN"/>
        </w:rPr>
        <w:t>99-05</w:t>
      </w:r>
      <w:r>
        <w:rPr>
          <w:rFonts w:cs="SimSun" w:hint="eastAsia"/>
          <w:sz w:val="21"/>
          <w:szCs w:val="21"/>
          <w:lang w:val="zh-CN" w:eastAsia="zh-CN"/>
        </w:rPr>
        <w:t>号法案的法律规定的执行情况，并提供数据阐明审查期间对这种做法的行为人进行调查、起诉和定罪的情况。请说明缔约国是否打算制定一项综合战略，以改变社会和文化形态，以及消除基于性别的陈规定型观念和有害做法。请阐明采取了哪些措施以评估就这些做法对女童和妇女的有害影响所开展的教育和提高认识工作的作用。</w:t>
      </w:r>
      <w:r>
        <w:rPr>
          <w:sz w:val="21"/>
          <w:szCs w:val="21"/>
          <w:lang w:eastAsia="zh-CN"/>
        </w:rPr>
        <w:t xml:space="preserve"> </w:t>
      </w:r>
    </w:p>
    <w:p w:rsidR="005B0D71" w:rsidRDefault="005B0D71" w:rsidP="005B0D71">
      <w:pPr>
        <w:pStyle w:val="HChGC"/>
        <w:ind w:left="1276" w:hanging="1276"/>
      </w:pPr>
      <w:r>
        <w:tab/>
      </w:r>
      <w:r>
        <w:tab/>
      </w:r>
      <w:r>
        <w:rPr>
          <w:rFonts w:hint="eastAsia"/>
        </w:rPr>
        <w:t>暴力侵害妇女行为</w:t>
      </w:r>
    </w:p>
    <w:p w:rsidR="005B0D71" w:rsidRDefault="005B0D71" w:rsidP="005B0D71">
      <w:pPr>
        <w:pStyle w:val="SingleTxtG"/>
        <w:tabs>
          <w:tab w:val="left" w:pos="1701"/>
        </w:tabs>
        <w:spacing w:line="320" w:lineRule="exact"/>
        <w:ind w:left="1276"/>
        <w:rPr>
          <w:sz w:val="21"/>
          <w:szCs w:val="21"/>
          <w:lang w:eastAsia="zh-CN"/>
        </w:rPr>
      </w:pPr>
      <w:r>
        <w:rPr>
          <w:sz w:val="21"/>
          <w:szCs w:val="21"/>
          <w:lang w:eastAsia="zh-CN"/>
        </w:rPr>
        <w:t>6.</w:t>
      </w:r>
      <w:r>
        <w:rPr>
          <w:sz w:val="21"/>
          <w:szCs w:val="21"/>
          <w:lang w:eastAsia="zh-CN"/>
        </w:rPr>
        <w:tab/>
      </w:r>
      <w:r>
        <w:rPr>
          <w:rFonts w:cs="SimSun" w:hint="eastAsia"/>
          <w:sz w:val="21"/>
          <w:szCs w:val="21"/>
          <w:lang w:val="zh-CN" w:eastAsia="zh-CN"/>
        </w:rPr>
        <w:t>委员会收到的资料提及，缔约国国内针对妇女的性暴力率有所增长，妇女对定罪家庭暴力的法律规定缺乏认识，还有对犯罪者施加的处罚不够严厉。请提供数据说明向警察举报和向法院控诉的暴力侵害妇女行为的案件数目（除家庭暴力以外还包括强奸和其他性暴力）、这方面提起诉讼和获得定罪的数量，以及对犯罪者施加的处罚。请说明采取了哪些措施以提高妇女对将一切形式的暴力行为包括家庭暴力行为进行刑事定罪的现行法律规定的认识。鉴于委员会收到的资料存在矛盾，请说明《刑法典》针对强奸案规定的惩罚措施以及《刑法典》是否将强奸视为一种严重罪行。请说明缔约国是否打算通过有关对婚内强奸进行刑事定罪的法律规定并修正《家庭法典》第</w:t>
      </w:r>
      <w:r>
        <w:rPr>
          <w:sz w:val="21"/>
          <w:szCs w:val="21"/>
          <w:lang w:val="zh-CN" w:eastAsia="zh-CN"/>
        </w:rPr>
        <w:t>285</w:t>
      </w:r>
      <w:r>
        <w:rPr>
          <w:rFonts w:cs="SimSun" w:hint="eastAsia"/>
          <w:sz w:val="21"/>
          <w:szCs w:val="21"/>
          <w:lang w:val="zh-CN" w:eastAsia="zh-CN"/>
        </w:rPr>
        <w:t>条以禁止和消除任何环境下包括家中的体罚。还请说明缔约国是否已经制定或打算制定一项国家战略以打击性别暴力。</w:t>
      </w:r>
    </w:p>
    <w:p w:rsidR="005B0D71" w:rsidRDefault="005B0D71" w:rsidP="005B0D71">
      <w:pPr>
        <w:pStyle w:val="HChGC"/>
        <w:ind w:left="1276" w:hanging="1276"/>
      </w:pPr>
      <w:r>
        <w:tab/>
      </w:r>
      <w:r>
        <w:tab/>
      </w:r>
      <w:r>
        <w:rPr>
          <w:rFonts w:hint="eastAsia"/>
        </w:rPr>
        <w:t>贩运和利用妇女卖淫营利</w:t>
      </w:r>
    </w:p>
    <w:p w:rsidR="005B0D71" w:rsidRDefault="005B0D71" w:rsidP="005B0D71">
      <w:pPr>
        <w:pStyle w:val="SingleTxtG"/>
        <w:tabs>
          <w:tab w:val="left" w:pos="1701"/>
        </w:tabs>
        <w:spacing w:line="320" w:lineRule="exact"/>
        <w:ind w:left="1276"/>
        <w:rPr>
          <w:sz w:val="21"/>
          <w:szCs w:val="21"/>
          <w:lang w:eastAsia="zh-CN"/>
        </w:rPr>
      </w:pPr>
      <w:r>
        <w:rPr>
          <w:sz w:val="21"/>
          <w:szCs w:val="21"/>
          <w:lang w:eastAsia="zh-CN"/>
        </w:rPr>
        <w:t>7.</w:t>
      </w:r>
      <w:r>
        <w:rPr>
          <w:sz w:val="21"/>
          <w:szCs w:val="21"/>
          <w:lang w:eastAsia="zh-CN"/>
        </w:rPr>
        <w:tab/>
      </w:r>
      <w:r>
        <w:rPr>
          <w:rFonts w:cs="SimSun" w:hint="eastAsia"/>
          <w:sz w:val="21"/>
          <w:szCs w:val="21"/>
          <w:lang w:val="zh-CN" w:eastAsia="zh-CN"/>
        </w:rPr>
        <w:t>报告提到</w:t>
      </w:r>
      <w:r>
        <w:rPr>
          <w:sz w:val="21"/>
          <w:szCs w:val="21"/>
          <w:lang w:val="zh-CN" w:eastAsia="zh-CN"/>
        </w:rPr>
        <w:t>2005</w:t>
      </w:r>
      <w:r>
        <w:rPr>
          <w:rFonts w:cs="SimSun" w:hint="eastAsia"/>
          <w:sz w:val="21"/>
          <w:szCs w:val="21"/>
          <w:lang w:val="zh-CN" w:eastAsia="zh-CN"/>
        </w:rPr>
        <w:t>年</w:t>
      </w:r>
      <w:r>
        <w:rPr>
          <w:sz w:val="21"/>
          <w:szCs w:val="21"/>
          <w:lang w:val="zh-CN" w:eastAsia="zh-CN"/>
        </w:rPr>
        <w:t>4</w:t>
      </w:r>
      <w:r>
        <w:rPr>
          <w:rFonts w:cs="SimSun" w:hint="eastAsia"/>
          <w:sz w:val="21"/>
          <w:szCs w:val="21"/>
          <w:lang w:val="zh-CN" w:eastAsia="zh-CN"/>
        </w:rPr>
        <w:t>月</w:t>
      </w:r>
      <w:r>
        <w:rPr>
          <w:sz w:val="21"/>
          <w:szCs w:val="21"/>
          <w:lang w:val="zh-CN" w:eastAsia="zh-CN"/>
        </w:rPr>
        <w:t>29</w:t>
      </w:r>
      <w:r>
        <w:rPr>
          <w:rFonts w:cs="SimSun" w:hint="eastAsia"/>
          <w:sz w:val="21"/>
          <w:szCs w:val="21"/>
          <w:lang w:val="zh-CN" w:eastAsia="zh-CN"/>
        </w:rPr>
        <w:t>日第</w:t>
      </w:r>
      <w:r>
        <w:rPr>
          <w:sz w:val="21"/>
          <w:szCs w:val="21"/>
          <w:lang w:val="zh-CN" w:eastAsia="zh-CN"/>
        </w:rPr>
        <w:t>2005-05</w:t>
      </w:r>
      <w:r>
        <w:rPr>
          <w:rFonts w:cs="SimSun" w:hint="eastAsia"/>
          <w:sz w:val="21"/>
          <w:szCs w:val="21"/>
          <w:lang w:val="zh-CN" w:eastAsia="zh-CN"/>
        </w:rPr>
        <w:t>号法案以及打击贩运人口国家行动计划（第</w:t>
      </w:r>
      <w:r>
        <w:rPr>
          <w:sz w:val="21"/>
          <w:szCs w:val="21"/>
          <w:lang w:val="zh-CN" w:eastAsia="zh-CN"/>
        </w:rPr>
        <w:t>53</w:t>
      </w:r>
      <w:r>
        <w:rPr>
          <w:rFonts w:cs="SimSun" w:hint="eastAsia"/>
          <w:sz w:val="21"/>
          <w:szCs w:val="21"/>
          <w:lang w:val="zh-CN" w:eastAsia="zh-CN"/>
        </w:rPr>
        <w:t>段和第</w:t>
      </w:r>
      <w:r>
        <w:rPr>
          <w:sz w:val="21"/>
          <w:szCs w:val="21"/>
          <w:lang w:val="zh-CN" w:eastAsia="zh-CN"/>
        </w:rPr>
        <w:t>54</w:t>
      </w:r>
      <w:r>
        <w:rPr>
          <w:rFonts w:cs="SimSun" w:hint="eastAsia"/>
          <w:sz w:val="21"/>
          <w:szCs w:val="21"/>
          <w:lang w:val="zh-CN" w:eastAsia="zh-CN"/>
        </w:rPr>
        <w:t>段）获得了通过。请说明采取了哪些措施以确保和促进它们的有效执行。请提供按性别分列的人口贩运数据，包括有关受害者数目、调查的案件、起诉的案件以及对犯罪者的定罪和处罚数据。请说明缔约国是否已经采取具体措施以防止贩运女性家庭劳工、缔结网络婚姻的妇女以及强迫劳动中的妇女、乞讨和以性剥削为目的的贩运。</w:t>
      </w:r>
    </w:p>
    <w:p w:rsidR="005B0D71" w:rsidRDefault="005B0D71" w:rsidP="005B0D71">
      <w:pPr>
        <w:pStyle w:val="SingleTxtG"/>
        <w:tabs>
          <w:tab w:val="left" w:pos="1701"/>
        </w:tabs>
        <w:spacing w:line="320" w:lineRule="exact"/>
        <w:ind w:left="1276"/>
        <w:rPr>
          <w:sz w:val="21"/>
          <w:szCs w:val="21"/>
          <w:lang w:eastAsia="zh-CN"/>
        </w:rPr>
      </w:pPr>
      <w:r>
        <w:rPr>
          <w:sz w:val="21"/>
          <w:szCs w:val="21"/>
          <w:lang w:eastAsia="zh-CN"/>
        </w:rPr>
        <w:t>8.</w:t>
      </w:r>
      <w:r>
        <w:rPr>
          <w:sz w:val="21"/>
          <w:szCs w:val="21"/>
          <w:lang w:eastAsia="zh-CN"/>
        </w:rPr>
        <w:tab/>
      </w:r>
      <w:r>
        <w:rPr>
          <w:rFonts w:cs="SimSun" w:hint="eastAsia"/>
          <w:sz w:val="21"/>
          <w:szCs w:val="21"/>
          <w:lang w:val="zh-CN" w:eastAsia="zh-CN"/>
        </w:rPr>
        <w:t>请说明《轻罪法典》第</w:t>
      </w:r>
      <w:r>
        <w:rPr>
          <w:sz w:val="21"/>
          <w:szCs w:val="21"/>
          <w:lang w:val="zh-CN" w:eastAsia="zh-CN"/>
        </w:rPr>
        <w:t>9</w:t>
      </w:r>
      <w:r>
        <w:rPr>
          <w:rFonts w:cs="SimSun" w:hint="eastAsia"/>
          <w:sz w:val="21"/>
          <w:szCs w:val="21"/>
          <w:lang w:val="zh-CN" w:eastAsia="zh-CN"/>
        </w:rPr>
        <w:t>条对卖淫妇女的影响，该条规定了对以从事卖淫活动为目的而在公共场所进行交流的行为处以行政罚款和</w:t>
      </w:r>
      <w:r>
        <w:rPr>
          <w:sz w:val="21"/>
          <w:szCs w:val="21"/>
          <w:lang w:val="zh-CN" w:eastAsia="zh-CN"/>
        </w:rPr>
        <w:t>/</w:t>
      </w:r>
      <w:r>
        <w:rPr>
          <w:rFonts w:cs="SimSun" w:hint="eastAsia"/>
          <w:sz w:val="21"/>
          <w:szCs w:val="21"/>
          <w:lang w:val="zh-CN" w:eastAsia="zh-CN"/>
        </w:rPr>
        <w:t>或监禁。请说明缔约国是否打算取消卖淫妇女在健康数据库进行登记以及每两周进行体检的法律义务。请提供资料说明基于上述理由对卖淫妇女处以监禁的比率。还请说明采取了哪些措施以提供替代卖淫的教育和经济机会，以及建立脱离卖淫的方案和采取帮助摆脱卖淫的妇女恢复正常生活和重新融入社会的措施。</w:t>
      </w:r>
    </w:p>
    <w:p w:rsidR="005B0D71" w:rsidRDefault="005B0D71" w:rsidP="005B0D71">
      <w:pPr>
        <w:pStyle w:val="HChGC"/>
        <w:ind w:left="1276" w:hanging="1276"/>
      </w:pPr>
      <w:r>
        <w:tab/>
      </w:r>
      <w:r>
        <w:tab/>
      </w:r>
      <w:r>
        <w:rPr>
          <w:rFonts w:hint="eastAsia"/>
        </w:rPr>
        <w:t>参与政治和公共生活</w:t>
      </w:r>
    </w:p>
    <w:p w:rsidR="005B0D71" w:rsidRDefault="005B0D71" w:rsidP="005B0D71">
      <w:pPr>
        <w:pStyle w:val="SingleTxtG"/>
        <w:tabs>
          <w:tab w:val="left" w:pos="1701"/>
        </w:tabs>
        <w:spacing w:line="320" w:lineRule="exact"/>
        <w:ind w:left="1276"/>
        <w:rPr>
          <w:sz w:val="21"/>
          <w:szCs w:val="21"/>
          <w:lang w:eastAsia="zh-CN"/>
        </w:rPr>
      </w:pPr>
      <w:r>
        <w:rPr>
          <w:sz w:val="21"/>
          <w:szCs w:val="21"/>
          <w:lang w:eastAsia="zh-CN"/>
        </w:rPr>
        <w:t>9.</w:t>
      </w:r>
      <w:r>
        <w:rPr>
          <w:sz w:val="21"/>
          <w:szCs w:val="21"/>
          <w:lang w:eastAsia="zh-CN"/>
        </w:rPr>
        <w:tab/>
      </w:r>
      <w:r>
        <w:rPr>
          <w:rFonts w:cs="SimSun" w:hint="eastAsia"/>
          <w:sz w:val="21"/>
          <w:szCs w:val="21"/>
          <w:lang w:val="zh-CN" w:eastAsia="zh-CN"/>
        </w:rPr>
        <w:t>报告提到</w:t>
      </w:r>
      <w:r>
        <w:rPr>
          <w:sz w:val="21"/>
          <w:szCs w:val="21"/>
          <w:lang w:val="zh-CN" w:eastAsia="zh-CN"/>
        </w:rPr>
        <w:t>2007</w:t>
      </w:r>
      <w:r>
        <w:rPr>
          <w:rFonts w:cs="SimSun" w:hint="eastAsia"/>
          <w:sz w:val="21"/>
          <w:szCs w:val="21"/>
          <w:lang w:val="zh-CN" w:eastAsia="zh-CN"/>
        </w:rPr>
        <w:t>年</w:t>
      </w:r>
      <w:r>
        <w:rPr>
          <w:sz w:val="21"/>
          <w:szCs w:val="21"/>
          <w:lang w:val="zh-CN" w:eastAsia="zh-CN"/>
        </w:rPr>
        <w:t>11</w:t>
      </w:r>
      <w:r>
        <w:rPr>
          <w:rFonts w:cs="SimSun" w:hint="eastAsia"/>
          <w:sz w:val="21"/>
          <w:szCs w:val="21"/>
          <w:lang w:val="zh-CN" w:eastAsia="zh-CN"/>
        </w:rPr>
        <w:t>月</w:t>
      </w:r>
      <w:r>
        <w:rPr>
          <w:sz w:val="21"/>
          <w:szCs w:val="21"/>
          <w:lang w:val="zh-CN" w:eastAsia="zh-CN"/>
        </w:rPr>
        <w:t>13</w:t>
      </w:r>
      <w:r>
        <w:rPr>
          <w:rFonts w:cs="SimSun" w:hint="eastAsia"/>
          <w:sz w:val="21"/>
          <w:szCs w:val="21"/>
          <w:lang w:val="zh-CN" w:eastAsia="zh-CN"/>
        </w:rPr>
        <w:t>日关于选举职务和选举地位男女平等的第</w:t>
      </w:r>
      <w:r>
        <w:rPr>
          <w:sz w:val="21"/>
          <w:szCs w:val="21"/>
          <w:lang w:val="zh-CN" w:eastAsia="zh-CN"/>
        </w:rPr>
        <w:t>2007-40</w:t>
      </w:r>
      <w:r>
        <w:rPr>
          <w:rFonts w:cs="SimSun" w:hint="eastAsia"/>
          <w:sz w:val="21"/>
          <w:szCs w:val="21"/>
          <w:lang w:val="zh-CN" w:eastAsia="zh-CN"/>
        </w:rPr>
        <w:t>号法案以及</w:t>
      </w:r>
      <w:r>
        <w:rPr>
          <w:sz w:val="21"/>
          <w:szCs w:val="21"/>
          <w:lang w:val="zh-CN" w:eastAsia="zh-CN"/>
        </w:rPr>
        <w:t>2010</w:t>
      </w:r>
      <w:r>
        <w:rPr>
          <w:rFonts w:cs="SimSun" w:hint="eastAsia"/>
          <w:sz w:val="21"/>
          <w:szCs w:val="21"/>
          <w:lang w:val="zh-CN" w:eastAsia="zh-CN"/>
        </w:rPr>
        <w:t>年</w:t>
      </w:r>
      <w:r>
        <w:rPr>
          <w:sz w:val="21"/>
          <w:szCs w:val="21"/>
          <w:lang w:val="zh-CN" w:eastAsia="zh-CN"/>
        </w:rPr>
        <w:t>5</w:t>
      </w:r>
      <w:r>
        <w:rPr>
          <w:rFonts w:cs="SimSun" w:hint="eastAsia"/>
          <w:sz w:val="21"/>
          <w:szCs w:val="21"/>
          <w:lang w:val="zh-CN" w:eastAsia="zh-CN"/>
        </w:rPr>
        <w:t>月</w:t>
      </w:r>
      <w:r>
        <w:rPr>
          <w:sz w:val="21"/>
          <w:szCs w:val="21"/>
          <w:lang w:val="zh-CN" w:eastAsia="zh-CN"/>
        </w:rPr>
        <w:t>28</w:t>
      </w:r>
      <w:r>
        <w:rPr>
          <w:rFonts w:cs="SimSun" w:hint="eastAsia"/>
          <w:sz w:val="21"/>
          <w:szCs w:val="21"/>
          <w:lang w:val="zh-CN" w:eastAsia="zh-CN"/>
        </w:rPr>
        <w:t>日关于确立在全部民选机构中完全性别均等的第</w:t>
      </w:r>
      <w:r>
        <w:rPr>
          <w:sz w:val="21"/>
          <w:szCs w:val="21"/>
          <w:lang w:val="zh-CN" w:eastAsia="zh-CN"/>
        </w:rPr>
        <w:t>2010-11</w:t>
      </w:r>
      <w:r>
        <w:rPr>
          <w:rFonts w:cs="SimSun" w:hint="eastAsia"/>
          <w:sz w:val="21"/>
          <w:szCs w:val="21"/>
          <w:lang w:val="zh-CN" w:eastAsia="zh-CN"/>
        </w:rPr>
        <w:t>号法案获得了通过（第</w:t>
      </w:r>
      <w:r>
        <w:rPr>
          <w:sz w:val="21"/>
          <w:szCs w:val="21"/>
          <w:lang w:val="zh-CN" w:eastAsia="zh-CN"/>
        </w:rPr>
        <w:t>58</w:t>
      </w:r>
      <w:r>
        <w:rPr>
          <w:rFonts w:cs="SimSun" w:hint="eastAsia"/>
          <w:sz w:val="21"/>
          <w:szCs w:val="21"/>
          <w:lang w:val="zh-CN" w:eastAsia="zh-CN"/>
        </w:rPr>
        <w:t>段）。委员会收到的资料表明：这些法案在行政区、县和地方尚未得到完全执行，内政部未将图巴</w:t>
      </w:r>
      <w:r>
        <w:rPr>
          <w:sz w:val="21"/>
          <w:szCs w:val="21"/>
          <w:lang w:val="zh-CN" w:eastAsia="zh-CN"/>
        </w:rPr>
        <w:t>2014</w:t>
      </w:r>
      <w:r>
        <w:rPr>
          <w:rFonts w:cs="SimSun" w:hint="eastAsia"/>
          <w:sz w:val="21"/>
          <w:szCs w:val="21"/>
          <w:lang w:val="zh-CN" w:eastAsia="zh-CN"/>
        </w:rPr>
        <w:t>年</w:t>
      </w:r>
      <w:r>
        <w:rPr>
          <w:sz w:val="21"/>
          <w:szCs w:val="21"/>
          <w:lang w:val="zh-CN" w:eastAsia="zh-CN"/>
        </w:rPr>
        <w:t>6</w:t>
      </w:r>
      <w:r>
        <w:rPr>
          <w:rFonts w:cs="SimSun" w:hint="eastAsia"/>
          <w:sz w:val="21"/>
          <w:szCs w:val="21"/>
          <w:lang w:val="zh-CN" w:eastAsia="zh-CN"/>
        </w:rPr>
        <w:t>月地方选举中只包含男性的名单宣布为无效，以及自主国家选举委员会就该名单提起了一项申诉。请对该资料作出评论并说明采取了或打算采取哪些措施确保针对所有民选职位有效执行上述立法，包括实施制裁措施。还请提供资料，说明采取了哪些步骤以针对政府、司法机构、全国、省级和市镇各级公务员制度以及外交部门中任命的决策职位实现男女平等任职，包括通过依照《公约》第</w:t>
      </w:r>
      <w:r>
        <w:rPr>
          <w:rFonts w:cs="SimSun"/>
          <w:sz w:val="21"/>
          <w:szCs w:val="21"/>
          <w:lang w:val="zh-CN" w:eastAsia="zh-CN"/>
        </w:rPr>
        <w:t>4</w:t>
      </w:r>
      <w:r>
        <w:rPr>
          <w:rFonts w:cs="SimSun" w:hint="eastAsia"/>
          <w:sz w:val="21"/>
          <w:szCs w:val="21"/>
          <w:lang w:val="zh-CN" w:eastAsia="zh-CN"/>
        </w:rPr>
        <w:t>条第</w:t>
      </w:r>
      <w:r>
        <w:rPr>
          <w:sz w:val="21"/>
          <w:szCs w:val="21"/>
          <w:lang w:val="zh-CN" w:eastAsia="zh-CN"/>
        </w:rPr>
        <w:t>1</w:t>
      </w:r>
      <w:r>
        <w:rPr>
          <w:rFonts w:cs="SimSun" w:hint="eastAsia"/>
          <w:sz w:val="21"/>
          <w:szCs w:val="21"/>
          <w:lang w:val="zh-CN" w:eastAsia="zh-CN"/>
        </w:rPr>
        <w:t>款和委员会关于暂行特别措施的第</w:t>
      </w:r>
      <w:r>
        <w:rPr>
          <w:sz w:val="21"/>
          <w:szCs w:val="21"/>
          <w:lang w:val="zh-CN" w:eastAsia="zh-CN"/>
        </w:rPr>
        <w:t>25</w:t>
      </w:r>
      <w:r>
        <w:rPr>
          <w:rFonts w:cs="SimSun" w:hint="eastAsia"/>
          <w:sz w:val="21"/>
          <w:szCs w:val="21"/>
          <w:lang w:val="zh-CN" w:eastAsia="zh-CN"/>
        </w:rPr>
        <w:t>号一般性建议采取暂行特别措施。</w:t>
      </w:r>
    </w:p>
    <w:p w:rsidR="005B0D71" w:rsidRDefault="005B0D71" w:rsidP="005B0D71">
      <w:pPr>
        <w:pStyle w:val="HChGC"/>
        <w:ind w:left="1276" w:hanging="1276"/>
      </w:pPr>
      <w:r>
        <w:tab/>
      </w:r>
      <w:r>
        <w:tab/>
      </w:r>
      <w:r>
        <w:rPr>
          <w:rFonts w:hint="eastAsia"/>
        </w:rPr>
        <w:t>教育</w:t>
      </w:r>
    </w:p>
    <w:p w:rsidR="005B0D71" w:rsidRDefault="005B0D71" w:rsidP="005B0D71">
      <w:pPr>
        <w:pStyle w:val="SingleTxtG"/>
        <w:tabs>
          <w:tab w:val="left" w:pos="1701"/>
        </w:tabs>
        <w:spacing w:line="320" w:lineRule="exact"/>
        <w:ind w:left="1276"/>
        <w:rPr>
          <w:sz w:val="21"/>
          <w:szCs w:val="21"/>
          <w:lang w:eastAsia="zh-CN"/>
        </w:rPr>
      </w:pPr>
      <w:r>
        <w:rPr>
          <w:sz w:val="21"/>
          <w:szCs w:val="21"/>
          <w:lang w:eastAsia="zh-CN"/>
        </w:rPr>
        <w:t>10.</w:t>
      </w:r>
      <w:r>
        <w:rPr>
          <w:sz w:val="21"/>
          <w:szCs w:val="21"/>
          <w:lang w:eastAsia="zh-CN"/>
        </w:rPr>
        <w:tab/>
      </w:r>
      <w:r>
        <w:rPr>
          <w:rFonts w:cs="SimSun" w:hint="eastAsia"/>
          <w:sz w:val="21"/>
          <w:szCs w:val="21"/>
          <w:lang w:val="zh-CN" w:eastAsia="zh-CN"/>
        </w:rPr>
        <w:t>报告指出，已经采取了大量措施以增加女童接受教育的机会（第</w:t>
      </w:r>
      <w:r>
        <w:rPr>
          <w:sz w:val="21"/>
          <w:szCs w:val="21"/>
          <w:lang w:val="zh-CN" w:eastAsia="zh-CN"/>
        </w:rPr>
        <w:t>70-87</w:t>
      </w:r>
      <w:r>
        <w:rPr>
          <w:rFonts w:cs="SimSun" w:hint="eastAsia"/>
          <w:sz w:val="21"/>
          <w:szCs w:val="21"/>
          <w:lang w:val="zh-CN" w:eastAsia="zh-CN"/>
        </w:rPr>
        <w:t>段）。请说明这些措施的有效性是否已经得到评估以便在必要时采取纠正措施。请提供资料说明为下列目的打算采取的各项措施：</w:t>
      </w:r>
      <w:r>
        <w:rPr>
          <w:sz w:val="21"/>
          <w:szCs w:val="21"/>
          <w:lang w:val="zh-CN" w:eastAsia="zh-CN"/>
        </w:rPr>
        <w:t xml:space="preserve">(a) </w:t>
      </w:r>
      <w:r>
        <w:rPr>
          <w:rFonts w:cs="SimSun" w:hint="eastAsia"/>
          <w:sz w:val="21"/>
          <w:szCs w:val="21"/>
          <w:lang w:val="zh-CN" w:eastAsia="zh-CN"/>
        </w:rPr>
        <w:t>为教育拨配足够的资金；</w:t>
      </w:r>
      <w:r>
        <w:rPr>
          <w:sz w:val="21"/>
          <w:szCs w:val="21"/>
          <w:lang w:val="zh-CN" w:eastAsia="zh-CN"/>
        </w:rPr>
        <w:t xml:space="preserve">(b) </w:t>
      </w:r>
      <w:r>
        <w:rPr>
          <w:rFonts w:cs="SimSun" w:hint="eastAsia"/>
          <w:sz w:val="21"/>
          <w:szCs w:val="21"/>
          <w:lang w:val="zh-CN" w:eastAsia="zh-CN"/>
        </w:rPr>
        <w:t>有效执行初等义务教育；</w:t>
      </w:r>
      <w:r>
        <w:rPr>
          <w:sz w:val="21"/>
          <w:szCs w:val="21"/>
          <w:lang w:val="zh-CN" w:eastAsia="zh-CN"/>
        </w:rPr>
        <w:t xml:space="preserve">(c) </w:t>
      </w:r>
      <w:r>
        <w:rPr>
          <w:rFonts w:cs="SimSun" w:hint="eastAsia"/>
          <w:sz w:val="21"/>
          <w:szCs w:val="21"/>
          <w:lang w:val="zh-CN" w:eastAsia="zh-CN"/>
        </w:rPr>
        <w:t>将性别观点纳入学校设施（比如卫生设施）的提供过程；</w:t>
      </w:r>
      <w:r>
        <w:rPr>
          <w:sz w:val="21"/>
          <w:szCs w:val="21"/>
          <w:lang w:val="zh-CN" w:eastAsia="zh-CN"/>
        </w:rPr>
        <w:t xml:space="preserve">(d) </w:t>
      </w:r>
      <w:r>
        <w:rPr>
          <w:rFonts w:cs="SimSun" w:hint="eastAsia"/>
          <w:sz w:val="21"/>
          <w:szCs w:val="21"/>
          <w:lang w:val="zh-CN" w:eastAsia="zh-CN"/>
        </w:rPr>
        <w:t>解决妇女文盲率高的问题；</w:t>
      </w:r>
      <w:r>
        <w:rPr>
          <w:sz w:val="21"/>
          <w:szCs w:val="21"/>
          <w:lang w:val="zh-CN" w:eastAsia="zh-CN"/>
        </w:rPr>
        <w:t xml:space="preserve">(e) </w:t>
      </w:r>
      <w:r>
        <w:rPr>
          <w:rFonts w:cs="SimSun" w:hint="eastAsia"/>
          <w:sz w:val="21"/>
          <w:szCs w:val="21"/>
          <w:lang w:val="zh-CN" w:eastAsia="zh-CN"/>
        </w:rPr>
        <w:t>增加教育中尤其是中等教育、职业教育和高等教育中女童的入学率和续学率；</w:t>
      </w:r>
      <w:r>
        <w:rPr>
          <w:sz w:val="21"/>
          <w:szCs w:val="21"/>
          <w:lang w:val="zh-CN" w:eastAsia="zh-CN"/>
        </w:rPr>
        <w:t xml:space="preserve">(f) </w:t>
      </w:r>
      <w:r>
        <w:rPr>
          <w:rFonts w:cs="SimSun" w:hint="eastAsia"/>
          <w:sz w:val="21"/>
          <w:szCs w:val="21"/>
          <w:lang w:val="zh-CN" w:eastAsia="zh-CN"/>
        </w:rPr>
        <w:t>克服女童接受教育的经济、社会和文化障碍，包括教育的直接和间接费用、童婚、少女怀孕、上学路途遥远以及家政劳动；</w:t>
      </w:r>
      <w:r>
        <w:rPr>
          <w:sz w:val="21"/>
          <w:szCs w:val="21"/>
          <w:lang w:val="zh-CN" w:eastAsia="zh-CN"/>
        </w:rPr>
        <w:t xml:space="preserve">(g) </w:t>
      </w:r>
      <w:r>
        <w:rPr>
          <w:rFonts w:cs="SimSun" w:hint="eastAsia"/>
          <w:sz w:val="21"/>
          <w:szCs w:val="21"/>
          <w:lang w:val="zh-CN" w:eastAsia="zh-CN"/>
        </w:rPr>
        <w:t>制止校内针对女孩的暴力和性骚扰行为，包括老师实施的这些行为；</w:t>
      </w:r>
      <w:r>
        <w:rPr>
          <w:sz w:val="21"/>
          <w:szCs w:val="21"/>
          <w:lang w:val="zh-CN" w:eastAsia="zh-CN"/>
        </w:rPr>
        <w:t xml:space="preserve">(h) </w:t>
      </w:r>
      <w:r>
        <w:rPr>
          <w:rFonts w:cs="SimSun" w:hint="eastAsia"/>
          <w:sz w:val="21"/>
          <w:szCs w:val="21"/>
          <w:lang w:val="zh-CN" w:eastAsia="zh-CN"/>
        </w:rPr>
        <w:t>增加各级教育中女教师的人数和教育系统中身居决策职位的妇女人数；以及</w:t>
      </w:r>
      <w:r>
        <w:rPr>
          <w:sz w:val="21"/>
          <w:szCs w:val="21"/>
          <w:lang w:val="zh-CN" w:eastAsia="zh-CN"/>
        </w:rPr>
        <w:t xml:space="preserve">(i) </w:t>
      </w:r>
      <w:r>
        <w:rPr>
          <w:rFonts w:cs="SimSun" w:hint="eastAsia"/>
          <w:sz w:val="21"/>
          <w:szCs w:val="21"/>
          <w:lang w:val="zh-CN" w:eastAsia="zh-CN"/>
        </w:rPr>
        <w:t>将性别观点纳入教师培训中。请提供资料说明</w:t>
      </w:r>
      <w:r>
        <w:rPr>
          <w:sz w:val="21"/>
          <w:szCs w:val="21"/>
          <w:lang w:val="zh-CN" w:eastAsia="zh-CN"/>
        </w:rPr>
        <w:t>2007</w:t>
      </w:r>
      <w:r>
        <w:rPr>
          <w:rFonts w:cs="SimSun" w:hint="eastAsia"/>
          <w:sz w:val="21"/>
          <w:szCs w:val="21"/>
          <w:lang w:val="zh-CN" w:eastAsia="zh-CN"/>
        </w:rPr>
        <w:t>年</w:t>
      </w:r>
      <w:r>
        <w:rPr>
          <w:sz w:val="21"/>
          <w:szCs w:val="21"/>
          <w:lang w:val="zh-CN" w:eastAsia="zh-CN"/>
        </w:rPr>
        <w:t>10</w:t>
      </w:r>
      <w:r>
        <w:rPr>
          <w:rFonts w:cs="SimSun" w:hint="eastAsia"/>
          <w:sz w:val="21"/>
          <w:szCs w:val="21"/>
          <w:lang w:val="zh-CN" w:eastAsia="zh-CN"/>
        </w:rPr>
        <w:t>月</w:t>
      </w:r>
      <w:r>
        <w:rPr>
          <w:sz w:val="21"/>
          <w:szCs w:val="21"/>
          <w:lang w:val="zh-CN" w:eastAsia="zh-CN"/>
        </w:rPr>
        <w:t>11</w:t>
      </w:r>
      <w:r>
        <w:rPr>
          <w:rFonts w:cs="SimSun" w:hint="eastAsia"/>
          <w:sz w:val="21"/>
          <w:szCs w:val="21"/>
          <w:lang w:val="zh-CN" w:eastAsia="zh-CN"/>
        </w:rPr>
        <w:t>日允许怀孕学生接受教育的第</w:t>
      </w:r>
      <w:r>
        <w:rPr>
          <w:sz w:val="21"/>
          <w:szCs w:val="21"/>
          <w:lang w:val="zh-CN" w:eastAsia="zh-CN"/>
        </w:rPr>
        <w:t>004379</w:t>
      </w:r>
      <w:r>
        <w:rPr>
          <w:rFonts w:cs="SimSun" w:hint="eastAsia"/>
          <w:sz w:val="21"/>
          <w:szCs w:val="21"/>
          <w:lang w:val="zh-CN" w:eastAsia="zh-CN"/>
        </w:rPr>
        <w:t>号通知是如何执行的。还请指明因向农村地区的学前班和小学提供餐饮的学校食堂方案而受益的学校和女童的比例，并说明该方案是否会长期实施下去（第</w:t>
      </w:r>
      <w:r>
        <w:rPr>
          <w:sz w:val="21"/>
          <w:szCs w:val="21"/>
          <w:lang w:val="zh-CN" w:eastAsia="zh-CN"/>
        </w:rPr>
        <w:t>118</w:t>
      </w:r>
      <w:r>
        <w:rPr>
          <w:rFonts w:cs="SimSun" w:hint="eastAsia"/>
          <w:sz w:val="21"/>
          <w:szCs w:val="21"/>
          <w:lang w:val="zh-CN" w:eastAsia="zh-CN"/>
        </w:rPr>
        <w:t>段）。</w:t>
      </w:r>
    </w:p>
    <w:p w:rsidR="005B0D71" w:rsidRDefault="005B0D71" w:rsidP="005B0D71">
      <w:pPr>
        <w:pStyle w:val="HChGC"/>
        <w:ind w:left="1276" w:hanging="1276"/>
      </w:pPr>
      <w:r>
        <w:tab/>
      </w:r>
      <w:r>
        <w:tab/>
      </w:r>
      <w:r>
        <w:rPr>
          <w:rFonts w:hint="eastAsia"/>
        </w:rPr>
        <w:t>就业</w:t>
      </w:r>
    </w:p>
    <w:p w:rsidR="005B0D71" w:rsidRDefault="005B0D71" w:rsidP="005B0D71">
      <w:pPr>
        <w:pStyle w:val="SingleTxtG"/>
        <w:tabs>
          <w:tab w:val="left" w:pos="1701"/>
        </w:tabs>
        <w:spacing w:line="320" w:lineRule="exact"/>
        <w:ind w:left="1276"/>
        <w:rPr>
          <w:sz w:val="21"/>
          <w:szCs w:val="21"/>
          <w:lang w:eastAsia="zh-CN"/>
        </w:rPr>
      </w:pPr>
      <w:r>
        <w:rPr>
          <w:sz w:val="21"/>
          <w:szCs w:val="21"/>
          <w:lang w:eastAsia="zh-CN"/>
        </w:rPr>
        <w:t>11.</w:t>
      </w:r>
      <w:r>
        <w:rPr>
          <w:sz w:val="21"/>
          <w:szCs w:val="21"/>
          <w:lang w:eastAsia="zh-CN"/>
        </w:rPr>
        <w:tab/>
      </w:r>
      <w:r>
        <w:rPr>
          <w:rFonts w:cs="SimSun" w:hint="eastAsia"/>
          <w:sz w:val="21"/>
          <w:szCs w:val="21"/>
          <w:lang w:val="zh-CN" w:eastAsia="zh-CN"/>
        </w:rPr>
        <w:t>请提供数据说明工作场所性骚扰案件的登记率以及采取了哪些措施预防和惩罚此类行为。还请提供数据说明男女之间存在工资差距以及公共和私营部门就业妇女在职业上的隔离情况，并阐明采取了哪些措施以改变这一情况。请说明是否所有正式部门雇员都被纳入了社会保障制度。还请说明缔约国是否已经采取措施以保护在非正式和农村部门工作的妇女，尤其是是否已经采取措施为她们提供社会福利。</w:t>
      </w:r>
      <w:r>
        <w:rPr>
          <w:sz w:val="21"/>
          <w:szCs w:val="21"/>
          <w:lang w:eastAsia="zh-CN"/>
        </w:rPr>
        <w:t xml:space="preserve"> </w:t>
      </w:r>
    </w:p>
    <w:p w:rsidR="005B0D71" w:rsidRDefault="005B0D71" w:rsidP="005B0D71">
      <w:pPr>
        <w:pStyle w:val="SingleTxtG"/>
        <w:tabs>
          <w:tab w:val="left" w:pos="1701"/>
        </w:tabs>
        <w:spacing w:line="320" w:lineRule="exact"/>
        <w:ind w:left="1276"/>
        <w:rPr>
          <w:sz w:val="21"/>
          <w:szCs w:val="21"/>
          <w:lang w:eastAsia="zh-CN"/>
        </w:rPr>
      </w:pPr>
      <w:r>
        <w:rPr>
          <w:sz w:val="21"/>
          <w:szCs w:val="21"/>
          <w:lang w:eastAsia="zh-CN"/>
        </w:rPr>
        <w:t>12.</w:t>
      </w:r>
      <w:r>
        <w:rPr>
          <w:sz w:val="21"/>
          <w:szCs w:val="21"/>
          <w:lang w:eastAsia="zh-CN"/>
        </w:rPr>
        <w:tab/>
      </w:r>
      <w:r>
        <w:rPr>
          <w:rFonts w:cs="SimSun" w:hint="eastAsia"/>
          <w:sz w:val="21"/>
          <w:szCs w:val="21"/>
          <w:lang w:val="zh-CN" w:eastAsia="zh-CN"/>
        </w:rPr>
        <w:t>请说明缔约国是否打算废止有关只向男子发放儿童福利（《社会保障法》第</w:t>
      </w:r>
      <w:r>
        <w:rPr>
          <w:sz w:val="21"/>
          <w:szCs w:val="21"/>
          <w:lang w:val="zh-CN" w:eastAsia="zh-CN"/>
        </w:rPr>
        <w:t>21</w:t>
      </w:r>
      <w:r>
        <w:rPr>
          <w:rFonts w:cs="SimSun" w:hint="eastAsia"/>
          <w:sz w:val="21"/>
          <w:szCs w:val="21"/>
          <w:lang w:val="zh-CN" w:eastAsia="zh-CN"/>
        </w:rPr>
        <w:t>条）、有关不向生前受雇妇女的子女发放补助金（《社会保障法》第</w:t>
      </w:r>
      <w:r>
        <w:rPr>
          <w:sz w:val="21"/>
          <w:szCs w:val="21"/>
          <w:lang w:val="zh-CN" w:eastAsia="zh-CN"/>
        </w:rPr>
        <w:t>87</w:t>
      </w:r>
      <w:r>
        <w:rPr>
          <w:rFonts w:cs="SimSun" w:hint="eastAsia"/>
          <w:sz w:val="21"/>
          <w:szCs w:val="21"/>
          <w:lang w:val="zh-CN" w:eastAsia="zh-CN"/>
        </w:rPr>
        <w:t>条）以及有关寡妇年金发放中的差别待遇（</w:t>
      </w:r>
      <w:r>
        <w:rPr>
          <w:sz w:val="21"/>
          <w:szCs w:val="21"/>
          <w:lang w:val="zh-CN" w:eastAsia="zh-CN"/>
        </w:rPr>
        <w:t>1973</w:t>
      </w:r>
      <w:r>
        <w:rPr>
          <w:rFonts w:cs="SimSun" w:hint="eastAsia"/>
          <w:sz w:val="21"/>
          <w:szCs w:val="21"/>
          <w:lang w:val="zh-CN" w:eastAsia="zh-CN"/>
        </w:rPr>
        <w:t>年</w:t>
      </w:r>
      <w:r>
        <w:rPr>
          <w:sz w:val="21"/>
          <w:szCs w:val="21"/>
          <w:lang w:val="zh-CN" w:eastAsia="zh-CN"/>
        </w:rPr>
        <w:t>7</w:t>
      </w:r>
      <w:r>
        <w:rPr>
          <w:rFonts w:cs="SimSun" w:hint="eastAsia"/>
          <w:sz w:val="21"/>
          <w:szCs w:val="21"/>
          <w:lang w:val="zh-CN" w:eastAsia="zh-CN"/>
        </w:rPr>
        <w:t>月</w:t>
      </w:r>
      <w:r>
        <w:rPr>
          <w:sz w:val="21"/>
          <w:szCs w:val="21"/>
          <w:lang w:val="zh-CN" w:eastAsia="zh-CN"/>
        </w:rPr>
        <w:t>31</w:t>
      </w:r>
      <w:r>
        <w:rPr>
          <w:rFonts w:cs="SimSun" w:hint="eastAsia"/>
          <w:sz w:val="21"/>
          <w:szCs w:val="21"/>
          <w:lang w:val="zh-CN" w:eastAsia="zh-CN"/>
        </w:rPr>
        <w:t>日第</w:t>
      </w:r>
      <w:r>
        <w:rPr>
          <w:sz w:val="21"/>
          <w:szCs w:val="21"/>
          <w:lang w:val="zh-CN" w:eastAsia="zh-CN"/>
        </w:rPr>
        <w:t>73-37</w:t>
      </w:r>
      <w:r>
        <w:rPr>
          <w:rFonts w:cs="SimSun" w:hint="eastAsia"/>
          <w:sz w:val="21"/>
          <w:szCs w:val="21"/>
          <w:lang w:val="zh-CN" w:eastAsia="zh-CN"/>
        </w:rPr>
        <w:t>号法）的歧视性法律规定。</w:t>
      </w:r>
    </w:p>
    <w:p w:rsidR="005B0D71" w:rsidRDefault="005B0D71" w:rsidP="005B0D71">
      <w:pPr>
        <w:pStyle w:val="HChGC"/>
        <w:ind w:left="1276" w:hanging="1276"/>
      </w:pPr>
      <w:r>
        <w:tab/>
      </w:r>
      <w:r>
        <w:tab/>
      </w:r>
      <w:r>
        <w:tab/>
      </w:r>
      <w:r>
        <w:rPr>
          <w:rFonts w:hint="eastAsia"/>
        </w:rPr>
        <w:t>健康</w:t>
      </w:r>
    </w:p>
    <w:p w:rsidR="005B0D71" w:rsidRDefault="005B0D71" w:rsidP="005B0D71">
      <w:pPr>
        <w:pStyle w:val="SingleTxtG"/>
        <w:tabs>
          <w:tab w:val="left" w:pos="1701"/>
        </w:tabs>
        <w:spacing w:line="320" w:lineRule="exact"/>
        <w:ind w:left="1276"/>
        <w:rPr>
          <w:sz w:val="21"/>
          <w:szCs w:val="21"/>
          <w:lang w:eastAsia="zh-CN"/>
        </w:rPr>
      </w:pPr>
      <w:r>
        <w:rPr>
          <w:sz w:val="21"/>
          <w:szCs w:val="21"/>
          <w:lang w:eastAsia="zh-CN"/>
        </w:rPr>
        <w:t>13.</w:t>
      </w:r>
      <w:r>
        <w:rPr>
          <w:sz w:val="21"/>
          <w:szCs w:val="21"/>
          <w:lang w:eastAsia="zh-CN"/>
        </w:rPr>
        <w:tab/>
      </w:r>
      <w:r>
        <w:rPr>
          <w:rFonts w:cs="SimSun" w:hint="eastAsia"/>
          <w:sz w:val="21"/>
          <w:szCs w:val="21"/>
          <w:lang w:val="zh-CN" w:eastAsia="zh-CN"/>
        </w:rPr>
        <w:t>鉴于委员会收到的有关合法堕胎标准的资料存在矛盾，请说明在母亲的身心健康存在风险时，法律是否允许堕胎，如果是，还请指明相关法律规定。请说明缔约国是否打算将强奸、乱伦和胚胎严重受损情况下的堕胎行为合法化。请提供按地区和妇女的经济地位分类的数据说明不安全堕胎盛行的情况，以及因非法堕胎被定罪后遭拘留的妇女人数和比例。还请提供资料说明不安全堕胎后的并发症发生率，包括孕产妇死亡率。</w:t>
      </w:r>
    </w:p>
    <w:p w:rsidR="005B0D71" w:rsidRDefault="005B0D71" w:rsidP="005B0D71">
      <w:pPr>
        <w:pStyle w:val="SingleTxtG"/>
        <w:tabs>
          <w:tab w:val="left" w:pos="1701"/>
        </w:tabs>
        <w:spacing w:line="320" w:lineRule="exact"/>
        <w:ind w:left="1276"/>
        <w:rPr>
          <w:sz w:val="21"/>
          <w:szCs w:val="21"/>
          <w:lang w:eastAsia="zh-CN"/>
        </w:rPr>
      </w:pPr>
      <w:r>
        <w:rPr>
          <w:sz w:val="21"/>
          <w:szCs w:val="21"/>
          <w:lang w:eastAsia="zh-CN"/>
        </w:rPr>
        <w:t>14.</w:t>
      </w:r>
      <w:r>
        <w:rPr>
          <w:sz w:val="21"/>
          <w:szCs w:val="21"/>
          <w:lang w:eastAsia="zh-CN"/>
        </w:rPr>
        <w:tab/>
      </w:r>
      <w:r>
        <w:rPr>
          <w:rFonts w:cs="SimSun" w:hint="eastAsia"/>
          <w:sz w:val="21"/>
          <w:szCs w:val="21"/>
          <w:lang w:val="zh-CN" w:eastAsia="zh-CN"/>
        </w:rPr>
        <w:t>请说明打算采取哪些措施进一步解决保健方面预算分配不足的问题、孕产妇死亡率居高不下（</w:t>
      </w:r>
      <w:r>
        <w:rPr>
          <w:sz w:val="21"/>
          <w:szCs w:val="21"/>
          <w:lang w:val="zh-CN" w:eastAsia="zh-CN"/>
        </w:rPr>
        <w:t>0.41%</w:t>
      </w:r>
      <w:r>
        <w:rPr>
          <w:rFonts w:cs="SimSun" w:hint="eastAsia"/>
          <w:sz w:val="21"/>
          <w:szCs w:val="21"/>
          <w:lang w:val="zh-CN" w:eastAsia="zh-CN"/>
        </w:rPr>
        <w:t>）的问题，以及长期无法获得基本医疗保健服务包括重要产科护理的问题，尤其是针对弱势妇女群体，例如生活贫穷的妇女和农村妇女解决这些问题。请提供资料说明打算采取哪些措施进一步提高关于性和生殖健康及权利的综合适龄教育以及计划生育服务的可用性和可获得性，并说明现代避孕药具的使用率。</w:t>
      </w:r>
    </w:p>
    <w:p w:rsidR="005B0D71" w:rsidRDefault="005B0D71" w:rsidP="005B0D71">
      <w:pPr>
        <w:pStyle w:val="SingleTxtG"/>
        <w:tabs>
          <w:tab w:val="left" w:pos="1701"/>
        </w:tabs>
        <w:spacing w:line="320" w:lineRule="exact"/>
        <w:ind w:left="1276"/>
        <w:rPr>
          <w:sz w:val="21"/>
          <w:szCs w:val="21"/>
          <w:lang w:eastAsia="zh-CN"/>
        </w:rPr>
      </w:pPr>
      <w:r>
        <w:rPr>
          <w:sz w:val="21"/>
          <w:szCs w:val="21"/>
          <w:lang w:eastAsia="zh-CN"/>
        </w:rPr>
        <w:t>15.</w:t>
      </w:r>
      <w:r>
        <w:rPr>
          <w:sz w:val="21"/>
          <w:szCs w:val="21"/>
          <w:lang w:eastAsia="zh-CN"/>
        </w:rPr>
        <w:tab/>
      </w:r>
      <w:r>
        <w:rPr>
          <w:rFonts w:cs="SimSun" w:hint="eastAsia"/>
          <w:sz w:val="21"/>
          <w:szCs w:val="21"/>
          <w:lang w:val="zh-CN" w:eastAsia="zh-CN"/>
        </w:rPr>
        <w:t>请说明全国各地包括农村和偏远地区感染了艾滋病毒</w:t>
      </w:r>
      <w:r>
        <w:rPr>
          <w:sz w:val="21"/>
          <w:szCs w:val="21"/>
          <w:lang w:val="zh-CN" w:eastAsia="zh-CN"/>
        </w:rPr>
        <w:t>/</w:t>
      </w:r>
      <w:r>
        <w:rPr>
          <w:rFonts w:cs="SimSun" w:hint="eastAsia"/>
          <w:sz w:val="21"/>
          <w:szCs w:val="21"/>
          <w:lang w:val="zh-CN" w:eastAsia="zh-CN"/>
        </w:rPr>
        <w:t>艾滋病的妇女是否能实际获得免费的抗逆转录病毒药物治疗，包括预防母婴传播艾滋病毒的药物治疗。</w:t>
      </w:r>
    </w:p>
    <w:p w:rsidR="005B0D71" w:rsidRDefault="005B0D71" w:rsidP="005B0D71">
      <w:pPr>
        <w:pStyle w:val="HChGC"/>
        <w:ind w:left="1276" w:hanging="1276"/>
      </w:pPr>
      <w:r>
        <w:tab/>
      </w:r>
      <w:r>
        <w:tab/>
      </w:r>
      <w:r>
        <w:rPr>
          <w:rFonts w:hint="eastAsia"/>
        </w:rPr>
        <w:t>经济和社会福利</w:t>
      </w:r>
    </w:p>
    <w:p w:rsidR="005B0D71" w:rsidRDefault="005B0D71" w:rsidP="005B0D71">
      <w:pPr>
        <w:pStyle w:val="SingleTxtG"/>
        <w:tabs>
          <w:tab w:val="left" w:pos="1701"/>
        </w:tabs>
        <w:spacing w:line="320" w:lineRule="exact"/>
        <w:ind w:left="1276"/>
        <w:rPr>
          <w:sz w:val="21"/>
          <w:szCs w:val="21"/>
          <w:lang w:eastAsia="zh-CN"/>
        </w:rPr>
      </w:pPr>
      <w:r>
        <w:rPr>
          <w:sz w:val="21"/>
          <w:szCs w:val="21"/>
          <w:lang w:eastAsia="zh-CN"/>
        </w:rPr>
        <w:t>16.</w:t>
      </w:r>
      <w:r>
        <w:rPr>
          <w:sz w:val="21"/>
          <w:szCs w:val="21"/>
          <w:lang w:eastAsia="zh-CN"/>
        </w:rPr>
        <w:tab/>
      </w:r>
      <w:r>
        <w:rPr>
          <w:rFonts w:cs="SimSun" w:hint="eastAsia"/>
          <w:sz w:val="21"/>
          <w:szCs w:val="21"/>
          <w:lang w:val="zh-CN" w:eastAsia="zh-CN"/>
        </w:rPr>
        <w:t>报告提及儿童营养和社会转移支付项目，它向处于弱势地位的儿童的母亲提供了一项津贴（第</w:t>
      </w:r>
      <w:r>
        <w:rPr>
          <w:sz w:val="21"/>
          <w:szCs w:val="21"/>
          <w:lang w:val="zh-CN" w:eastAsia="zh-CN"/>
        </w:rPr>
        <w:t>118</w:t>
      </w:r>
      <w:r>
        <w:rPr>
          <w:rFonts w:cs="SimSun" w:hint="eastAsia"/>
          <w:sz w:val="21"/>
          <w:szCs w:val="21"/>
          <w:lang w:val="zh-CN" w:eastAsia="zh-CN"/>
        </w:rPr>
        <w:t>段）。请提供资料说明该项目执行所取得的进展。还请说明采取了哪些措施增加妇女获得小额信贷的机会。</w:t>
      </w:r>
    </w:p>
    <w:p w:rsidR="005B0D71" w:rsidRDefault="005B0D71" w:rsidP="005B0D71">
      <w:pPr>
        <w:pStyle w:val="HChGC"/>
        <w:ind w:left="1276" w:hanging="1276"/>
      </w:pPr>
      <w:r>
        <w:tab/>
      </w:r>
      <w:r>
        <w:tab/>
      </w:r>
      <w:r>
        <w:rPr>
          <w:rFonts w:hint="eastAsia"/>
        </w:rPr>
        <w:t>农村妇女</w:t>
      </w:r>
    </w:p>
    <w:p w:rsidR="005B0D71" w:rsidRDefault="005B0D71" w:rsidP="005B0D71">
      <w:pPr>
        <w:pStyle w:val="SingleTxtG"/>
        <w:tabs>
          <w:tab w:val="left" w:pos="1701"/>
        </w:tabs>
        <w:spacing w:line="320" w:lineRule="exact"/>
        <w:ind w:left="1276"/>
        <w:rPr>
          <w:color w:val="000000"/>
          <w:sz w:val="21"/>
          <w:szCs w:val="21"/>
          <w:lang w:eastAsia="zh-CN"/>
        </w:rPr>
      </w:pPr>
      <w:r>
        <w:rPr>
          <w:sz w:val="21"/>
          <w:szCs w:val="21"/>
          <w:lang w:eastAsia="zh-CN"/>
        </w:rPr>
        <w:t>17.</w:t>
      </w:r>
      <w:r>
        <w:rPr>
          <w:sz w:val="21"/>
          <w:szCs w:val="21"/>
          <w:lang w:eastAsia="zh-CN"/>
        </w:rPr>
        <w:tab/>
      </w:r>
      <w:r>
        <w:rPr>
          <w:rFonts w:cs="SimSun" w:hint="eastAsia"/>
          <w:sz w:val="21"/>
          <w:szCs w:val="21"/>
          <w:lang w:val="zh-CN" w:eastAsia="zh-CN"/>
        </w:rPr>
        <w:t>报告指出，《农林牧指导法》制定并落实了一套农林牧业社会保障体系（第</w:t>
      </w:r>
      <w:r>
        <w:rPr>
          <w:sz w:val="21"/>
          <w:szCs w:val="21"/>
          <w:lang w:val="zh-CN" w:eastAsia="zh-CN"/>
        </w:rPr>
        <w:t>133</w:t>
      </w:r>
      <w:r>
        <w:rPr>
          <w:rFonts w:cs="SimSun" w:hint="eastAsia"/>
          <w:sz w:val="21"/>
          <w:szCs w:val="21"/>
          <w:lang w:val="zh-CN" w:eastAsia="zh-CN"/>
        </w:rPr>
        <w:t>段）。请提供有关该体系提供的社会保障和有关这方面取得的进展的详细情况。报告还提及《饮水和卫生千年方案》（第</w:t>
      </w:r>
      <w:r>
        <w:rPr>
          <w:sz w:val="21"/>
          <w:szCs w:val="21"/>
          <w:lang w:val="zh-CN" w:eastAsia="zh-CN"/>
        </w:rPr>
        <w:t>138</w:t>
      </w:r>
      <w:r>
        <w:rPr>
          <w:rFonts w:cs="SimSun" w:hint="eastAsia"/>
          <w:sz w:val="21"/>
          <w:szCs w:val="21"/>
          <w:lang w:val="zh-CN" w:eastAsia="zh-CN"/>
        </w:rPr>
        <w:t>段）。请提供资料说明该规划的预算分配及其影响，包括城乡地区安全饮用水和卫生设施的获得率以及该体系的可持续性。另外，请提供资料说明监测各项影响到农村妇女生活水平的政策和方案执行情况的现行机制（第</w:t>
      </w:r>
      <w:r>
        <w:rPr>
          <w:rFonts w:cs="SimSun"/>
          <w:sz w:val="21"/>
          <w:szCs w:val="21"/>
          <w:lang w:val="zh-CN" w:eastAsia="zh-CN"/>
        </w:rPr>
        <w:t>39</w:t>
      </w:r>
      <w:r>
        <w:rPr>
          <w:rFonts w:cs="SimSun" w:hint="eastAsia"/>
          <w:sz w:val="21"/>
          <w:szCs w:val="21"/>
          <w:lang w:val="zh-CN" w:eastAsia="zh-CN"/>
        </w:rPr>
        <w:t>段）。请说明缔约国是否系统地将一种性别观点纳入各项旨在对农村妇女提供支持的现行方案，是否系统地提供定向支助以增加她们获得保健服务、教育、司法、就业、经济发展项目、信贷和土地所有权的机会，以及是否系统地促进她们参与决策过程，包括农村规划委员会的决策过程。</w:t>
      </w:r>
    </w:p>
    <w:p w:rsidR="005B0D71" w:rsidRDefault="005B0D71" w:rsidP="005B0D71">
      <w:pPr>
        <w:pStyle w:val="SingleTxtG"/>
        <w:tabs>
          <w:tab w:val="left" w:pos="1701"/>
        </w:tabs>
        <w:spacing w:line="320" w:lineRule="exact"/>
        <w:ind w:left="1276"/>
        <w:rPr>
          <w:sz w:val="21"/>
          <w:szCs w:val="21"/>
          <w:lang w:eastAsia="zh-CN"/>
        </w:rPr>
      </w:pPr>
      <w:r>
        <w:rPr>
          <w:sz w:val="21"/>
          <w:szCs w:val="21"/>
          <w:lang w:eastAsia="zh-CN"/>
        </w:rPr>
        <w:t>18.</w:t>
      </w:r>
      <w:r>
        <w:rPr>
          <w:sz w:val="21"/>
          <w:szCs w:val="21"/>
          <w:lang w:eastAsia="zh-CN"/>
        </w:rPr>
        <w:tab/>
      </w:r>
      <w:r>
        <w:rPr>
          <w:rFonts w:cs="SimSun" w:hint="eastAsia"/>
          <w:sz w:val="21"/>
          <w:szCs w:val="21"/>
          <w:lang w:val="zh-CN" w:eastAsia="zh-CN"/>
        </w:rPr>
        <w:t>报告指出，将妇女排除在土地继承之外的做法仍然持续存在（第</w:t>
      </w:r>
      <w:r>
        <w:rPr>
          <w:sz w:val="21"/>
          <w:szCs w:val="21"/>
          <w:lang w:val="zh-CN" w:eastAsia="zh-CN"/>
        </w:rPr>
        <w:t>123</w:t>
      </w:r>
      <w:r>
        <w:rPr>
          <w:rFonts w:cs="SimSun" w:hint="eastAsia"/>
          <w:sz w:val="21"/>
          <w:szCs w:val="21"/>
          <w:lang w:val="zh-CN" w:eastAsia="zh-CN"/>
        </w:rPr>
        <w:t>段）。请告知委员会已采取哪些措施以确保严格执行其立法框架，使妇女得以继承土地；以及采取了或打算采取哪些措施引入干预机制，支持妇女获得土地保有权。</w:t>
      </w:r>
    </w:p>
    <w:p w:rsidR="005B0D71" w:rsidRDefault="005B0D71" w:rsidP="005B0D71">
      <w:pPr>
        <w:pStyle w:val="HChGC"/>
        <w:ind w:left="1276" w:hanging="1276"/>
      </w:pPr>
      <w:r>
        <w:tab/>
      </w:r>
      <w:r>
        <w:tab/>
      </w:r>
      <w:r>
        <w:rPr>
          <w:rFonts w:hint="eastAsia"/>
        </w:rPr>
        <w:t>弱势妇女群体</w:t>
      </w:r>
    </w:p>
    <w:p w:rsidR="005B0D71" w:rsidRDefault="005B0D71" w:rsidP="005B0D71">
      <w:pPr>
        <w:pStyle w:val="SingleTxtG"/>
        <w:tabs>
          <w:tab w:val="left" w:pos="1701"/>
        </w:tabs>
        <w:spacing w:line="320" w:lineRule="exact"/>
        <w:ind w:left="1276"/>
        <w:rPr>
          <w:sz w:val="21"/>
          <w:szCs w:val="21"/>
          <w:lang w:eastAsia="zh-CN"/>
        </w:rPr>
      </w:pPr>
      <w:r>
        <w:rPr>
          <w:sz w:val="21"/>
          <w:szCs w:val="21"/>
          <w:lang w:eastAsia="zh-CN"/>
        </w:rPr>
        <w:t>19.</w:t>
      </w:r>
      <w:r>
        <w:rPr>
          <w:sz w:val="21"/>
          <w:szCs w:val="21"/>
          <w:lang w:eastAsia="zh-CN"/>
        </w:rPr>
        <w:tab/>
      </w:r>
      <w:r>
        <w:rPr>
          <w:rFonts w:cs="SimSun" w:hint="eastAsia"/>
          <w:sz w:val="21"/>
          <w:szCs w:val="21"/>
          <w:lang w:val="zh-CN" w:eastAsia="zh-CN"/>
        </w:rPr>
        <w:t>请提供资料说明妇女在拘留设施中的境况和条件。尤其请说明被拘留的妇女和女童是否被分开关押，以及是否制定了对性别问题有敏感认识的措施以确保适当待遇，包括供应充足的食物和适当的卫生保健设施。请提供资料说明采取了和打算采取哪些措施确保弱势妇女群体，包括残疾妇女、老年妇女、白化病妇女和女性难民，能够实际获得卫生保健服务、教育、水、粮食、住房和参与创收活动。</w:t>
      </w:r>
    </w:p>
    <w:p w:rsidR="005B0D71" w:rsidRDefault="005B0D71" w:rsidP="005B0D71">
      <w:pPr>
        <w:pStyle w:val="HChGC"/>
        <w:ind w:left="1276" w:hanging="1276"/>
      </w:pPr>
      <w:r>
        <w:tab/>
      </w:r>
      <w:r>
        <w:tab/>
      </w:r>
      <w:r>
        <w:rPr>
          <w:rFonts w:hint="eastAsia"/>
        </w:rPr>
        <w:t>婚姻和家庭关系</w:t>
      </w:r>
    </w:p>
    <w:p w:rsidR="005B0D71" w:rsidRDefault="005B0D71" w:rsidP="005B0D71">
      <w:pPr>
        <w:pStyle w:val="SingleTxtG"/>
        <w:tabs>
          <w:tab w:val="left" w:pos="1701"/>
        </w:tabs>
        <w:spacing w:line="320" w:lineRule="exact"/>
        <w:ind w:left="1276"/>
        <w:rPr>
          <w:sz w:val="21"/>
          <w:szCs w:val="21"/>
          <w:vertAlign w:val="superscript"/>
          <w:lang w:eastAsia="zh-CN"/>
        </w:rPr>
      </w:pPr>
      <w:r>
        <w:rPr>
          <w:sz w:val="21"/>
          <w:szCs w:val="21"/>
          <w:lang w:eastAsia="zh-CN"/>
        </w:rPr>
        <w:t>20.</w:t>
      </w:r>
      <w:r>
        <w:rPr>
          <w:sz w:val="21"/>
          <w:szCs w:val="21"/>
          <w:lang w:eastAsia="zh-CN"/>
        </w:rPr>
        <w:tab/>
      </w:r>
      <w:r>
        <w:rPr>
          <w:rFonts w:cs="SimSun" w:hint="eastAsia"/>
          <w:sz w:val="21"/>
          <w:szCs w:val="21"/>
          <w:lang w:val="zh-CN" w:eastAsia="zh-CN"/>
        </w:rPr>
        <w:t>报告提及《家庭法典》包含大量歧视性规定，该法典与各项习俗共存（第</w:t>
      </w:r>
      <w:r>
        <w:rPr>
          <w:sz w:val="21"/>
          <w:szCs w:val="21"/>
          <w:lang w:val="zh-CN" w:eastAsia="zh-CN"/>
        </w:rPr>
        <w:t>33</w:t>
      </w:r>
      <w:r>
        <w:rPr>
          <w:rFonts w:cs="SimSun" w:hint="eastAsia"/>
          <w:sz w:val="21"/>
          <w:szCs w:val="21"/>
          <w:lang w:val="zh-CN" w:eastAsia="zh-CN"/>
        </w:rPr>
        <w:t>、</w:t>
      </w:r>
      <w:r>
        <w:rPr>
          <w:sz w:val="21"/>
          <w:szCs w:val="21"/>
          <w:lang w:val="zh-CN" w:eastAsia="zh-CN"/>
        </w:rPr>
        <w:t>40</w:t>
      </w:r>
      <w:r>
        <w:rPr>
          <w:rFonts w:cs="SimSun" w:hint="eastAsia"/>
          <w:sz w:val="21"/>
          <w:szCs w:val="21"/>
          <w:lang w:val="zh-CN" w:eastAsia="zh-CN"/>
        </w:rPr>
        <w:t>和</w:t>
      </w:r>
      <w:r>
        <w:rPr>
          <w:sz w:val="21"/>
          <w:szCs w:val="21"/>
          <w:lang w:val="zh-CN" w:eastAsia="zh-CN"/>
        </w:rPr>
        <w:t>142-155</w:t>
      </w:r>
      <w:r>
        <w:rPr>
          <w:rFonts w:cs="SimSun" w:hint="eastAsia"/>
          <w:sz w:val="21"/>
          <w:szCs w:val="21"/>
          <w:lang w:val="zh-CN" w:eastAsia="zh-CN"/>
        </w:rPr>
        <w:t>段）。请说明打算取消《家庭法典》中所有歧视性规定的时限，这些规定包括：关于男女最低婚姻年龄不同的规定（第</w:t>
      </w:r>
      <w:r>
        <w:rPr>
          <w:sz w:val="21"/>
          <w:szCs w:val="21"/>
          <w:lang w:val="zh-CN" w:eastAsia="zh-CN"/>
        </w:rPr>
        <w:t>11</w:t>
      </w:r>
      <w:r>
        <w:rPr>
          <w:rFonts w:cs="SimSun" w:hint="eastAsia"/>
          <w:sz w:val="21"/>
          <w:szCs w:val="21"/>
          <w:lang w:val="zh-CN" w:eastAsia="zh-CN"/>
        </w:rPr>
        <w:t>条）、关于丈夫作为户主的规定（第</w:t>
      </w:r>
      <w:r>
        <w:rPr>
          <w:sz w:val="21"/>
          <w:szCs w:val="21"/>
          <w:lang w:val="zh-CN" w:eastAsia="zh-CN"/>
        </w:rPr>
        <w:t>277</w:t>
      </w:r>
      <w:r>
        <w:rPr>
          <w:rFonts w:cs="SimSun" w:hint="eastAsia"/>
          <w:sz w:val="21"/>
          <w:szCs w:val="21"/>
          <w:lang w:val="zh-CN" w:eastAsia="zh-CN"/>
        </w:rPr>
        <w:t>条和第</w:t>
      </w:r>
      <w:r>
        <w:rPr>
          <w:sz w:val="21"/>
          <w:szCs w:val="21"/>
          <w:lang w:val="zh-CN" w:eastAsia="zh-CN"/>
        </w:rPr>
        <w:t>152</w:t>
      </w:r>
      <w:r>
        <w:rPr>
          <w:rFonts w:cs="SimSun" w:hint="eastAsia"/>
          <w:sz w:val="21"/>
          <w:szCs w:val="21"/>
          <w:lang w:val="zh-CN" w:eastAsia="zh-CN"/>
        </w:rPr>
        <w:t>条）、关于居住地选择权由丈夫所有的规定（第</w:t>
      </w:r>
      <w:r>
        <w:rPr>
          <w:sz w:val="21"/>
          <w:szCs w:val="21"/>
          <w:lang w:val="zh-CN" w:eastAsia="zh-CN"/>
        </w:rPr>
        <w:t>153</w:t>
      </w:r>
      <w:r>
        <w:rPr>
          <w:rFonts w:cs="SimSun" w:hint="eastAsia"/>
          <w:sz w:val="21"/>
          <w:szCs w:val="21"/>
          <w:lang w:val="zh-CN" w:eastAsia="zh-CN"/>
        </w:rPr>
        <w:t>条）、关于一夫多妻制的规定（第</w:t>
      </w:r>
      <w:r>
        <w:rPr>
          <w:sz w:val="21"/>
          <w:szCs w:val="21"/>
          <w:lang w:val="zh-CN" w:eastAsia="zh-CN"/>
        </w:rPr>
        <w:t>116</w:t>
      </w:r>
      <w:r>
        <w:rPr>
          <w:rFonts w:cs="SimSun" w:hint="eastAsia"/>
          <w:sz w:val="21"/>
          <w:szCs w:val="21"/>
          <w:lang w:val="zh-CN" w:eastAsia="zh-CN"/>
        </w:rPr>
        <w:t>条）、关于终止订婚的歧视性规定（第</w:t>
      </w:r>
      <w:r>
        <w:rPr>
          <w:sz w:val="21"/>
          <w:szCs w:val="21"/>
          <w:lang w:val="zh-CN" w:eastAsia="zh-CN"/>
        </w:rPr>
        <w:t>116</w:t>
      </w:r>
      <w:r>
        <w:rPr>
          <w:rFonts w:cs="SimSun" w:hint="eastAsia"/>
          <w:sz w:val="21"/>
          <w:szCs w:val="21"/>
          <w:lang w:val="zh-CN" w:eastAsia="zh-CN"/>
        </w:rPr>
        <w:t>条）、关于在继承权方面歧视穆斯林妇女的规定（第</w:t>
      </w:r>
      <w:r>
        <w:rPr>
          <w:sz w:val="21"/>
          <w:szCs w:val="21"/>
          <w:lang w:val="zh-CN" w:eastAsia="zh-CN"/>
        </w:rPr>
        <w:t>637</w:t>
      </w:r>
      <w:r>
        <w:rPr>
          <w:rFonts w:cs="SimSun" w:hint="eastAsia"/>
          <w:sz w:val="21"/>
          <w:szCs w:val="21"/>
          <w:lang w:val="zh-CN" w:eastAsia="zh-CN"/>
        </w:rPr>
        <w:t>条）以及关于离婚情况下财产份额不平等的规定（第</w:t>
      </w:r>
      <w:r>
        <w:rPr>
          <w:sz w:val="21"/>
          <w:szCs w:val="21"/>
          <w:lang w:val="zh-CN" w:eastAsia="zh-CN"/>
        </w:rPr>
        <w:t>381</w:t>
      </w:r>
      <w:r>
        <w:rPr>
          <w:rFonts w:cs="SimSun" w:hint="eastAsia"/>
          <w:sz w:val="21"/>
          <w:szCs w:val="21"/>
          <w:lang w:val="zh-CN" w:eastAsia="zh-CN"/>
        </w:rPr>
        <w:t>条）。还请提供资料说明采取了哪些措施以消除在土地继承权方面歧视妇女的习俗，并说明民事法院是否能对此类案件提供救济。</w:t>
      </w:r>
    </w:p>
    <w:p w:rsidR="005B0D71" w:rsidRDefault="005B0D71" w:rsidP="005B0D71">
      <w:pPr>
        <w:pStyle w:val="HChGC"/>
        <w:ind w:left="1276" w:hanging="1276"/>
      </w:pPr>
      <w:r>
        <w:tab/>
      </w:r>
      <w:r>
        <w:tab/>
      </w:r>
      <w:r>
        <w:rPr>
          <w:rFonts w:hint="eastAsia"/>
        </w:rPr>
        <w:t>《公约》第</w:t>
      </w:r>
      <w:r>
        <w:t>20</w:t>
      </w:r>
      <w:r>
        <w:rPr>
          <w:rFonts w:hint="eastAsia"/>
        </w:rPr>
        <w:t>条第</w:t>
      </w:r>
      <w:r>
        <w:t>1</w:t>
      </w:r>
      <w:r>
        <w:rPr>
          <w:rFonts w:hint="eastAsia"/>
        </w:rPr>
        <w:t>款的修正</w:t>
      </w:r>
    </w:p>
    <w:p w:rsidR="005B0D71" w:rsidRDefault="005B0D71" w:rsidP="005B0D71">
      <w:pPr>
        <w:pStyle w:val="SingleTxtG"/>
        <w:tabs>
          <w:tab w:val="left" w:pos="1701"/>
        </w:tabs>
        <w:spacing w:line="320" w:lineRule="exact"/>
        <w:ind w:left="1276"/>
        <w:rPr>
          <w:sz w:val="21"/>
          <w:szCs w:val="21"/>
          <w:lang w:eastAsia="zh-CN"/>
        </w:rPr>
      </w:pPr>
      <w:r>
        <w:rPr>
          <w:sz w:val="21"/>
          <w:szCs w:val="21"/>
          <w:lang w:eastAsia="zh-CN"/>
        </w:rPr>
        <w:t>21.</w:t>
      </w:r>
      <w:r>
        <w:rPr>
          <w:sz w:val="21"/>
          <w:szCs w:val="21"/>
          <w:lang w:eastAsia="zh-CN"/>
        </w:rPr>
        <w:tab/>
      </w:r>
      <w:r>
        <w:rPr>
          <w:rFonts w:hint="eastAsia"/>
          <w:sz w:val="21"/>
          <w:szCs w:val="21"/>
          <w:lang w:eastAsia="zh-CN"/>
        </w:rPr>
        <w:t>请说明在接受《公约》关于委员会会议时间的第</w:t>
      </w:r>
      <w:r>
        <w:rPr>
          <w:sz w:val="21"/>
          <w:szCs w:val="21"/>
          <w:lang w:eastAsia="zh-CN"/>
        </w:rPr>
        <w:t>20</w:t>
      </w:r>
      <w:r>
        <w:rPr>
          <w:rFonts w:hint="eastAsia"/>
          <w:sz w:val="21"/>
          <w:szCs w:val="21"/>
          <w:lang w:eastAsia="zh-CN"/>
        </w:rPr>
        <w:t>条第</w:t>
      </w:r>
      <w:r>
        <w:rPr>
          <w:sz w:val="21"/>
          <w:szCs w:val="21"/>
          <w:lang w:eastAsia="zh-CN"/>
        </w:rPr>
        <w:t>1</w:t>
      </w:r>
      <w:r>
        <w:rPr>
          <w:rFonts w:hint="eastAsia"/>
          <w:sz w:val="21"/>
          <w:szCs w:val="21"/>
          <w:lang w:eastAsia="zh-CN"/>
        </w:rPr>
        <w:t>款的修正方面所取得的进展。</w:t>
      </w:r>
    </w:p>
    <w:p w:rsidR="005B0D71" w:rsidRDefault="005B0D71" w:rsidP="005B0D71">
      <w:pPr>
        <w:spacing w:before="120"/>
        <w:jc w:val="center"/>
        <w:rPr>
          <w:u w:val="single"/>
        </w:rPr>
      </w:pPr>
      <w:r>
        <w:rPr>
          <w:u w:val="single"/>
        </w:rPr>
        <w:tab/>
      </w:r>
      <w:r>
        <w:rPr>
          <w:u w:val="single"/>
        </w:rPr>
        <w:tab/>
      </w:r>
      <w:r>
        <w:rPr>
          <w:u w:val="single"/>
        </w:rPr>
        <w:tab/>
      </w:r>
      <w:r>
        <w:rPr>
          <w:u w:val="single"/>
        </w:rPr>
        <w:tab/>
      </w:r>
    </w:p>
    <w:p w:rsidR="0033740E" w:rsidRPr="0033740E" w:rsidRDefault="0033740E" w:rsidP="00FC6F9A">
      <w:pPr>
        <w:pStyle w:val="SingleTxt"/>
      </w:pPr>
    </w:p>
    <w:sectPr w:rsidR="0033740E" w:rsidRPr="0033740E" w:rsidSect="00FC6F9A">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2-15T10:34:00Z" w:initials="Start">
    <w:p w:rsidR="00FC6F9A" w:rsidRDefault="00FC6F9A">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1471E8">
        <w:fldChar w:fldCharType="separate"/>
      </w:r>
      <w:r w:rsidR="001471E8">
        <w:rPr>
          <w:rFonts w:hint="eastAsia"/>
          <w:noProof/>
        </w:rPr>
        <w:t>页</w:t>
      </w:r>
      <w:r w:rsidR="001471E8">
        <w:rPr>
          <w:rFonts w:hint="eastAsia"/>
          <w:noProof/>
        </w:rPr>
        <w:t xml:space="preserve">: </w:t>
      </w:r>
      <w:r w:rsidR="001471E8">
        <w:rPr>
          <w:noProof/>
        </w:rPr>
        <w:t>1</w:t>
      </w:r>
      <w:r w:rsidR="001471E8">
        <w:rPr>
          <w:rFonts w:hint="eastAsia"/>
          <w:noProof/>
        </w:rPr>
        <w:br/>
      </w:r>
      <w:r>
        <w:fldChar w:fldCharType="end"/>
      </w:r>
      <w:r>
        <w:rPr>
          <w:rStyle w:val="CommentReference"/>
        </w:rPr>
        <w:annotationRef/>
      </w:r>
      <w:r>
        <w:t>&lt;&lt;ODS JOB NO&gt;&gt;N1463344C&lt;&lt;ODS JOB NO&gt;&gt;</w:t>
      </w:r>
    </w:p>
    <w:p w:rsidR="00FC6F9A" w:rsidRDefault="00FC6F9A">
      <w:pPr>
        <w:pStyle w:val="CommentText"/>
      </w:pPr>
      <w:r>
        <w:t>&lt;&lt;ODS DOC SYMBOL1&gt;&gt;CEDAW/C/SEN/Q/3-7&lt;&lt;ODS DOC SYMBOL1&gt;&gt;</w:t>
      </w:r>
    </w:p>
    <w:p w:rsidR="00FC6F9A" w:rsidRDefault="00FC6F9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284F" w:rsidRDefault="00CB284F">
      <w:r>
        <w:separator/>
      </w:r>
    </w:p>
  </w:endnote>
  <w:endnote w:type="continuationSeparator" w:id="0">
    <w:p w:rsidR="00CB284F" w:rsidRDefault="00CB284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FC6F9A" w:rsidTr="00FC6F9A">
      <w:tblPrEx>
        <w:tblCellMar>
          <w:top w:w="0" w:type="dxa"/>
          <w:bottom w:w="0" w:type="dxa"/>
        </w:tblCellMar>
      </w:tblPrEx>
      <w:tc>
        <w:tcPr>
          <w:tcW w:w="5028" w:type="dxa"/>
          <w:shd w:val="clear" w:color="auto" w:fill="auto"/>
        </w:tcPr>
        <w:p w:rsidR="00FC6F9A" w:rsidRPr="00FC6F9A" w:rsidRDefault="00FC6F9A" w:rsidP="00FC6F9A">
          <w:pPr>
            <w:pStyle w:val="Footer"/>
            <w:jc w:val="right"/>
            <w:rPr>
              <w:b w:val="0"/>
              <w:w w:val="103"/>
              <w:sz w:val="14"/>
            </w:rPr>
          </w:pPr>
          <w:fldSimple w:instr=" DOCVARIABLE &quot;FooterJN&quot; \* MERGEFORMAT ">
            <w:r w:rsidR="001471E8">
              <w:rPr>
                <w:b w:val="0"/>
                <w:w w:val="103"/>
                <w:sz w:val="14"/>
              </w:rPr>
              <w:t>14-64936 (C)</w:t>
            </w:r>
          </w:fldSimple>
        </w:p>
      </w:tc>
      <w:tc>
        <w:tcPr>
          <w:tcW w:w="5028" w:type="dxa"/>
          <w:shd w:val="clear" w:color="auto" w:fill="auto"/>
        </w:tcPr>
        <w:p w:rsidR="00FC6F9A" w:rsidRPr="00FC6F9A" w:rsidRDefault="00FC6F9A" w:rsidP="00FC6F9A">
          <w:pPr>
            <w:pStyle w:val="Footer"/>
            <w:jc w:val="left"/>
            <w:rPr>
              <w:w w:val="103"/>
            </w:rPr>
          </w:pPr>
          <w:r>
            <w:rPr>
              <w:w w:val="103"/>
            </w:rPr>
            <w:fldChar w:fldCharType="begin"/>
          </w:r>
          <w:r>
            <w:rPr>
              <w:w w:val="103"/>
            </w:rPr>
            <w:instrText xml:space="preserve"> PAGE  \* Arabic  \* MERGEFORMAT </w:instrText>
          </w:r>
          <w:r>
            <w:rPr>
              <w:w w:val="103"/>
            </w:rPr>
            <w:fldChar w:fldCharType="separate"/>
          </w:r>
          <w:r w:rsidR="002957D3">
            <w:rPr>
              <w:w w:val="103"/>
            </w:rPr>
            <w:t>2</w:t>
          </w:r>
          <w:r>
            <w:rPr>
              <w:w w:val="103"/>
            </w:rPr>
            <w:fldChar w:fldCharType="end"/>
          </w:r>
          <w:r>
            <w:rPr>
              <w:w w:val="103"/>
            </w:rPr>
            <w:t>/</w:t>
          </w:r>
          <w:fldSimple w:instr=" NUMPAGES  \* Arabic  \* MERGEFORMAT ">
            <w:r w:rsidR="002957D3">
              <w:rPr>
                <w:w w:val="103"/>
              </w:rPr>
              <w:t>6</w:t>
            </w:r>
          </w:fldSimple>
        </w:p>
      </w:tc>
    </w:tr>
  </w:tbl>
  <w:p w:rsidR="00FC6F9A" w:rsidRPr="00FC6F9A" w:rsidRDefault="00FC6F9A" w:rsidP="00FC6F9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FC6F9A" w:rsidTr="00FC6F9A">
      <w:tblPrEx>
        <w:tblCellMar>
          <w:top w:w="0" w:type="dxa"/>
          <w:bottom w:w="0" w:type="dxa"/>
        </w:tblCellMar>
      </w:tblPrEx>
      <w:tc>
        <w:tcPr>
          <w:tcW w:w="5028" w:type="dxa"/>
          <w:shd w:val="clear" w:color="auto" w:fill="auto"/>
        </w:tcPr>
        <w:p w:rsidR="00FC6F9A" w:rsidRPr="00FC6F9A" w:rsidRDefault="00FC6F9A" w:rsidP="00FC6F9A">
          <w:pPr>
            <w:pStyle w:val="Footer"/>
            <w:jc w:val="right"/>
          </w:pPr>
          <w:fldSimple w:instr=" PAGE  \* Arabic  \* MERGEFORMAT ">
            <w:r w:rsidR="002957D3">
              <w:t>5</w:t>
            </w:r>
          </w:fldSimple>
          <w:r>
            <w:t>/</w:t>
          </w:r>
          <w:fldSimple w:instr=" NUMPAGES  \* Arabic  \* MERGEFORMAT ">
            <w:r w:rsidR="002957D3">
              <w:t>6</w:t>
            </w:r>
          </w:fldSimple>
        </w:p>
      </w:tc>
      <w:tc>
        <w:tcPr>
          <w:tcW w:w="5028" w:type="dxa"/>
          <w:shd w:val="clear" w:color="auto" w:fill="auto"/>
        </w:tcPr>
        <w:p w:rsidR="00FC6F9A" w:rsidRPr="00FC6F9A" w:rsidRDefault="00FC6F9A" w:rsidP="00FC6F9A">
          <w:pPr>
            <w:pStyle w:val="Footer"/>
            <w:jc w:val="left"/>
            <w:rPr>
              <w:b w:val="0"/>
              <w:w w:val="103"/>
              <w:sz w:val="14"/>
            </w:rPr>
          </w:pPr>
          <w:fldSimple w:instr=" DOCVARIABLE &quot;FooterJN&quot; \* MERGEFORMAT ">
            <w:r w:rsidR="001471E8">
              <w:rPr>
                <w:b w:val="0"/>
                <w:w w:val="103"/>
                <w:sz w:val="14"/>
              </w:rPr>
              <w:t>14-64936 (C)</w:t>
            </w:r>
          </w:fldSimple>
        </w:p>
      </w:tc>
    </w:tr>
  </w:tbl>
  <w:p w:rsidR="00FC6F9A" w:rsidRPr="00FC6F9A" w:rsidRDefault="00FC6F9A" w:rsidP="00FC6F9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686"/>
      <w:gridCol w:w="5028"/>
    </w:tblGrid>
    <w:tr w:rsidR="00FC6F9A" w:rsidTr="00FC6F9A">
      <w:tblPrEx>
        <w:tblCellMar>
          <w:top w:w="0" w:type="dxa"/>
          <w:bottom w:w="0" w:type="dxa"/>
        </w:tblCellMar>
      </w:tblPrEx>
      <w:tc>
        <w:tcPr>
          <w:tcW w:w="3686" w:type="dxa"/>
        </w:tcPr>
        <w:p w:rsidR="00FC6F9A" w:rsidRDefault="00FC6F9A" w:rsidP="00FC6F9A">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45pt;margin-top:-71.85pt;width:60.85pt;height:57.85pt;z-index:1;mso-position-horizontal-relative:page;mso-position-vertical-relative:page" o:preferrelative="f" filled="t">
                <v:imagedata r:id="rId1" o:title="3-7Size =1Lang = C"/>
                <w10:wrap anchorx="page" anchory="page"/>
              </v:shape>
            </w:pict>
          </w:r>
          <w:r w:rsidR="002957D3" w:rsidRPr="002957D3">
            <w:t>14-64936 X (C)</w:t>
          </w:r>
          <w:r>
            <w:t xml:space="preserve">    151214    151214</w:t>
          </w:r>
        </w:p>
        <w:p w:rsidR="00FC6F9A" w:rsidRPr="00FC6F9A" w:rsidRDefault="00FC6F9A" w:rsidP="00FC6F9A">
          <w:pPr>
            <w:spacing w:before="80" w:line="210" w:lineRule="exact"/>
            <w:rPr>
              <w:rFonts w:ascii="Barcode 3 of 9 by request" w:hAnsi="Barcode 3 of 9 by request"/>
              <w:sz w:val="24"/>
            </w:rPr>
          </w:pPr>
          <w:r>
            <w:rPr>
              <w:rFonts w:ascii="Barcode 3 of 9 by request" w:hAnsi="Barcode 3 of 9 by request"/>
              <w:sz w:val="24"/>
            </w:rPr>
            <w:t>*1464936*</w:t>
          </w:r>
        </w:p>
      </w:tc>
      <w:tc>
        <w:tcPr>
          <w:tcW w:w="5028" w:type="dxa"/>
        </w:tcPr>
        <w:p w:rsidR="00FC6F9A" w:rsidRDefault="00FC6F9A" w:rsidP="00FC6F9A">
          <w:pPr>
            <w:pStyle w:val="Footer"/>
            <w:jc w:val="right"/>
            <w:rPr>
              <w:b w:val="0"/>
              <w:sz w:val="21"/>
            </w:rPr>
          </w:pPr>
          <w:r>
            <w:rPr>
              <w:b w:val="0"/>
              <w:sz w:val="21"/>
            </w:rPr>
            <w:pict>
              <v:shape id="_x0000_i1026" type="#_x0000_t75" style="width:48.75pt;height:18pt">
                <v:imagedata r:id="rId2" o:title="recycle_Chinese"/>
              </v:shape>
            </w:pict>
          </w:r>
        </w:p>
      </w:tc>
    </w:tr>
  </w:tbl>
  <w:p w:rsidR="00FC6F9A" w:rsidRPr="00FC6F9A" w:rsidRDefault="00FC6F9A" w:rsidP="00FC6F9A">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284F" w:rsidRPr="005B0D71" w:rsidRDefault="00CB284F" w:rsidP="005B0D71">
      <w:pPr>
        <w:pStyle w:val="Footer"/>
        <w:spacing w:after="80"/>
        <w:ind w:left="792"/>
        <w:rPr>
          <w:sz w:val="16"/>
        </w:rPr>
      </w:pPr>
      <w:r w:rsidRPr="005B0D71">
        <w:rPr>
          <w:sz w:val="16"/>
        </w:rPr>
        <w:t>__________________</w:t>
      </w:r>
    </w:p>
  </w:footnote>
  <w:footnote w:type="continuationSeparator" w:id="0">
    <w:p w:rsidR="00CB284F" w:rsidRPr="005B0D71" w:rsidRDefault="00CB284F" w:rsidP="005B0D71">
      <w:pPr>
        <w:pStyle w:val="Footer"/>
        <w:spacing w:after="80"/>
        <w:ind w:left="792"/>
        <w:rPr>
          <w:sz w:val="16"/>
        </w:rPr>
      </w:pPr>
      <w:r w:rsidRPr="005B0D71">
        <w:rPr>
          <w:sz w:val="16"/>
        </w:rPr>
        <w:t>__________________</w:t>
      </w:r>
    </w:p>
  </w:footnote>
  <w:footnote w:id="1">
    <w:p w:rsidR="005B0D71" w:rsidRDefault="005B0D71" w:rsidP="005B0D71">
      <w:pPr>
        <w:pStyle w:val="FootnoteText"/>
        <w:tabs>
          <w:tab w:val="clear" w:pos="418"/>
          <w:tab w:val="right" w:pos="1195"/>
          <w:tab w:val="left" w:pos="1264"/>
          <w:tab w:val="left" w:pos="1695"/>
          <w:tab w:val="left" w:pos="2126"/>
          <w:tab w:val="left" w:pos="2557"/>
        </w:tabs>
        <w:ind w:left="1264" w:right="1264" w:hanging="432"/>
      </w:pPr>
      <w:r>
        <w:tab/>
        <w:t>*</w:t>
      </w:r>
      <w:r>
        <w:tab/>
      </w:r>
      <w:hyperlink r:id="rId1" w:history="1">
        <w:r w:rsidRPr="001471E8">
          <w:rPr>
            <w:rStyle w:val="Hyperlink"/>
          </w:rPr>
          <w:t>CEDAW/C/61/1</w:t>
        </w:r>
      </w:hyperlink>
      <w:r>
        <w:rPr>
          <w:rFonts w:ascii="SimSun" w:cs="SimSun" w:hint="eastAsia"/>
          <w:lang w:val="zh-CN"/>
        </w:rPr>
        <w:t>。</w:t>
      </w:r>
    </w:p>
  </w:footnote>
  <w:footnote w:id="2">
    <w:p w:rsidR="005B0D71" w:rsidRDefault="005B0D71" w:rsidP="005B0D71">
      <w:pPr>
        <w:pStyle w:val="FootnoteText"/>
        <w:tabs>
          <w:tab w:val="clear" w:pos="418"/>
          <w:tab w:val="right" w:pos="1195"/>
          <w:tab w:val="left" w:pos="1264"/>
          <w:tab w:val="left" w:pos="1695"/>
          <w:tab w:val="left" w:pos="2126"/>
          <w:tab w:val="left" w:pos="2557"/>
        </w:tabs>
        <w:ind w:left="1264" w:right="1264" w:hanging="432"/>
      </w:pPr>
      <w:r>
        <w:tab/>
      </w:r>
      <w:r>
        <w:rPr>
          <w:rStyle w:val="FootnoteReference"/>
          <w:szCs w:val="18"/>
        </w:rPr>
        <w:footnoteRef/>
      </w:r>
      <w:r>
        <w:tab/>
      </w:r>
      <w:r>
        <w:rPr>
          <w:rFonts w:hint="eastAsia"/>
          <w:lang w:val="zh-CN"/>
        </w:rPr>
        <w:t>除非另有说明</w:t>
      </w:r>
      <w:r>
        <w:rPr>
          <w:rFonts w:hint="eastAsia"/>
        </w:rPr>
        <w:t>，</w:t>
      </w:r>
      <w:r>
        <w:rPr>
          <w:rFonts w:hint="eastAsia"/>
          <w:lang w:val="zh-CN"/>
        </w:rPr>
        <w:t>段号均为塞内加尔第三次至第七次合并定期报告</w:t>
      </w:r>
      <w:r>
        <w:rPr>
          <w:rFonts w:hint="eastAsia"/>
        </w:rPr>
        <w:t>（</w:t>
      </w:r>
      <w:hyperlink r:id="rId2" w:history="1">
        <w:r w:rsidRPr="001471E8">
          <w:rPr>
            <w:rStyle w:val="Hyperlink"/>
          </w:rPr>
          <w:t>CEDAW/C/SEN/3-7</w:t>
        </w:r>
        <w:r w:rsidRPr="001471E8">
          <w:rPr>
            <w:rStyle w:val="Hyperlink"/>
            <w:rFonts w:hint="eastAsia"/>
          </w:rPr>
          <w:t>）</w:t>
        </w:r>
        <w:r w:rsidRPr="001471E8">
          <w:rPr>
            <w:rStyle w:val="Hyperlink"/>
            <w:rFonts w:hint="eastAsia"/>
            <w:lang w:val="zh-CN"/>
          </w:rPr>
          <w:t>中的段号</w:t>
        </w:r>
      </w:hyperlink>
      <w:r>
        <w:rPr>
          <w:rFonts w:hint="eastAsia"/>
          <w:lang w:val="zh-CN"/>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FC6F9A" w:rsidTr="00FC6F9A">
      <w:tblPrEx>
        <w:tblCellMar>
          <w:top w:w="0" w:type="dxa"/>
          <w:bottom w:w="0" w:type="dxa"/>
        </w:tblCellMar>
      </w:tblPrEx>
      <w:trPr>
        <w:trHeight w:hRule="exact" w:val="864"/>
      </w:trPr>
      <w:tc>
        <w:tcPr>
          <w:tcW w:w="4838" w:type="dxa"/>
          <w:shd w:val="clear" w:color="auto" w:fill="auto"/>
          <w:vAlign w:val="bottom"/>
        </w:tcPr>
        <w:p w:rsidR="00FC6F9A" w:rsidRPr="00FC6F9A" w:rsidRDefault="00FC6F9A" w:rsidP="00FC6F9A">
          <w:pPr>
            <w:pStyle w:val="Header"/>
            <w:spacing w:after="80"/>
            <w:jc w:val="left"/>
            <w:rPr>
              <w:b/>
              <w:sz w:val="17"/>
            </w:rPr>
          </w:pPr>
          <w:fldSimple w:instr=" DOCVARIABLE &quot;sss1&quot; \* MERGEFORMAT ">
            <w:r w:rsidR="001471E8">
              <w:rPr>
                <w:b/>
                <w:sz w:val="17"/>
              </w:rPr>
              <w:t>CEDAW/C/SEN/Q/3-7</w:t>
            </w:r>
          </w:fldSimple>
        </w:p>
      </w:tc>
      <w:tc>
        <w:tcPr>
          <w:tcW w:w="5028" w:type="dxa"/>
          <w:shd w:val="clear" w:color="auto" w:fill="auto"/>
          <w:vAlign w:val="bottom"/>
        </w:tcPr>
        <w:p w:rsidR="00FC6F9A" w:rsidRDefault="00FC6F9A" w:rsidP="00FC6F9A">
          <w:pPr>
            <w:pStyle w:val="Header"/>
          </w:pPr>
        </w:p>
      </w:tc>
    </w:tr>
  </w:tbl>
  <w:p w:rsidR="00FC6F9A" w:rsidRPr="00FC6F9A" w:rsidRDefault="00FC6F9A" w:rsidP="00FC6F9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FC6F9A" w:rsidTr="00FC6F9A">
      <w:tblPrEx>
        <w:tblCellMar>
          <w:top w:w="0" w:type="dxa"/>
          <w:bottom w:w="0" w:type="dxa"/>
        </w:tblCellMar>
      </w:tblPrEx>
      <w:trPr>
        <w:trHeight w:hRule="exact" w:val="864"/>
      </w:trPr>
      <w:tc>
        <w:tcPr>
          <w:tcW w:w="4838" w:type="dxa"/>
          <w:shd w:val="clear" w:color="auto" w:fill="auto"/>
          <w:vAlign w:val="bottom"/>
        </w:tcPr>
        <w:p w:rsidR="00FC6F9A" w:rsidRDefault="00FC6F9A" w:rsidP="00FC6F9A">
          <w:pPr>
            <w:pStyle w:val="Header"/>
          </w:pPr>
        </w:p>
      </w:tc>
      <w:tc>
        <w:tcPr>
          <w:tcW w:w="5028" w:type="dxa"/>
          <w:shd w:val="clear" w:color="auto" w:fill="auto"/>
          <w:vAlign w:val="bottom"/>
        </w:tcPr>
        <w:p w:rsidR="00FC6F9A" w:rsidRPr="00FC6F9A" w:rsidRDefault="00FC6F9A" w:rsidP="00FC6F9A">
          <w:pPr>
            <w:pStyle w:val="Header"/>
            <w:spacing w:after="80"/>
            <w:jc w:val="right"/>
            <w:rPr>
              <w:b/>
              <w:sz w:val="17"/>
            </w:rPr>
          </w:pPr>
          <w:fldSimple w:instr=" DOCVARIABLE &quot;sss1&quot; \* MERGEFORMAT ">
            <w:r w:rsidR="001471E8">
              <w:rPr>
                <w:b/>
                <w:sz w:val="17"/>
              </w:rPr>
              <w:t>CEDAW/C/SEN/Q/3-7</w:t>
            </w:r>
          </w:fldSimple>
        </w:p>
      </w:tc>
    </w:tr>
  </w:tbl>
  <w:p w:rsidR="00FC6F9A" w:rsidRPr="00FC6F9A" w:rsidRDefault="00FC6F9A" w:rsidP="00FC6F9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FC6F9A" w:rsidTr="00FC6F9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C6F9A" w:rsidRDefault="00FC6F9A" w:rsidP="00FC6F9A">
          <w:pPr>
            <w:pStyle w:val="Header"/>
            <w:spacing w:after="120"/>
          </w:pPr>
        </w:p>
      </w:tc>
      <w:tc>
        <w:tcPr>
          <w:tcW w:w="1872" w:type="dxa"/>
          <w:tcBorders>
            <w:bottom w:val="single" w:sz="4" w:space="0" w:color="auto"/>
          </w:tcBorders>
          <w:shd w:val="clear" w:color="auto" w:fill="auto"/>
          <w:vAlign w:val="bottom"/>
        </w:tcPr>
        <w:p w:rsidR="00FC6F9A" w:rsidRPr="00406847" w:rsidRDefault="00FC6F9A" w:rsidP="00406847">
          <w:pPr>
            <w:pStyle w:val="HCh"/>
            <w:tabs>
              <w:tab w:val="clear" w:pos="431"/>
            </w:tabs>
            <w:overflowPunct/>
            <w:adjustRightInd/>
            <w:snapToGrid/>
            <w:spacing w:after="80"/>
            <w:rPr>
              <w:rFonts w:eastAsia="SimSun"/>
              <w:spacing w:val="40"/>
              <w:w w:val="96"/>
              <w:kern w:val="14"/>
            </w:rPr>
          </w:pPr>
          <w:r w:rsidRPr="00406847">
            <w:rPr>
              <w:rFonts w:eastAsia="SimSun" w:hint="eastAsia"/>
              <w:spacing w:val="40"/>
              <w:w w:val="96"/>
              <w:kern w:val="14"/>
            </w:rPr>
            <w:t>联合国</w:t>
          </w:r>
        </w:p>
      </w:tc>
      <w:tc>
        <w:tcPr>
          <w:tcW w:w="245" w:type="dxa"/>
          <w:tcBorders>
            <w:bottom w:val="single" w:sz="4" w:space="0" w:color="auto"/>
          </w:tcBorders>
          <w:shd w:val="clear" w:color="auto" w:fill="auto"/>
          <w:vAlign w:val="bottom"/>
        </w:tcPr>
        <w:p w:rsidR="00FC6F9A" w:rsidRDefault="00FC6F9A" w:rsidP="00FC6F9A">
          <w:pPr>
            <w:pStyle w:val="Header"/>
            <w:spacing w:after="120"/>
          </w:pPr>
        </w:p>
      </w:tc>
      <w:tc>
        <w:tcPr>
          <w:tcW w:w="6523" w:type="dxa"/>
          <w:gridSpan w:val="3"/>
          <w:tcBorders>
            <w:bottom w:val="single" w:sz="4" w:space="0" w:color="auto"/>
          </w:tcBorders>
          <w:shd w:val="clear" w:color="auto" w:fill="auto"/>
          <w:vAlign w:val="bottom"/>
        </w:tcPr>
        <w:p w:rsidR="00FC6F9A" w:rsidRPr="00FC6F9A" w:rsidRDefault="00FC6F9A" w:rsidP="00FC6F9A">
          <w:pPr>
            <w:spacing w:after="80" w:line="240" w:lineRule="auto"/>
            <w:jc w:val="right"/>
            <w:rPr>
              <w:position w:val="-4"/>
            </w:rPr>
          </w:pPr>
          <w:r>
            <w:rPr>
              <w:position w:val="-4"/>
              <w:sz w:val="40"/>
            </w:rPr>
            <w:t>CEDAW</w:t>
          </w:r>
          <w:r>
            <w:rPr>
              <w:position w:val="-4"/>
            </w:rPr>
            <w:t>/C/SEN/Q/3-7</w:t>
          </w:r>
        </w:p>
      </w:tc>
    </w:tr>
    <w:tr w:rsidR="00FC6F9A" w:rsidRPr="00FC6F9A" w:rsidTr="00FC6F9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C6F9A" w:rsidRPr="00FC6F9A" w:rsidRDefault="00FC6F9A" w:rsidP="00FC6F9A">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FC6F9A" w:rsidRPr="00406847" w:rsidRDefault="00FC6F9A" w:rsidP="00406847">
          <w:pPr>
            <w:pStyle w:val="XLarge"/>
            <w:tabs>
              <w:tab w:val="clear" w:pos="431"/>
            </w:tabs>
            <w:overflowPunct/>
            <w:adjustRightInd/>
            <w:snapToGrid/>
            <w:spacing w:before="109" w:after="140" w:line="400" w:lineRule="exact"/>
            <w:rPr>
              <w:kern w:val="14"/>
              <w:sz w:val="34"/>
            </w:rPr>
          </w:pPr>
          <w:r w:rsidRPr="00406847">
            <w:rPr>
              <w:rFonts w:hint="eastAsia"/>
              <w:kern w:val="14"/>
              <w:sz w:val="34"/>
            </w:rPr>
            <w:t>消除对妇女一切形式歧视公约</w:t>
          </w:r>
        </w:p>
      </w:tc>
      <w:tc>
        <w:tcPr>
          <w:tcW w:w="245" w:type="dxa"/>
          <w:tcBorders>
            <w:top w:val="single" w:sz="4" w:space="0" w:color="auto"/>
            <w:bottom w:val="single" w:sz="12" w:space="0" w:color="auto"/>
          </w:tcBorders>
          <w:shd w:val="clear" w:color="auto" w:fill="auto"/>
        </w:tcPr>
        <w:p w:rsidR="00FC6F9A" w:rsidRPr="00FC6F9A" w:rsidRDefault="00FC6F9A" w:rsidP="00FC6F9A">
          <w:pPr>
            <w:pStyle w:val="Header"/>
            <w:spacing w:before="109"/>
          </w:pPr>
        </w:p>
      </w:tc>
      <w:tc>
        <w:tcPr>
          <w:tcW w:w="3180" w:type="dxa"/>
          <w:gridSpan w:val="2"/>
          <w:tcBorders>
            <w:top w:val="single" w:sz="4" w:space="0" w:color="auto"/>
            <w:bottom w:val="single" w:sz="12" w:space="0" w:color="auto"/>
          </w:tcBorders>
          <w:shd w:val="clear" w:color="auto" w:fill="auto"/>
        </w:tcPr>
        <w:p w:rsidR="00FC6F9A" w:rsidRDefault="00FC6F9A" w:rsidP="00FC6F9A">
          <w:pPr>
            <w:pStyle w:val="Distr"/>
          </w:pPr>
          <w:r>
            <w:t>Distr.: General</w:t>
          </w:r>
        </w:p>
        <w:p w:rsidR="00FC6F9A" w:rsidRDefault="00FC6F9A" w:rsidP="00FC6F9A">
          <w:pPr>
            <w:pStyle w:val="Publication"/>
          </w:pPr>
          <w:r>
            <w:t>17 November 2014</w:t>
          </w:r>
        </w:p>
        <w:p w:rsidR="00FC6F9A" w:rsidRDefault="00FC6F9A" w:rsidP="00FC6F9A">
          <w:pPr>
            <w:spacing w:line="240" w:lineRule="exact"/>
          </w:pPr>
          <w:r>
            <w:t>Chinese</w:t>
          </w:r>
        </w:p>
        <w:p w:rsidR="00FC6F9A" w:rsidRDefault="00FC6F9A" w:rsidP="00FC6F9A">
          <w:pPr>
            <w:pStyle w:val="Original"/>
          </w:pPr>
          <w:r>
            <w:t>Original: English</w:t>
          </w:r>
        </w:p>
        <w:p w:rsidR="00FC6F9A" w:rsidRPr="00FC6F9A" w:rsidRDefault="00FC6F9A" w:rsidP="00FC6F9A"/>
      </w:tc>
    </w:tr>
  </w:tbl>
  <w:p w:rsidR="00FC6F9A" w:rsidRPr="00FC6F9A" w:rsidRDefault="00FC6F9A" w:rsidP="00FC6F9A">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bordersDoNotSurroundHeader/>
  <w:bordersDoNotSurroundFooter/>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36*"/>
    <w:docVar w:name="CreationDt" w:val="15/12/2014 10:28:25"/>
    <w:docVar w:name="DocCategory" w:val="Doc"/>
    <w:docVar w:name="DocType" w:val="Final"/>
    <w:docVar w:name="FooterJN" w:val="14-64936 (C)"/>
    <w:docVar w:name="jobn" w:val="14-64936 (C)"/>
    <w:docVar w:name="jobnDT" w:val="14-64936 (C)   151214"/>
    <w:docVar w:name="jobnDTDT" w:val="14-64936 (C)   151214   151214"/>
    <w:docVar w:name="JobNo" w:val="1464936C"/>
    <w:docVar w:name="OandT" w:val="xu"/>
    <w:docVar w:name="PaperSize" w:val="Letter"/>
    <w:docVar w:name="sss1" w:val="CEDAW/C/SEN/Q/3-7"/>
    <w:docVar w:name="sss2" w:val="-"/>
    <w:docVar w:name="Symbol1" w:val="CEDAW/C/SEN/Q/3-7"/>
    <w:docVar w:name="Symbol2" w:val="-"/>
  </w:docVars>
  <w:rsids>
    <w:rsidRoot w:val="004D221C"/>
    <w:rsid w:val="00000689"/>
    <w:rsid w:val="0000347C"/>
    <w:rsid w:val="0000715A"/>
    <w:rsid w:val="000101C8"/>
    <w:rsid w:val="000125BC"/>
    <w:rsid w:val="00015ECB"/>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C03"/>
    <w:rsid w:val="00114F57"/>
    <w:rsid w:val="001212F9"/>
    <w:rsid w:val="00121328"/>
    <w:rsid w:val="00124677"/>
    <w:rsid w:val="001267BE"/>
    <w:rsid w:val="0012708E"/>
    <w:rsid w:val="00130EE5"/>
    <w:rsid w:val="00131015"/>
    <w:rsid w:val="001329F7"/>
    <w:rsid w:val="0014121B"/>
    <w:rsid w:val="00141322"/>
    <w:rsid w:val="00141F92"/>
    <w:rsid w:val="001471E8"/>
    <w:rsid w:val="0015066B"/>
    <w:rsid w:val="00150D3A"/>
    <w:rsid w:val="00153D29"/>
    <w:rsid w:val="00161E69"/>
    <w:rsid w:val="00161F54"/>
    <w:rsid w:val="00164626"/>
    <w:rsid w:val="00170FBE"/>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31575"/>
    <w:rsid w:val="00232F4A"/>
    <w:rsid w:val="00241DB7"/>
    <w:rsid w:val="00247382"/>
    <w:rsid w:val="00252E35"/>
    <w:rsid w:val="00254858"/>
    <w:rsid w:val="00254B46"/>
    <w:rsid w:val="00255FC4"/>
    <w:rsid w:val="00257053"/>
    <w:rsid w:val="00260C62"/>
    <w:rsid w:val="00263B7B"/>
    <w:rsid w:val="00266257"/>
    <w:rsid w:val="00271BE6"/>
    <w:rsid w:val="0027454D"/>
    <w:rsid w:val="0027574F"/>
    <w:rsid w:val="00277AAE"/>
    <w:rsid w:val="00280671"/>
    <w:rsid w:val="002814F9"/>
    <w:rsid w:val="00282D17"/>
    <w:rsid w:val="00290382"/>
    <w:rsid w:val="002957D3"/>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E66D5"/>
    <w:rsid w:val="002F41E2"/>
    <w:rsid w:val="002F746E"/>
    <w:rsid w:val="003063F6"/>
    <w:rsid w:val="00320C99"/>
    <w:rsid w:val="003274A9"/>
    <w:rsid w:val="003305F1"/>
    <w:rsid w:val="00331221"/>
    <w:rsid w:val="0033740E"/>
    <w:rsid w:val="00346223"/>
    <w:rsid w:val="00350AE6"/>
    <w:rsid w:val="00355510"/>
    <w:rsid w:val="00363610"/>
    <w:rsid w:val="003649EE"/>
    <w:rsid w:val="00371BC6"/>
    <w:rsid w:val="00373A15"/>
    <w:rsid w:val="00376C04"/>
    <w:rsid w:val="00383ACA"/>
    <w:rsid w:val="00384CB1"/>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6847"/>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3255"/>
    <w:rsid w:val="004C3BAA"/>
    <w:rsid w:val="004D07E1"/>
    <w:rsid w:val="004D1C19"/>
    <w:rsid w:val="004D221C"/>
    <w:rsid w:val="004E4081"/>
    <w:rsid w:val="004E739A"/>
    <w:rsid w:val="004F29B8"/>
    <w:rsid w:val="004F2B1F"/>
    <w:rsid w:val="004F3649"/>
    <w:rsid w:val="004F4BBB"/>
    <w:rsid w:val="004F5333"/>
    <w:rsid w:val="004F5E26"/>
    <w:rsid w:val="0050413E"/>
    <w:rsid w:val="00512841"/>
    <w:rsid w:val="00515657"/>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450D"/>
    <w:rsid w:val="0058302A"/>
    <w:rsid w:val="005A175A"/>
    <w:rsid w:val="005A7200"/>
    <w:rsid w:val="005B04F3"/>
    <w:rsid w:val="005B0D71"/>
    <w:rsid w:val="005B1476"/>
    <w:rsid w:val="005B1D3C"/>
    <w:rsid w:val="005B3B9A"/>
    <w:rsid w:val="005B4497"/>
    <w:rsid w:val="005B6C71"/>
    <w:rsid w:val="005B7338"/>
    <w:rsid w:val="005C02AB"/>
    <w:rsid w:val="005C5FC3"/>
    <w:rsid w:val="005D0F04"/>
    <w:rsid w:val="005D2204"/>
    <w:rsid w:val="005D680F"/>
    <w:rsid w:val="005F12F0"/>
    <w:rsid w:val="005F1AAD"/>
    <w:rsid w:val="005F3273"/>
    <w:rsid w:val="005F34A3"/>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654B"/>
    <w:rsid w:val="006B769C"/>
    <w:rsid w:val="006C4BB3"/>
    <w:rsid w:val="006D4068"/>
    <w:rsid w:val="006E2924"/>
    <w:rsid w:val="006E7A26"/>
    <w:rsid w:val="006F04EF"/>
    <w:rsid w:val="006F2B3D"/>
    <w:rsid w:val="006F6A4F"/>
    <w:rsid w:val="006F761A"/>
    <w:rsid w:val="007016DF"/>
    <w:rsid w:val="007038D4"/>
    <w:rsid w:val="007052CC"/>
    <w:rsid w:val="00715C4B"/>
    <w:rsid w:val="00722965"/>
    <w:rsid w:val="007319E0"/>
    <w:rsid w:val="00731FBF"/>
    <w:rsid w:val="007328A2"/>
    <w:rsid w:val="00732A10"/>
    <w:rsid w:val="007345AA"/>
    <w:rsid w:val="00735C21"/>
    <w:rsid w:val="00736CFF"/>
    <w:rsid w:val="00737B00"/>
    <w:rsid w:val="00747DB4"/>
    <w:rsid w:val="0075155C"/>
    <w:rsid w:val="00753A05"/>
    <w:rsid w:val="0075586B"/>
    <w:rsid w:val="00757193"/>
    <w:rsid w:val="00761190"/>
    <w:rsid w:val="00766FD7"/>
    <w:rsid w:val="00770BE9"/>
    <w:rsid w:val="00776537"/>
    <w:rsid w:val="00780C90"/>
    <w:rsid w:val="00783A25"/>
    <w:rsid w:val="007843DB"/>
    <w:rsid w:val="007877F4"/>
    <w:rsid w:val="007B2492"/>
    <w:rsid w:val="007B394B"/>
    <w:rsid w:val="007B6BAE"/>
    <w:rsid w:val="007C5623"/>
    <w:rsid w:val="007C6FC5"/>
    <w:rsid w:val="007C74B9"/>
    <w:rsid w:val="007D441A"/>
    <w:rsid w:val="007D518C"/>
    <w:rsid w:val="007E0D70"/>
    <w:rsid w:val="007E1B5E"/>
    <w:rsid w:val="007E6253"/>
    <w:rsid w:val="007F2278"/>
    <w:rsid w:val="00803014"/>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60742"/>
    <w:rsid w:val="0086691F"/>
    <w:rsid w:val="00872730"/>
    <w:rsid w:val="00883DB0"/>
    <w:rsid w:val="008843BC"/>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248ED"/>
    <w:rsid w:val="00946C87"/>
    <w:rsid w:val="00957134"/>
    <w:rsid w:val="0096193C"/>
    <w:rsid w:val="009769E1"/>
    <w:rsid w:val="00977E0D"/>
    <w:rsid w:val="00982D5C"/>
    <w:rsid w:val="00986132"/>
    <w:rsid w:val="00986C04"/>
    <w:rsid w:val="0098736E"/>
    <w:rsid w:val="009932F9"/>
    <w:rsid w:val="009A11E3"/>
    <w:rsid w:val="009A2F76"/>
    <w:rsid w:val="009B1250"/>
    <w:rsid w:val="009B378F"/>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68C5"/>
    <w:rsid w:val="00AA3C28"/>
    <w:rsid w:val="00AA759D"/>
    <w:rsid w:val="00AB2786"/>
    <w:rsid w:val="00AB5BEE"/>
    <w:rsid w:val="00AC373F"/>
    <w:rsid w:val="00AC550F"/>
    <w:rsid w:val="00AD4308"/>
    <w:rsid w:val="00AF021F"/>
    <w:rsid w:val="00AF114B"/>
    <w:rsid w:val="00AF2A33"/>
    <w:rsid w:val="00AF4C2D"/>
    <w:rsid w:val="00B014C7"/>
    <w:rsid w:val="00B03EFA"/>
    <w:rsid w:val="00B16C8C"/>
    <w:rsid w:val="00B171E7"/>
    <w:rsid w:val="00B23B52"/>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8025A"/>
    <w:rsid w:val="00B827B1"/>
    <w:rsid w:val="00B9116F"/>
    <w:rsid w:val="00B9408D"/>
    <w:rsid w:val="00B94698"/>
    <w:rsid w:val="00BB23A4"/>
    <w:rsid w:val="00BB6332"/>
    <w:rsid w:val="00BC2276"/>
    <w:rsid w:val="00BD1B08"/>
    <w:rsid w:val="00BD1BFF"/>
    <w:rsid w:val="00BD2150"/>
    <w:rsid w:val="00BE1CC3"/>
    <w:rsid w:val="00BE1CDE"/>
    <w:rsid w:val="00BE365A"/>
    <w:rsid w:val="00BE47C4"/>
    <w:rsid w:val="00C052A2"/>
    <w:rsid w:val="00C06A4A"/>
    <w:rsid w:val="00C131AA"/>
    <w:rsid w:val="00C1391A"/>
    <w:rsid w:val="00C14CE6"/>
    <w:rsid w:val="00C15218"/>
    <w:rsid w:val="00C21D51"/>
    <w:rsid w:val="00C22BB2"/>
    <w:rsid w:val="00C22F76"/>
    <w:rsid w:val="00C2725D"/>
    <w:rsid w:val="00C31771"/>
    <w:rsid w:val="00C31E79"/>
    <w:rsid w:val="00C403C9"/>
    <w:rsid w:val="00C42033"/>
    <w:rsid w:val="00C464DD"/>
    <w:rsid w:val="00C52423"/>
    <w:rsid w:val="00C53A40"/>
    <w:rsid w:val="00C60D8E"/>
    <w:rsid w:val="00C62EF9"/>
    <w:rsid w:val="00C650F5"/>
    <w:rsid w:val="00C672B6"/>
    <w:rsid w:val="00C75600"/>
    <w:rsid w:val="00C76854"/>
    <w:rsid w:val="00C847BD"/>
    <w:rsid w:val="00C900C5"/>
    <w:rsid w:val="00C923B1"/>
    <w:rsid w:val="00C92AE0"/>
    <w:rsid w:val="00C93BC6"/>
    <w:rsid w:val="00C943B4"/>
    <w:rsid w:val="00CA2BB0"/>
    <w:rsid w:val="00CA450F"/>
    <w:rsid w:val="00CA4BBC"/>
    <w:rsid w:val="00CA7E8C"/>
    <w:rsid w:val="00CB284F"/>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8CC"/>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B33AC"/>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7B3E"/>
    <w:rsid w:val="00F833CB"/>
    <w:rsid w:val="00F87754"/>
    <w:rsid w:val="00F90A4B"/>
    <w:rsid w:val="00F90C56"/>
    <w:rsid w:val="00F94B3C"/>
    <w:rsid w:val="00FA7A95"/>
    <w:rsid w:val="00FB089D"/>
    <w:rsid w:val="00FB282B"/>
    <w:rsid w:val="00FC1CE4"/>
    <w:rsid w:val="00FC6F9A"/>
    <w:rsid w:val="00FD594E"/>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B0D71"/>
    <w:pPr>
      <w:tabs>
        <w:tab w:val="left" w:pos="431"/>
      </w:tabs>
      <w:overflowPunct w:val="0"/>
      <w:adjustRightInd w:val="0"/>
      <w:snapToGrid w:val="0"/>
      <w:spacing w:line="320" w:lineRule="exact"/>
      <w:jc w:val="both"/>
    </w:pPr>
    <w:rPr>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kern w:val="14"/>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kern w:val="14"/>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kern w:val="14"/>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986132"/>
    <w:pPr>
      <w:keepNext/>
      <w:keepLines/>
      <w:suppressAutoHyphens/>
      <w:outlineLvl w:val="0"/>
    </w:pPr>
    <w:rPr>
      <w:rFonts w:ascii="SimHei" w:eastAsia="SimHei"/>
      <w:sz w:val="24"/>
    </w:rPr>
  </w:style>
  <w:style w:type="paragraph" w:customStyle="1" w:styleId="HCh">
    <w:name w:val="_ H _Ch"/>
    <w:basedOn w:val="H1"/>
    <w:next w:val="Normal"/>
    <w:qFormat/>
    <w:rsid w:val="001E5A51"/>
    <w:pPr>
      <w:tabs>
        <w:tab w:val="left" w:pos="57"/>
      </w:tabs>
      <w:spacing w:line="400" w:lineRule="exact"/>
    </w:pPr>
    <w:rPr>
      <w:sz w:val="28"/>
    </w:rPr>
  </w:style>
  <w:style w:type="paragraph" w:customStyle="1" w:styleId="HM">
    <w:name w:val="_ H __M"/>
    <w:basedOn w:val="HCh"/>
    <w:next w:val="Normal"/>
    <w:qFormat/>
    <w:rsid w:val="001E5A51"/>
    <w:rPr>
      <w:sz w:val="34"/>
    </w:rPr>
  </w:style>
  <w:style w:type="paragraph" w:customStyle="1" w:styleId="H23">
    <w:name w:val="_ H_2/3"/>
    <w:basedOn w:val="Normal"/>
    <w:next w:val="Normal"/>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clear" w:pos="431"/>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aliases w:val="4_G"/>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aliases w:val="5_G"/>
    <w:basedOn w:val="Normal"/>
    <w:link w:val="FootnoteTextChar"/>
    <w:semiHidden/>
    <w:rsid w:val="001E5A51"/>
    <w:pPr>
      <w:tabs>
        <w:tab w:val="clear" w:pos="431"/>
        <w:tab w:val="right" w:pos="418"/>
      </w:tabs>
      <w:spacing w:after="120" w:line="240" w:lineRule="exact"/>
      <w:ind w:left="170" w:hanging="170"/>
    </w:pPr>
    <w:rPr>
      <w:noProof/>
      <w:kern w:val="14"/>
      <w:sz w:val="18"/>
      <w:lang/>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character" w:customStyle="1" w:styleId="FootnoteTextChar">
    <w:name w:val="Footnote Text Char"/>
    <w:aliases w:val="5_G Char"/>
    <w:link w:val="FootnoteText"/>
    <w:semiHidden/>
    <w:locked/>
    <w:rsid w:val="005B0D71"/>
    <w:rPr>
      <w:noProof/>
      <w:kern w:val="14"/>
      <w:sz w:val="18"/>
    </w:rPr>
  </w:style>
  <w:style w:type="character" w:customStyle="1" w:styleId="HMGCChar">
    <w:name w:val="_ H __M_GC Char"/>
    <w:link w:val="HMGC"/>
    <w:locked/>
    <w:rsid w:val="005B0D71"/>
    <w:rPr>
      <w:rFonts w:ascii="SimHei" w:eastAsia="SimHei" w:hAnsi="SimHei"/>
      <w:sz w:val="34"/>
    </w:rPr>
  </w:style>
  <w:style w:type="paragraph" w:customStyle="1" w:styleId="HMGC">
    <w:name w:val="_ H __M_GC"/>
    <w:basedOn w:val="Normal"/>
    <w:next w:val="Normal"/>
    <w:link w:val="HMGCChar"/>
    <w:rsid w:val="005B0D71"/>
    <w:pPr>
      <w:keepNext/>
      <w:keepLines/>
      <w:tabs>
        <w:tab w:val="clear" w:pos="431"/>
        <w:tab w:val="right" w:pos="851"/>
      </w:tabs>
      <w:spacing w:before="240" w:after="240" w:line="440" w:lineRule="exact"/>
      <w:ind w:left="1134" w:right="1134" w:hanging="1134"/>
      <w:outlineLvl w:val="0"/>
    </w:pPr>
    <w:rPr>
      <w:rFonts w:ascii="SimHei" w:eastAsia="SimHei" w:hAnsi="SimHei"/>
      <w:sz w:val="34"/>
      <w:lang/>
    </w:rPr>
  </w:style>
  <w:style w:type="paragraph" w:customStyle="1" w:styleId="HChGC">
    <w:name w:val="_ H _Ch_GC"/>
    <w:basedOn w:val="Normal"/>
    <w:next w:val="Normal"/>
    <w:rsid w:val="005B0D71"/>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SingleTxtG">
    <w:name w:val="_ Single Txt_G"/>
    <w:basedOn w:val="Normal"/>
    <w:rsid w:val="005B0D71"/>
    <w:pPr>
      <w:tabs>
        <w:tab w:val="clear" w:pos="431"/>
      </w:tabs>
      <w:suppressAutoHyphens/>
      <w:overflowPunct/>
      <w:adjustRightInd/>
      <w:snapToGrid/>
      <w:spacing w:after="120" w:line="240" w:lineRule="atLeast"/>
      <w:ind w:left="1134" w:right="1134"/>
    </w:pPr>
    <w:rPr>
      <w:sz w:val="20"/>
      <w:lang w:val="en-GB" w:eastAsia="en-US"/>
    </w:rPr>
  </w:style>
</w:styles>
</file>

<file path=word/webSettings.xml><?xml version="1.0" encoding="utf-8"?>
<w:webSettings xmlns:r="http://schemas.openxmlformats.org/officeDocument/2006/relationships" xmlns:w="http://schemas.openxmlformats.org/wordprocessingml/2006/main">
  <w:divs>
    <w:div w:id="63826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ch/CEDAW/C/SEN/3-7&#65289;&#20013;&#30340;&#27573;&#21495;" TargetMode="External"/><Relationship Id="rId1" Type="http://schemas.openxmlformats.org/officeDocument/2006/relationships/hyperlink" Target="http://undocs.org/ch/CEDAW/C/61/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6</Pages>
  <Words>742</Words>
  <Characters>4233</Characters>
  <Application>Microsoft Office Outlook</Application>
  <DocSecurity>4</DocSecurity>
  <Lines>35</Lines>
  <Paragraphs>9</Paragraphs>
  <ScaleCrop>false</ScaleCrop>
  <Company>United Nations</Company>
  <LinksUpToDate>false</LinksUpToDate>
  <CharactersWithSpaces>4966</CharactersWithSpaces>
  <SharedDoc>false</SharedDoc>
  <HLinks>
    <vt:vector size="12" baseType="variant">
      <vt:variant>
        <vt:i4>634423761</vt:i4>
      </vt:variant>
      <vt:variant>
        <vt:i4>3</vt:i4>
      </vt:variant>
      <vt:variant>
        <vt:i4>0</vt:i4>
      </vt:variant>
      <vt:variant>
        <vt:i4>5</vt:i4>
      </vt:variant>
      <vt:variant>
        <vt:lpwstr>http://undocs.org/ch/CEDAW/C/SEN/3-7）中的段号</vt:lpwstr>
      </vt:variant>
      <vt:variant>
        <vt:lpwstr/>
      </vt:variant>
      <vt:variant>
        <vt:i4>4718602</vt:i4>
      </vt:variant>
      <vt:variant>
        <vt:i4>0</vt:i4>
      </vt:variant>
      <vt:variant>
        <vt:i4>0</vt:i4>
      </vt:variant>
      <vt:variant>
        <vt:i4>5</vt:i4>
      </vt:variant>
      <vt:variant>
        <vt:lpwstr>http://undocs.org/ch/CEDAW/C/61/1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Xuejin Xu</dc:creator>
  <cp:keywords/>
  <dc:description/>
  <cp:lastModifiedBy>Ctpu1</cp:lastModifiedBy>
  <cp:revision>12</cp:revision>
  <cp:lastPrinted>2014-12-15T09:34:00Z</cp:lastPrinted>
  <dcterms:created xsi:type="dcterms:W3CDTF">2014-12-15T09:27:00Z</dcterms:created>
  <dcterms:modified xsi:type="dcterms:W3CDTF">2014-12-15T09:54:00Z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1464936</vt:lpwstr>
  </property>
  <property fmtid="{D5CDD505-2E9C-101B-9397-08002B2CF9AE}" pid="3" name="ODSRefJobNo">
    <vt:lpwstr>1463344C</vt:lpwstr>
  </property>
  <property fmtid="{D5CDD505-2E9C-101B-9397-08002B2CF9AE}" pid="4" name="Symbol1">
    <vt:lpwstr>CEDAW/C/SEN/Q/3-7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November 2014</vt:lpwstr>
  </property>
  <property fmtid="{D5CDD505-2E9C-101B-9397-08002B2CF9AE}" pid="9" name="Original">
    <vt:lpwstr>English</vt:lpwstr>
  </property>
  <property fmtid="{D5CDD505-2E9C-101B-9397-08002B2CF9AE}" pid="10" name="Release Date">
    <vt:lpwstr>151214</vt:lpwstr>
  </property>
  <property fmtid="{D5CDD505-2E9C-101B-9397-08002B2CF9AE}" pid="11" name="Comment">
    <vt:lpwstr/>
  </property>
  <property fmtid="{D5CDD505-2E9C-101B-9397-08002B2CF9AE}" pid="12" name="DraftPages">
    <vt:lpwstr> </vt:lpwstr>
  </property>
  <property fmtid="{D5CDD505-2E9C-101B-9397-08002B2CF9AE}" pid="13" name="Operator">
    <vt:lpwstr>xu</vt:lpwstr>
  </property>
</Properties>
</file>