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57D5">
        <w:trPr>
          <w:trHeight w:hRule="exact" w:val="851"/>
        </w:trPr>
        <w:tc>
          <w:tcPr>
            <w:tcW w:w="1276" w:type="dxa"/>
            <w:tcBorders>
              <w:bottom w:val="single" w:sz="4" w:space="0" w:color="auto"/>
            </w:tcBorders>
          </w:tcPr>
          <w:p w:rsidR="002D5AAC" w:rsidRDefault="002D5AAC" w:rsidP="006766AC">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766AC" w:rsidP="006766AC">
            <w:pPr>
              <w:jc w:val="right"/>
            </w:pPr>
            <w:r w:rsidRPr="006766AC">
              <w:rPr>
                <w:sz w:val="40"/>
              </w:rPr>
              <w:t>HRI</w:t>
            </w:r>
            <w:r>
              <w:t>/MC/2018/2</w:t>
            </w:r>
          </w:p>
        </w:tc>
      </w:tr>
      <w:tr w:rsidR="002D5AAC" w:rsidTr="00C057D5">
        <w:trPr>
          <w:trHeight w:hRule="exact" w:val="2835"/>
        </w:trPr>
        <w:tc>
          <w:tcPr>
            <w:tcW w:w="1276" w:type="dxa"/>
            <w:tcBorders>
              <w:top w:val="single" w:sz="4" w:space="0" w:color="auto"/>
              <w:bottom w:val="single" w:sz="12" w:space="0" w:color="auto"/>
            </w:tcBorders>
          </w:tcPr>
          <w:p w:rsidR="002D5AAC" w:rsidRDefault="0095700F" w:rsidP="00C057D5">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2D5AAC" w:rsidRDefault="006766AC" w:rsidP="00C057D5">
            <w:pPr>
              <w:spacing w:before="240"/>
            </w:pPr>
            <w:r>
              <w:t>Distr. general</w:t>
            </w:r>
          </w:p>
          <w:p w:rsidR="006766AC" w:rsidRDefault="006766AC" w:rsidP="006766AC">
            <w:pPr>
              <w:spacing w:line="240" w:lineRule="exact"/>
            </w:pPr>
            <w:r>
              <w:t>23 de marzo de 2018</w:t>
            </w:r>
          </w:p>
          <w:p w:rsidR="006766AC" w:rsidRDefault="006766AC" w:rsidP="006766AC">
            <w:pPr>
              <w:spacing w:line="240" w:lineRule="exact"/>
            </w:pPr>
            <w:r>
              <w:t>Español</w:t>
            </w:r>
          </w:p>
          <w:p w:rsidR="006766AC" w:rsidRDefault="006766AC" w:rsidP="006766AC">
            <w:pPr>
              <w:spacing w:line="240" w:lineRule="exact"/>
            </w:pPr>
            <w:r>
              <w:t>Original: inglés</w:t>
            </w:r>
          </w:p>
          <w:p w:rsidR="006766AC" w:rsidRDefault="006766AC" w:rsidP="006766AC">
            <w:pPr>
              <w:spacing w:line="240" w:lineRule="exact"/>
            </w:pPr>
            <w:r>
              <w:t>Español, francés e inglés únicamente</w:t>
            </w:r>
          </w:p>
        </w:tc>
      </w:tr>
    </w:tbl>
    <w:p w:rsidR="006766AC" w:rsidRPr="004E3D75" w:rsidRDefault="006766AC" w:rsidP="006766AC">
      <w:pPr>
        <w:spacing w:before="120"/>
        <w:rPr>
          <w:b/>
          <w:bCs/>
          <w:sz w:val="24"/>
          <w:szCs w:val="24"/>
          <w:lang w:val="es-UY"/>
        </w:rPr>
      </w:pPr>
      <w:r w:rsidRPr="004E3D75">
        <w:rPr>
          <w:b/>
          <w:sz w:val="24"/>
          <w:szCs w:val="24"/>
        </w:rPr>
        <w:t xml:space="preserve">30ª reunión de los presidentes de órganos creados </w:t>
      </w:r>
      <w:r w:rsidRPr="004E3D75">
        <w:rPr>
          <w:b/>
          <w:sz w:val="24"/>
          <w:szCs w:val="24"/>
        </w:rPr>
        <w:br/>
        <w:t>en virtud de tratados de derechos humanos</w:t>
      </w:r>
    </w:p>
    <w:p w:rsidR="006766AC" w:rsidRPr="006766AC" w:rsidRDefault="006766AC" w:rsidP="006766AC">
      <w:pPr>
        <w:rPr>
          <w:bCs/>
          <w:lang w:val="es-UY"/>
        </w:rPr>
      </w:pPr>
      <w:r w:rsidRPr="006766AC">
        <w:rPr>
          <w:bCs/>
        </w:rPr>
        <w:t>Nueva York, 29 de mayo a 1 de junio de 2018</w:t>
      </w:r>
    </w:p>
    <w:p w:rsidR="006766AC" w:rsidRPr="006766AC" w:rsidRDefault="006766AC" w:rsidP="006766AC">
      <w:pPr>
        <w:rPr>
          <w:lang w:val="es-UY"/>
        </w:rPr>
      </w:pPr>
      <w:r w:rsidRPr="006766AC">
        <w:t>Tema 6 del programa provisional</w:t>
      </w:r>
    </w:p>
    <w:p w:rsidR="006766AC" w:rsidRPr="006766AC" w:rsidRDefault="006766AC" w:rsidP="006766AC">
      <w:pPr>
        <w:rPr>
          <w:b/>
          <w:bCs/>
          <w:lang w:val="es-UY"/>
        </w:rPr>
      </w:pPr>
      <w:r w:rsidRPr="006766AC">
        <w:rPr>
          <w:b/>
          <w:bCs/>
        </w:rPr>
        <w:t xml:space="preserve">Cumplimiento de las obligaciones de presentación </w:t>
      </w:r>
      <w:r>
        <w:rPr>
          <w:b/>
          <w:bCs/>
        </w:rPr>
        <w:br/>
      </w:r>
      <w:r w:rsidRPr="006766AC">
        <w:rPr>
          <w:b/>
          <w:bCs/>
        </w:rPr>
        <w:t>de informes por los Estados partes</w:t>
      </w:r>
    </w:p>
    <w:p w:rsidR="006766AC" w:rsidRPr="006766AC" w:rsidRDefault="006766AC" w:rsidP="00363DFA">
      <w:pPr>
        <w:pStyle w:val="HChG"/>
        <w:rPr>
          <w:lang w:val="es-UY"/>
        </w:rPr>
      </w:pPr>
      <w:r w:rsidRPr="006766AC">
        <w:tab/>
      </w:r>
      <w:r>
        <w:tab/>
      </w:r>
      <w:r w:rsidRPr="006766AC">
        <w:t>Cumplimiento por los Estados partes de la obligación de</w:t>
      </w:r>
      <w:r w:rsidR="00363DFA">
        <w:t> </w:t>
      </w:r>
      <w:r w:rsidRPr="006766AC">
        <w:t>presentar informes a los órganos creados en virtud de</w:t>
      </w:r>
      <w:r w:rsidR="00363DFA">
        <w:t> </w:t>
      </w:r>
      <w:r w:rsidRPr="006766AC">
        <w:t>tratados internacionales de derechos humanos</w:t>
      </w:r>
    </w:p>
    <w:p w:rsidR="006766AC" w:rsidRDefault="006766AC" w:rsidP="006766AC">
      <w:pPr>
        <w:pStyle w:val="H1G"/>
      </w:pPr>
      <w:r>
        <w:tab/>
      </w:r>
      <w:r w:rsidRPr="006766AC">
        <w:tab/>
        <w:t>Nota de la Secretaría</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6766AC">
        <w:trPr>
          <w:jc w:val="center"/>
        </w:trPr>
        <w:tc>
          <w:tcPr>
            <w:tcW w:w="9637" w:type="dxa"/>
            <w:tcBorders>
              <w:bottom w:val="nil"/>
            </w:tcBorders>
          </w:tcPr>
          <w:p w:rsidR="006766AC" w:rsidRDefault="006766AC">
            <w:pPr>
              <w:tabs>
                <w:tab w:val="left" w:pos="255"/>
              </w:tabs>
              <w:spacing w:before="240" w:after="120"/>
              <w:rPr>
                <w:sz w:val="24"/>
              </w:rPr>
            </w:pPr>
            <w:r>
              <w:tab/>
            </w:r>
            <w:r>
              <w:rPr>
                <w:i/>
                <w:sz w:val="24"/>
              </w:rPr>
              <w:t>Resumen</w:t>
            </w:r>
          </w:p>
        </w:tc>
      </w:tr>
      <w:tr w:rsidR="006766AC">
        <w:trPr>
          <w:jc w:val="center"/>
        </w:trPr>
        <w:tc>
          <w:tcPr>
            <w:tcW w:w="9637" w:type="dxa"/>
            <w:tcBorders>
              <w:top w:val="nil"/>
              <w:bottom w:val="nil"/>
            </w:tcBorders>
            <w:shd w:val="clear" w:color="auto" w:fill="auto"/>
          </w:tcPr>
          <w:p w:rsidR="006766AC" w:rsidRDefault="006766AC">
            <w:pPr>
              <w:pStyle w:val="SingleTxtG"/>
            </w:pPr>
            <w:r w:rsidRPr="006766AC">
              <w:tab/>
              <w:t>En su 25ª reunión, los presidentes de los órganos creados en virtud de tratados de derechos humanos decidieron incluir la cuestión del cumplimiento de las obligaciones en materia de presentación de informes de los Estados partes a los órganos creados en virtud de tratados como tema permanente del programa de su reunión anual. La presente nota ofrece un resumen de la situación relativa al cumplimiento por los Estados partes de sus obligaciones de presentación de informes al 31 de diciembre de 2017. La presentación de informes es un proceso dinámico, por lo que los datos que figuran en la presente nota se actualizan con regularidad en el sitio web de la Oficina del Alto Comisionado de las Naciones Unidas para los Derechos Humanos (www.ohchr.org).</w:t>
            </w:r>
          </w:p>
        </w:tc>
      </w:tr>
      <w:tr w:rsidR="006766AC">
        <w:trPr>
          <w:jc w:val="center"/>
        </w:trPr>
        <w:tc>
          <w:tcPr>
            <w:tcW w:w="9637" w:type="dxa"/>
            <w:tcBorders>
              <w:top w:val="nil"/>
            </w:tcBorders>
          </w:tcPr>
          <w:p w:rsidR="006766AC" w:rsidRDefault="006766AC"/>
        </w:tc>
      </w:tr>
    </w:tbl>
    <w:p w:rsidR="006766AC" w:rsidRDefault="006766AC">
      <w:pPr>
        <w:spacing w:line="240" w:lineRule="auto"/>
      </w:pPr>
      <w:r>
        <w:br w:type="page"/>
      </w:r>
    </w:p>
    <w:p w:rsidR="006766AC" w:rsidRPr="006766AC" w:rsidRDefault="006766AC" w:rsidP="006766AC">
      <w:pPr>
        <w:pStyle w:val="HChG"/>
        <w:rPr>
          <w:lang w:val="es-UY"/>
        </w:rPr>
      </w:pPr>
      <w:r>
        <w:lastRenderedPageBreak/>
        <w:tab/>
      </w:r>
      <w:r w:rsidRPr="006766AC">
        <w:t>I.</w:t>
      </w:r>
      <w:r w:rsidRPr="006766AC">
        <w:tab/>
        <w:t>Antecedentes</w:t>
      </w:r>
    </w:p>
    <w:p w:rsidR="006766AC" w:rsidRPr="006766AC" w:rsidRDefault="006766AC" w:rsidP="006766AC">
      <w:pPr>
        <w:pStyle w:val="SingleTxtG"/>
        <w:rPr>
          <w:lang w:val="es-UY"/>
        </w:rPr>
      </w:pPr>
      <w:r w:rsidRPr="006766AC">
        <w:t>1.</w:t>
      </w:r>
      <w:r w:rsidRPr="006766AC">
        <w:tab/>
        <w:t xml:space="preserve">Los Estados partes tienen la obligación de presentar informes periódicamente, de conformidad con los nueve tratados internacionales fundamentales de derechos humanos y dos protocolos facultativos, a saber: </w:t>
      </w:r>
    </w:p>
    <w:p w:rsidR="006766AC" w:rsidRPr="006766AC" w:rsidRDefault="006766AC" w:rsidP="006766AC">
      <w:pPr>
        <w:pStyle w:val="Bullet1G"/>
        <w:rPr>
          <w:lang w:val="es-UY"/>
        </w:rPr>
      </w:pPr>
      <w:r w:rsidRPr="006766AC">
        <w:t>La Convención Internacional sobre la Eliminación de Todas las Formas de Discriminación Racial (1965)</w:t>
      </w:r>
    </w:p>
    <w:p w:rsidR="006766AC" w:rsidRPr="006766AC" w:rsidRDefault="006766AC" w:rsidP="006766AC">
      <w:pPr>
        <w:pStyle w:val="Bullet1G"/>
        <w:rPr>
          <w:lang w:val="es-UY"/>
        </w:rPr>
      </w:pPr>
      <w:r w:rsidRPr="006766AC">
        <w:rPr>
          <w:lang w:val="es-UY"/>
        </w:rPr>
        <w:t xml:space="preserve">El </w:t>
      </w:r>
      <w:r w:rsidRPr="006766AC">
        <w:t>Pacto Internacional de Derechos Civiles y Políticos (1966)</w:t>
      </w:r>
    </w:p>
    <w:p w:rsidR="006766AC" w:rsidRPr="006766AC" w:rsidRDefault="006766AC" w:rsidP="006766AC">
      <w:pPr>
        <w:pStyle w:val="Bullet1G"/>
        <w:rPr>
          <w:lang w:val="es-UY"/>
        </w:rPr>
      </w:pPr>
      <w:r w:rsidRPr="006766AC">
        <w:rPr>
          <w:lang w:val="es-UY"/>
        </w:rPr>
        <w:t xml:space="preserve">El </w:t>
      </w:r>
      <w:r w:rsidRPr="006766AC">
        <w:t>Pacto Internacional de Derechos Económicos, Sociales y Culturales (1966)</w:t>
      </w:r>
    </w:p>
    <w:p w:rsidR="006766AC" w:rsidRPr="006766AC" w:rsidRDefault="006766AC" w:rsidP="006766AC">
      <w:pPr>
        <w:pStyle w:val="Bullet1G"/>
        <w:rPr>
          <w:lang w:val="es-UY"/>
        </w:rPr>
      </w:pPr>
      <w:r w:rsidRPr="006766AC">
        <w:t>La Convención sobre la Eliminación de Todas las Formas de Discriminación contra la Mujer (1979)</w:t>
      </w:r>
    </w:p>
    <w:p w:rsidR="006766AC" w:rsidRPr="006766AC" w:rsidRDefault="006766AC" w:rsidP="006766AC">
      <w:pPr>
        <w:pStyle w:val="Bullet1G"/>
        <w:rPr>
          <w:lang w:val="es-UY"/>
        </w:rPr>
      </w:pPr>
      <w:r w:rsidRPr="006766AC">
        <w:t>La Convención contra la Tortura y Otros Tratos o Penas Crueles, Inhumanos o Degradantes (1984)</w:t>
      </w:r>
    </w:p>
    <w:p w:rsidR="006766AC" w:rsidRPr="006766AC" w:rsidRDefault="006766AC" w:rsidP="006766AC">
      <w:pPr>
        <w:pStyle w:val="Bullet1G"/>
        <w:rPr>
          <w:lang w:val="es-UY"/>
        </w:rPr>
      </w:pPr>
      <w:r w:rsidRPr="006766AC">
        <w:t>La Convención sobre los Derechos del Niño (1989)</w:t>
      </w:r>
    </w:p>
    <w:p w:rsidR="006766AC" w:rsidRPr="006766AC" w:rsidRDefault="006766AC" w:rsidP="006766AC">
      <w:pPr>
        <w:pStyle w:val="Bullet1G"/>
        <w:rPr>
          <w:lang w:val="es-UY"/>
        </w:rPr>
      </w:pPr>
      <w:r w:rsidRPr="006766AC">
        <w:rPr>
          <w:lang w:val="es-UY"/>
        </w:rPr>
        <w:t xml:space="preserve">La </w:t>
      </w:r>
      <w:r w:rsidRPr="006766AC">
        <w:t>Convención Internacional sobre la Protección de los Derechos de Todos los Trabajadores Migratorios y de sus Familiares (1990)</w:t>
      </w:r>
    </w:p>
    <w:p w:rsidR="006766AC" w:rsidRPr="006766AC" w:rsidRDefault="006766AC" w:rsidP="006766AC">
      <w:pPr>
        <w:pStyle w:val="Bullet1G"/>
        <w:rPr>
          <w:lang w:val="es-UY"/>
        </w:rPr>
      </w:pPr>
      <w:r w:rsidRPr="006766AC">
        <w:t>El Protocolo Facultativo de la Convención sobre los Derechos del Niño relativo a la participación de niños en los conflictos armados (2000)</w:t>
      </w:r>
    </w:p>
    <w:p w:rsidR="006766AC" w:rsidRPr="006766AC" w:rsidRDefault="006766AC" w:rsidP="006766AC">
      <w:pPr>
        <w:pStyle w:val="Bullet1G"/>
        <w:rPr>
          <w:lang w:val="es-UY"/>
        </w:rPr>
      </w:pPr>
      <w:r w:rsidRPr="006766AC">
        <w:t xml:space="preserve">El Protocolo Facultativo de la Convención sobre los Derechos del Niño relativo a la venta de niños, la prostitución infantil y la utilización de niños en la pornografía (2000) </w:t>
      </w:r>
    </w:p>
    <w:p w:rsidR="006766AC" w:rsidRPr="006766AC" w:rsidRDefault="006766AC" w:rsidP="006766AC">
      <w:pPr>
        <w:pStyle w:val="Bullet1G"/>
        <w:rPr>
          <w:lang w:val="es-UY"/>
        </w:rPr>
      </w:pPr>
      <w:r w:rsidRPr="006766AC">
        <w:t>La Convención sobre los Derechos de las Personas con Discapacidad (2006)</w:t>
      </w:r>
    </w:p>
    <w:p w:rsidR="006766AC" w:rsidRPr="006766AC" w:rsidRDefault="006766AC" w:rsidP="006766AC">
      <w:pPr>
        <w:pStyle w:val="Bullet1G"/>
        <w:rPr>
          <w:lang w:val="es-UY"/>
        </w:rPr>
      </w:pPr>
      <w:r w:rsidRPr="006766AC">
        <w:t>La Convención Internacional para la Protección de Todas las Personas contra las Desapariciones Forzadas (2006)</w:t>
      </w:r>
    </w:p>
    <w:p w:rsidR="006766AC" w:rsidRPr="006766AC" w:rsidRDefault="006766AC" w:rsidP="006766AC">
      <w:pPr>
        <w:pStyle w:val="SingleTxtG"/>
        <w:rPr>
          <w:lang w:val="es-UY"/>
        </w:rPr>
      </w:pPr>
      <w:r w:rsidRPr="006766AC">
        <w:t>2.</w:t>
      </w:r>
      <w:r w:rsidRPr="006766AC">
        <w:tab/>
        <w:t>Los presidentes de los órganos creados en virtud de tratados de derechos humanos, en su 25ª reunión anual, celebrada en mayo de 2013, expresaron su profunda preocupación por las demoras y el incumplimiento por algunos Estados partes en los tratados internacionales de derechos humanos de la obligación de presentar informes. Los presidentes decidieron incluir la cuestión como tema permanente del programa de la reunión (véase A/68/334, párr. 47). En su 27ª reunión, en 2015, los presidentes pidieron a la Oficina del Alto Comisionado de las Naciones Unidas para los Derechos Humanos (ACNUDH) que siguiera publicando en su sitio web información actualizada sobre el cumplimiento de las obligaciones de presentación de informes por los Estados (véase</w:t>
      </w:r>
      <w:r>
        <w:t> </w:t>
      </w:r>
      <w:r w:rsidRPr="006766AC">
        <w:t>A/70/302, párr. 93).</w:t>
      </w:r>
    </w:p>
    <w:p w:rsidR="006766AC" w:rsidRPr="006766AC" w:rsidRDefault="006766AC" w:rsidP="006766AC">
      <w:pPr>
        <w:pStyle w:val="SingleTxtG"/>
        <w:rPr>
          <w:lang w:val="es-UY"/>
        </w:rPr>
      </w:pPr>
      <w:r w:rsidRPr="006766AC">
        <w:t>3.</w:t>
      </w:r>
      <w:r w:rsidRPr="006766AC">
        <w:tab/>
        <w:t>La presente nota ofrece un resumen de la situación relativa al cumplimiento por los Estados partes de sus obligaciones de presentación de informes al 31 de diciembre de 2017</w:t>
      </w:r>
      <w:r>
        <w:rPr>
          <w:rStyle w:val="Refdenotaalpie"/>
        </w:rPr>
        <w:footnoteReference w:id="1"/>
      </w:r>
      <w:r w:rsidRPr="006766AC">
        <w:t>. La presentación de informes es un proceso dinámico; los datos que figuran en la nota se actualizan con regularidad en el sitio web del ACNUDH.</w:t>
      </w:r>
    </w:p>
    <w:p w:rsidR="006766AC" w:rsidRPr="006766AC" w:rsidRDefault="006766AC" w:rsidP="006766AC">
      <w:pPr>
        <w:pStyle w:val="HChG"/>
        <w:rPr>
          <w:lang w:val="es-UY"/>
        </w:rPr>
      </w:pPr>
      <w:r>
        <w:tab/>
      </w:r>
      <w:r w:rsidRPr="006766AC">
        <w:t>II.</w:t>
      </w:r>
      <w:r w:rsidRPr="006766AC">
        <w:tab/>
        <w:t>Obligaciones en materia de presentación de informes de los</w:t>
      </w:r>
      <w:r>
        <w:t> </w:t>
      </w:r>
      <w:r w:rsidRPr="006766AC">
        <w:t>Estados partes en virtud de los tratados internacionales de</w:t>
      </w:r>
      <w:r>
        <w:t> </w:t>
      </w:r>
      <w:r w:rsidRPr="006766AC">
        <w:t xml:space="preserve">derechos humanos </w:t>
      </w:r>
    </w:p>
    <w:p w:rsidR="006766AC" w:rsidRPr="006766AC" w:rsidRDefault="006766AC" w:rsidP="006766AC">
      <w:pPr>
        <w:pStyle w:val="SingleTxtG"/>
        <w:rPr>
          <w:lang w:val="es-UY"/>
        </w:rPr>
      </w:pPr>
      <w:r w:rsidRPr="006766AC">
        <w:t>4.</w:t>
      </w:r>
      <w:r w:rsidRPr="006766AC">
        <w:tab/>
        <w:t xml:space="preserve">Una vez que un Estado se ha adherido a un tratado de derechos humanos o lo ha ratificado, tiene la obligación de presentar un informe inicial dentro de un plazo de uno o dos años a contar de la fecha de entrada en vigor del tratado y, posteriormente, informes </w:t>
      </w:r>
      <w:r w:rsidRPr="006766AC">
        <w:lastRenderedPageBreak/>
        <w:t>periódicos a intervalos especificados por el tratado o el órgano creado en virtud del tratado correspondiente. En la mayoría de los casos, en el tratado se fija explícitamente un plazo para la presentación del informe inicial y de los informes periódicos, lo que se suele denominar la “periodicidad” de los informes, atendiendo a la fecha de su entrada en vigor para cada Estado parte. La periodicidad de los informes, por tratado, se presenta en el cuadro 1</w:t>
      </w:r>
      <w:r>
        <w:rPr>
          <w:rStyle w:val="Refdenotaalpie"/>
        </w:rPr>
        <w:footnoteReference w:id="2"/>
      </w:r>
      <w:r w:rsidRPr="006766AC">
        <w:t>.</w:t>
      </w:r>
    </w:p>
    <w:p w:rsidR="006766AC" w:rsidRPr="006766AC" w:rsidRDefault="006766AC" w:rsidP="00317208">
      <w:pPr>
        <w:pStyle w:val="Ttulo1"/>
        <w:rPr>
          <w:lang w:val="es-UY"/>
        </w:rPr>
      </w:pPr>
      <w:r w:rsidRPr="006766AC">
        <w:t>Cuadro 1</w:t>
      </w:r>
    </w:p>
    <w:p w:rsidR="006766AC" w:rsidRDefault="006766AC" w:rsidP="00317208">
      <w:pPr>
        <w:pStyle w:val="SingleTxtG"/>
        <w:rPr>
          <w:b/>
          <w:bCs/>
        </w:rPr>
      </w:pPr>
      <w:r w:rsidRPr="00317208">
        <w:rPr>
          <w:b/>
          <w:bCs/>
        </w:rPr>
        <w:t>Periodicidad de los informes, por tratado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12"/>
        <w:gridCol w:w="1666"/>
        <w:gridCol w:w="4192"/>
      </w:tblGrid>
      <w:tr w:rsidR="00317208" w:rsidRPr="00317208" w:rsidTr="00CC4349">
        <w:tc>
          <w:tcPr>
            <w:tcW w:w="1512" w:type="dxa"/>
            <w:tcBorders>
              <w:top w:val="single" w:sz="4" w:space="0" w:color="auto"/>
              <w:bottom w:val="single" w:sz="12" w:space="0" w:color="auto"/>
            </w:tcBorders>
            <w:shd w:val="clear" w:color="auto" w:fill="auto"/>
            <w:vAlign w:val="bottom"/>
          </w:tcPr>
          <w:p w:rsidR="00317208" w:rsidRPr="00317208" w:rsidRDefault="00317208" w:rsidP="00317208">
            <w:pPr>
              <w:pStyle w:val="SingleTxtG"/>
              <w:spacing w:before="80" w:after="80" w:line="200" w:lineRule="exact"/>
              <w:ind w:left="0" w:right="113"/>
              <w:jc w:val="left"/>
              <w:rPr>
                <w:i/>
                <w:sz w:val="16"/>
                <w:lang w:val="es-UY"/>
              </w:rPr>
            </w:pPr>
            <w:r w:rsidRPr="00317208">
              <w:rPr>
                <w:i/>
                <w:sz w:val="16"/>
                <w:lang w:val="es-UY"/>
              </w:rPr>
              <w:t>Tratado</w:t>
            </w:r>
          </w:p>
        </w:tc>
        <w:tc>
          <w:tcPr>
            <w:tcW w:w="1666" w:type="dxa"/>
            <w:tcBorders>
              <w:top w:val="single" w:sz="4" w:space="0" w:color="auto"/>
              <w:bottom w:val="single" w:sz="12" w:space="0" w:color="auto"/>
            </w:tcBorders>
            <w:shd w:val="clear" w:color="auto" w:fill="auto"/>
            <w:vAlign w:val="bottom"/>
          </w:tcPr>
          <w:p w:rsidR="00317208" w:rsidRPr="00317208" w:rsidRDefault="00317208" w:rsidP="00317208">
            <w:pPr>
              <w:pStyle w:val="SingleTxtG"/>
              <w:spacing w:before="80" w:after="80" w:line="200" w:lineRule="exact"/>
              <w:ind w:left="0" w:right="113"/>
              <w:jc w:val="left"/>
              <w:rPr>
                <w:i/>
                <w:sz w:val="16"/>
                <w:lang w:val="es-UY"/>
              </w:rPr>
            </w:pPr>
            <w:r w:rsidRPr="00317208">
              <w:rPr>
                <w:i/>
                <w:sz w:val="16"/>
                <w:lang w:val="es-UY"/>
              </w:rPr>
              <w:t>Plazo de presentación del informe inicial (tras la ratificación)</w:t>
            </w:r>
          </w:p>
        </w:tc>
        <w:tc>
          <w:tcPr>
            <w:tcW w:w="4192" w:type="dxa"/>
            <w:tcBorders>
              <w:top w:val="single" w:sz="4" w:space="0" w:color="auto"/>
              <w:bottom w:val="single" w:sz="12" w:space="0" w:color="auto"/>
            </w:tcBorders>
            <w:shd w:val="clear" w:color="auto" w:fill="auto"/>
            <w:vAlign w:val="bottom"/>
          </w:tcPr>
          <w:p w:rsidR="00317208" w:rsidRPr="00317208" w:rsidRDefault="00317208" w:rsidP="00317208">
            <w:pPr>
              <w:pStyle w:val="SingleTxtG"/>
              <w:spacing w:before="80" w:after="80" w:line="200" w:lineRule="exact"/>
              <w:ind w:left="0" w:right="113"/>
              <w:jc w:val="left"/>
              <w:rPr>
                <w:i/>
                <w:sz w:val="16"/>
                <w:lang w:val="es-UY"/>
              </w:rPr>
            </w:pPr>
            <w:r w:rsidRPr="00317208">
              <w:rPr>
                <w:i/>
                <w:sz w:val="16"/>
                <w:lang w:val="es-UY"/>
              </w:rPr>
              <w:t>Frecuencia con que deben presentarse los informes periódicos</w:t>
            </w:r>
          </w:p>
        </w:tc>
      </w:tr>
      <w:tr w:rsidR="00317208" w:rsidTr="00CC4349">
        <w:trPr>
          <w:trHeight w:hRule="exact" w:val="113"/>
        </w:trPr>
        <w:tc>
          <w:tcPr>
            <w:tcW w:w="1512" w:type="dxa"/>
            <w:tcBorders>
              <w:top w:val="single" w:sz="12" w:space="0" w:color="auto"/>
            </w:tcBorders>
            <w:shd w:val="clear" w:color="auto" w:fill="auto"/>
          </w:tcPr>
          <w:p w:rsidR="00317208" w:rsidRDefault="00317208" w:rsidP="00317208">
            <w:pPr>
              <w:pStyle w:val="SingleTxtG"/>
              <w:spacing w:before="40"/>
              <w:ind w:left="0" w:right="113"/>
              <w:jc w:val="left"/>
              <w:rPr>
                <w:lang w:val="es-UY"/>
              </w:rPr>
            </w:pPr>
          </w:p>
        </w:tc>
        <w:tc>
          <w:tcPr>
            <w:tcW w:w="1666" w:type="dxa"/>
            <w:tcBorders>
              <w:top w:val="single" w:sz="12" w:space="0" w:color="auto"/>
            </w:tcBorders>
            <w:shd w:val="clear" w:color="auto" w:fill="auto"/>
          </w:tcPr>
          <w:p w:rsidR="00317208" w:rsidRDefault="00317208" w:rsidP="00317208">
            <w:pPr>
              <w:pStyle w:val="SingleTxtG"/>
              <w:spacing w:before="40"/>
              <w:ind w:left="0" w:right="113"/>
              <w:jc w:val="left"/>
              <w:rPr>
                <w:lang w:val="es-UY"/>
              </w:rPr>
            </w:pPr>
          </w:p>
        </w:tc>
        <w:tc>
          <w:tcPr>
            <w:tcW w:w="4192" w:type="dxa"/>
            <w:tcBorders>
              <w:top w:val="single" w:sz="12" w:space="0" w:color="auto"/>
            </w:tcBorders>
            <w:shd w:val="clear" w:color="auto" w:fill="auto"/>
          </w:tcPr>
          <w:p w:rsidR="00317208" w:rsidRDefault="00317208" w:rsidP="00317208">
            <w:pPr>
              <w:pStyle w:val="SingleTxtG"/>
              <w:spacing w:before="40"/>
              <w:ind w:left="0" w:right="113"/>
              <w:jc w:val="left"/>
              <w:rPr>
                <w:lang w:val="es-UY"/>
              </w:rPr>
            </w:pP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ICERD</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1 año</w:t>
            </w:r>
          </w:p>
        </w:tc>
        <w:tc>
          <w:tcPr>
            <w:tcW w:w="419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2 años</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ICESCR</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2 años</w:t>
            </w:r>
          </w:p>
        </w:tc>
        <w:tc>
          <w:tcPr>
            <w:tcW w:w="419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5 años</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ICCPR</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1 año</w:t>
            </w:r>
          </w:p>
        </w:tc>
        <w:tc>
          <w:tcPr>
            <w:tcW w:w="4192" w:type="dxa"/>
            <w:shd w:val="clear" w:color="auto" w:fill="auto"/>
          </w:tcPr>
          <w:p w:rsidR="00317208" w:rsidRPr="006766AC" w:rsidRDefault="00317208" w:rsidP="00317208">
            <w:pPr>
              <w:pStyle w:val="SingleTxtG"/>
              <w:spacing w:before="40"/>
              <w:ind w:left="0" w:right="113"/>
              <w:jc w:val="left"/>
              <w:rPr>
                <w:lang w:val="es-UY"/>
              </w:rPr>
            </w:pPr>
            <w:r w:rsidRPr="00317208">
              <w:rPr>
                <w:lang w:val="es-UY"/>
              </w:rPr>
              <w:t>3, 4, 5, 6 o 7 años, conforme a lo solicitado por el Comité</w:t>
            </w:r>
            <w:r w:rsidRPr="009505BC">
              <w:rPr>
                <w:i/>
                <w:iCs/>
                <w:vertAlign w:val="superscript"/>
                <w:lang w:val="es-UY"/>
              </w:rPr>
              <w:t>a</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CEDAW</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1 año</w:t>
            </w:r>
          </w:p>
        </w:tc>
        <w:tc>
          <w:tcPr>
            <w:tcW w:w="419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4 años</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CAT</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1 año</w:t>
            </w:r>
          </w:p>
        </w:tc>
        <w:tc>
          <w:tcPr>
            <w:tcW w:w="419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4 años</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CRC</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2 años</w:t>
            </w:r>
          </w:p>
        </w:tc>
        <w:tc>
          <w:tcPr>
            <w:tcW w:w="419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5 años</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OP-CRC-SC</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2 años</w:t>
            </w:r>
          </w:p>
        </w:tc>
        <w:tc>
          <w:tcPr>
            <w:tcW w:w="4192" w:type="dxa"/>
            <w:shd w:val="clear" w:color="auto" w:fill="auto"/>
          </w:tcPr>
          <w:p w:rsidR="00317208" w:rsidRPr="006766AC" w:rsidRDefault="00317208" w:rsidP="00317208">
            <w:pPr>
              <w:pStyle w:val="SingleTxtG"/>
              <w:spacing w:before="40"/>
              <w:ind w:left="0" w:right="113"/>
              <w:jc w:val="left"/>
              <w:rPr>
                <w:lang w:val="es-UY"/>
              </w:rPr>
            </w:pPr>
            <w:r w:rsidRPr="00317208">
              <w:rPr>
                <w:lang w:val="es-UY"/>
              </w:rPr>
              <w:t xml:space="preserve">Con el siguiente informe que se presente en virtud de la Convención sobre los Derechos del Niño o 5 años si el Estado parte ha ratificado únicamente el Protocolo Facultativo </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OP-CRC-AC</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2 años</w:t>
            </w:r>
          </w:p>
        </w:tc>
        <w:tc>
          <w:tcPr>
            <w:tcW w:w="4192" w:type="dxa"/>
            <w:shd w:val="clear" w:color="auto" w:fill="auto"/>
          </w:tcPr>
          <w:p w:rsidR="00317208" w:rsidRPr="006766AC" w:rsidRDefault="00317208" w:rsidP="00317208">
            <w:pPr>
              <w:pStyle w:val="SingleTxtG"/>
              <w:spacing w:before="40"/>
              <w:ind w:left="0" w:right="113"/>
              <w:jc w:val="left"/>
              <w:rPr>
                <w:lang w:val="es-UY"/>
              </w:rPr>
            </w:pPr>
            <w:r w:rsidRPr="00317208">
              <w:rPr>
                <w:lang w:val="es-UY"/>
              </w:rPr>
              <w:t>Con el siguiente informe que se presente en virtud de la Convención sobre los Derechos del Niño o 5 años si el Estado parte ha ratificado únicamente el Protocolo Facultativo</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ICRMW</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1 año</w:t>
            </w:r>
          </w:p>
        </w:tc>
        <w:tc>
          <w:tcPr>
            <w:tcW w:w="419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5 años</w:t>
            </w:r>
          </w:p>
        </w:tc>
      </w:tr>
      <w:tr w:rsidR="00317208" w:rsidTr="00CC4349">
        <w:tc>
          <w:tcPr>
            <w:tcW w:w="151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CRPD</w:t>
            </w:r>
          </w:p>
        </w:tc>
        <w:tc>
          <w:tcPr>
            <w:tcW w:w="1666"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2 años</w:t>
            </w:r>
          </w:p>
        </w:tc>
        <w:tc>
          <w:tcPr>
            <w:tcW w:w="4192" w:type="dxa"/>
            <w:shd w:val="clear" w:color="auto" w:fill="auto"/>
          </w:tcPr>
          <w:p w:rsidR="00317208" w:rsidRPr="00317208" w:rsidRDefault="00317208" w:rsidP="00317208">
            <w:pPr>
              <w:pStyle w:val="SingleTxtG"/>
              <w:spacing w:before="40"/>
              <w:ind w:left="0" w:right="113"/>
              <w:jc w:val="left"/>
              <w:rPr>
                <w:lang w:val="es-UY"/>
              </w:rPr>
            </w:pPr>
            <w:r w:rsidRPr="00317208">
              <w:rPr>
                <w:lang w:val="es-UY"/>
              </w:rPr>
              <w:t>4 años</w:t>
            </w:r>
          </w:p>
        </w:tc>
      </w:tr>
      <w:tr w:rsidR="00317208" w:rsidTr="00CC4349">
        <w:tc>
          <w:tcPr>
            <w:tcW w:w="1512" w:type="dxa"/>
            <w:tcBorders>
              <w:bottom w:val="single" w:sz="12" w:space="0" w:color="auto"/>
            </w:tcBorders>
            <w:shd w:val="clear" w:color="auto" w:fill="auto"/>
          </w:tcPr>
          <w:p w:rsidR="00317208" w:rsidRPr="00317208" w:rsidRDefault="00317208" w:rsidP="00317208">
            <w:pPr>
              <w:pStyle w:val="SingleTxtG"/>
              <w:spacing w:before="40"/>
              <w:ind w:left="0" w:right="113"/>
              <w:jc w:val="left"/>
              <w:rPr>
                <w:lang w:val="es-UY"/>
              </w:rPr>
            </w:pPr>
            <w:r w:rsidRPr="00317208">
              <w:rPr>
                <w:lang w:val="es-UY"/>
              </w:rPr>
              <w:t>ICPPED</w:t>
            </w:r>
          </w:p>
        </w:tc>
        <w:tc>
          <w:tcPr>
            <w:tcW w:w="1666" w:type="dxa"/>
            <w:tcBorders>
              <w:bottom w:val="single" w:sz="12" w:space="0" w:color="auto"/>
            </w:tcBorders>
            <w:shd w:val="clear" w:color="auto" w:fill="auto"/>
          </w:tcPr>
          <w:p w:rsidR="00317208" w:rsidRPr="00317208" w:rsidRDefault="00317208" w:rsidP="00317208">
            <w:pPr>
              <w:pStyle w:val="SingleTxtG"/>
              <w:spacing w:before="40"/>
              <w:ind w:left="0" w:right="113"/>
              <w:jc w:val="left"/>
              <w:rPr>
                <w:lang w:val="es-UY"/>
              </w:rPr>
            </w:pPr>
            <w:r w:rsidRPr="00317208">
              <w:rPr>
                <w:lang w:val="es-UY"/>
              </w:rPr>
              <w:t>2 años</w:t>
            </w:r>
          </w:p>
        </w:tc>
        <w:tc>
          <w:tcPr>
            <w:tcW w:w="4192" w:type="dxa"/>
            <w:tcBorders>
              <w:bottom w:val="single" w:sz="12" w:space="0" w:color="auto"/>
            </w:tcBorders>
            <w:shd w:val="clear" w:color="auto" w:fill="auto"/>
          </w:tcPr>
          <w:p w:rsidR="00317208" w:rsidRPr="00317208" w:rsidRDefault="00317208" w:rsidP="00317208">
            <w:pPr>
              <w:pStyle w:val="SingleTxtG"/>
              <w:spacing w:before="40"/>
              <w:ind w:left="0" w:right="113"/>
              <w:jc w:val="left"/>
              <w:rPr>
                <w:lang w:val="es-UY"/>
              </w:rPr>
            </w:pPr>
            <w:r w:rsidRPr="00317208">
              <w:rPr>
                <w:lang w:val="es-UY"/>
              </w:rPr>
              <w:t>Conforme a lo solicitado por el Comité contra la Desaparición Forzada (art. 29, párr. 4)</w:t>
            </w:r>
          </w:p>
        </w:tc>
      </w:tr>
    </w:tbl>
    <w:p w:rsidR="006766AC" w:rsidRPr="00317208" w:rsidRDefault="006766AC" w:rsidP="009505BC">
      <w:pPr>
        <w:pStyle w:val="SingleTxtG"/>
        <w:spacing w:before="120" w:after="240"/>
        <w:ind w:firstLine="170"/>
        <w:jc w:val="left"/>
        <w:rPr>
          <w:sz w:val="18"/>
          <w:szCs w:val="18"/>
          <w:lang w:val="es-UY"/>
        </w:rPr>
      </w:pPr>
      <w:r w:rsidRPr="00317208">
        <w:rPr>
          <w:i/>
          <w:sz w:val="18"/>
          <w:szCs w:val="18"/>
          <w:vertAlign w:val="superscript"/>
        </w:rPr>
        <w:t>a</w:t>
      </w:r>
      <w:r w:rsidRPr="00317208">
        <w:rPr>
          <w:sz w:val="18"/>
          <w:szCs w:val="18"/>
        </w:rPr>
        <w:t xml:space="preserve"> </w:t>
      </w:r>
      <w:r w:rsidR="00317208">
        <w:rPr>
          <w:sz w:val="18"/>
          <w:szCs w:val="18"/>
        </w:rPr>
        <w:t xml:space="preserve"> </w:t>
      </w:r>
      <w:r w:rsidRPr="00317208">
        <w:rPr>
          <w:sz w:val="18"/>
          <w:szCs w:val="18"/>
        </w:rPr>
        <w:t xml:space="preserve">En su 114º período de sesiones (2015), el Comité de Derechos Humanos decidió, que, a la hora de determinar los plazos para la presentación de futuros informes, concedería un año adicional a los </w:t>
      </w:r>
      <w:r w:rsidRPr="00317208">
        <w:rPr>
          <w:sz w:val="18"/>
          <w:szCs w:val="18"/>
        </w:rPr>
        <w:lastRenderedPageBreak/>
        <w:t>Estados que presentaran sus informes con arreglo al procedimiento simplificado de presentación de informes con respecto a los países que utilizaran el procedimiento habitual, en aras de la igualdad de condiciones entre ambos grupos de países (véase A/71/40, párrafo 75). En consecuencia, el Comité puede ahora pedir a los Estados partes que opten por el procedimiento simplificado que presenten sus informes a intervalos máximos de siete años (es decir, el máximo de seis años contemplado por el procedimiento habitual y un año adicional).</w:t>
      </w:r>
    </w:p>
    <w:p w:rsidR="006766AC" w:rsidRPr="006766AC" w:rsidRDefault="006766AC" w:rsidP="00304577">
      <w:pPr>
        <w:pStyle w:val="SingleTxtG"/>
        <w:rPr>
          <w:lang w:val="es-UY"/>
        </w:rPr>
      </w:pPr>
      <w:r w:rsidRPr="006766AC">
        <w:t>5.</w:t>
      </w:r>
      <w:r w:rsidRPr="006766AC">
        <w:tab/>
        <w:t xml:space="preserve">No se prevé ningún plazo específico en el caso del Pacto Internacional de Derechos Económicos, Sociales y Culturales ni en el del Pacto Internacional de Derechos Civiles y Políticos. Sin embargo, en su artículo 40, el Pacto Internacional de Derechos Civiles y Políticos da potestad al Comité de Derechos Humanos para decidir la fecha de presentación de los informes periódicos. El Comité exige que los informes periódicos se presenten cada tres a seis años después del examen del último informe del Estado parte, según el caso. En su artículo 17, el Pacto Internacional de Derechos Económicos, Sociales y Culturales faculta al Consejo Económico y Social para establecer la frecuencia con que se deben presentar los informes. De conformidad con la Convención Internacional sobre la Eliminación de Todas las Formas de Discriminación Racial, los Estados partes deben presentar informes cada dos años, pero pueden combinar dos informes en un solo documento, lo que en la práctica da lugar a un intervalo de cuatro años. Si bien la Convención Internacional para la Protección de Todas las Personas contra las Desapariciones Forzadas no contiene ninguna disposición relativa a los informes periódicos, en virtud de su artículo 29, párrafo 4, el Comité contra la Desaparición Forzada puede pedir a los Estados partes informaciones complementarias sobre la aplicación de la Convención. </w:t>
      </w:r>
    </w:p>
    <w:p w:rsidR="006766AC" w:rsidRPr="006766AC" w:rsidRDefault="00304577" w:rsidP="00304577">
      <w:pPr>
        <w:pStyle w:val="HChG"/>
        <w:rPr>
          <w:lang w:val="es-UY"/>
        </w:rPr>
      </w:pPr>
      <w:r>
        <w:tab/>
      </w:r>
      <w:r w:rsidR="006766AC" w:rsidRPr="006766AC">
        <w:t>III.</w:t>
      </w:r>
      <w:r w:rsidR="006766AC" w:rsidRPr="006766AC">
        <w:tab/>
        <w:t>Cumplimiento de las obligaciones en materia de presentación</w:t>
      </w:r>
      <w:r>
        <w:t> </w:t>
      </w:r>
      <w:r w:rsidR="006766AC" w:rsidRPr="006766AC">
        <w:t>de informes por los Estados partes al</w:t>
      </w:r>
      <w:r>
        <w:t> </w:t>
      </w:r>
      <w:r w:rsidR="006766AC" w:rsidRPr="006766AC">
        <w:t>31</w:t>
      </w:r>
      <w:r>
        <w:t> </w:t>
      </w:r>
      <w:r w:rsidR="006766AC" w:rsidRPr="006766AC">
        <w:t>de</w:t>
      </w:r>
      <w:r>
        <w:t> </w:t>
      </w:r>
      <w:r w:rsidR="006766AC" w:rsidRPr="006766AC">
        <w:t>diciembre de 2017</w:t>
      </w:r>
    </w:p>
    <w:p w:rsidR="006766AC" w:rsidRPr="006766AC" w:rsidRDefault="00304577" w:rsidP="00304577">
      <w:pPr>
        <w:pStyle w:val="H1G"/>
        <w:rPr>
          <w:lang w:val="es-UY"/>
        </w:rPr>
      </w:pPr>
      <w:r>
        <w:tab/>
      </w:r>
      <w:r w:rsidR="006766AC" w:rsidRPr="006766AC">
        <w:t>A.</w:t>
      </w:r>
      <w:r w:rsidR="006766AC" w:rsidRPr="006766AC">
        <w:tab/>
        <w:t>Estados partes en situación de pleno cumplimiento</w:t>
      </w:r>
    </w:p>
    <w:p w:rsidR="00304577" w:rsidRDefault="006766AC" w:rsidP="00304577">
      <w:pPr>
        <w:pStyle w:val="SingleTxtG"/>
      </w:pPr>
      <w:r w:rsidRPr="006766AC">
        <w:t>6.</w:t>
      </w:r>
      <w:r w:rsidRPr="006766AC">
        <w:tab/>
        <w:t>Al 31 de diciembre de 2017, 36 de los 197 Estados partes habían cumplido plenamente sus obligaciones en materia de presentación de informes previstas en los correspondientes tratados internacionales de derechos humanos y sus protocolos. Eso equivalía al 18% de los Estados partes. La mayoría (22) de los Estados que habían cumplido plenamente sus obligaciones habían ratificado 9 o 10 de los instrumentos de derechos humanos pertinentes; 4 habían ratificado 5 o menos instrumentos y 4 habían ratificado los 11 instrumentos de derechos humanos pertinentes (véase el cuadro 2). La proporción de Estados que han cumplido plenamente sus obligaciones es igual a la de 2017 (véase HRI/MC/2017/2, cuadro 2), pero ligeramente superior a la registrada en 2015 y 2016. En 2015, esta proporción fue del 15% (29 de 196 Estados); en 2016 fue del 13% (25</w:t>
      </w:r>
      <w:r w:rsidR="00304577">
        <w:t> </w:t>
      </w:r>
      <w:r w:rsidRPr="006766AC">
        <w:t>de 197 Estados (véase HRI/MC/2015/5, párr. 8, y HRI/MC/2016/2, párr. 6)</w:t>
      </w:r>
      <w:r w:rsidR="009505BC">
        <w:t>)</w:t>
      </w:r>
      <w:r w:rsidRPr="006766AC">
        <w:t>.</w:t>
      </w:r>
    </w:p>
    <w:p w:rsidR="006766AC" w:rsidRPr="006766AC" w:rsidRDefault="006766AC" w:rsidP="00304577">
      <w:pPr>
        <w:pStyle w:val="Ttulo1"/>
        <w:rPr>
          <w:lang w:val="es-UY"/>
        </w:rPr>
      </w:pPr>
      <w:r w:rsidRPr="006766AC">
        <w:t xml:space="preserve">Cuadro 2 </w:t>
      </w:r>
    </w:p>
    <w:p w:rsidR="006766AC" w:rsidRDefault="006766AC" w:rsidP="00304577">
      <w:pPr>
        <w:pStyle w:val="SingleTxtG"/>
        <w:rPr>
          <w:b/>
          <w:bCs/>
        </w:rPr>
      </w:pPr>
      <w:r w:rsidRPr="00304577">
        <w:rPr>
          <w:b/>
          <w:bCs/>
        </w:rPr>
        <w:t>Estados partes en situación de pleno cumplimiento al 31 de diciembre de 2017</w:t>
      </w:r>
    </w:p>
    <w:tbl>
      <w:tblPr>
        <w:tblStyle w:val="Tablaconcuadrcula"/>
        <w:tblW w:w="84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00"/>
        <w:gridCol w:w="1876"/>
        <w:gridCol w:w="2463"/>
        <w:gridCol w:w="1974"/>
      </w:tblGrid>
      <w:tr w:rsidR="006B10C5" w:rsidRPr="00523FAB" w:rsidTr="003207A2">
        <w:trPr>
          <w:tblHeader/>
        </w:trPr>
        <w:tc>
          <w:tcPr>
            <w:tcW w:w="2100" w:type="dxa"/>
            <w:tcBorders>
              <w:top w:val="single" w:sz="4" w:space="0" w:color="auto"/>
              <w:bottom w:val="single" w:sz="12" w:space="0" w:color="auto"/>
            </w:tcBorders>
            <w:shd w:val="clear" w:color="auto" w:fill="auto"/>
            <w:vAlign w:val="bottom"/>
          </w:tcPr>
          <w:p w:rsidR="006B10C5" w:rsidRPr="00523FAB" w:rsidRDefault="006B10C5" w:rsidP="006B10C5">
            <w:pPr>
              <w:pStyle w:val="SingleTxtG"/>
              <w:spacing w:before="80" w:after="80" w:line="200" w:lineRule="exact"/>
              <w:ind w:left="0" w:right="113"/>
              <w:jc w:val="left"/>
              <w:rPr>
                <w:i/>
                <w:sz w:val="16"/>
              </w:rPr>
            </w:pPr>
            <w:r w:rsidRPr="006B10C5">
              <w:rPr>
                <w:i/>
                <w:sz w:val="16"/>
              </w:rPr>
              <w:t>Estado parte</w:t>
            </w:r>
          </w:p>
        </w:tc>
        <w:tc>
          <w:tcPr>
            <w:tcW w:w="1876" w:type="dxa"/>
            <w:tcBorders>
              <w:top w:val="single" w:sz="4" w:space="0" w:color="auto"/>
              <w:bottom w:val="single" w:sz="12" w:space="0" w:color="auto"/>
            </w:tcBorders>
            <w:shd w:val="clear" w:color="auto" w:fill="auto"/>
            <w:vAlign w:val="bottom"/>
          </w:tcPr>
          <w:p w:rsidR="006B10C5" w:rsidRPr="006B10C5" w:rsidRDefault="006B10C5" w:rsidP="006B10C5">
            <w:pPr>
              <w:pStyle w:val="SingleTxtG"/>
              <w:spacing w:before="80" w:after="80" w:line="200" w:lineRule="exact"/>
              <w:ind w:left="0" w:right="113"/>
              <w:jc w:val="left"/>
              <w:rPr>
                <w:i/>
                <w:sz w:val="16"/>
              </w:rPr>
            </w:pPr>
            <w:r w:rsidRPr="006B10C5">
              <w:rPr>
                <w:i/>
                <w:sz w:val="16"/>
              </w:rPr>
              <w:t>Número de tratados internacionales de derechos humanos y protocolos facultativos en que se prevé un procedimiento de presentación de informes que ha ratificado o a los que se ha adherido</w:t>
            </w:r>
          </w:p>
        </w:tc>
        <w:tc>
          <w:tcPr>
            <w:tcW w:w="2463" w:type="dxa"/>
            <w:tcBorders>
              <w:top w:val="single" w:sz="4" w:space="0" w:color="auto"/>
              <w:bottom w:val="single" w:sz="12" w:space="0" w:color="auto"/>
            </w:tcBorders>
            <w:shd w:val="clear" w:color="auto" w:fill="auto"/>
            <w:vAlign w:val="bottom"/>
          </w:tcPr>
          <w:p w:rsidR="006B10C5" w:rsidRPr="006B10C5" w:rsidRDefault="006B10C5" w:rsidP="006B10C5">
            <w:pPr>
              <w:pStyle w:val="SingleTxtG"/>
              <w:spacing w:before="80" w:after="80" w:line="200" w:lineRule="exact"/>
              <w:ind w:left="0" w:right="113"/>
              <w:jc w:val="left"/>
              <w:rPr>
                <w:i/>
                <w:sz w:val="16"/>
              </w:rPr>
            </w:pPr>
            <w:r w:rsidRPr="006B10C5">
              <w:rPr>
                <w:i/>
                <w:sz w:val="16"/>
              </w:rPr>
              <w:t>Estado parte</w:t>
            </w:r>
          </w:p>
        </w:tc>
        <w:tc>
          <w:tcPr>
            <w:tcW w:w="1974" w:type="dxa"/>
            <w:tcBorders>
              <w:top w:val="single" w:sz="4" w:space="0" w:color="auto"/>
              <w:bottom w:val="single" w:sz="12" w:space="0" w:color="auto"/>
            </w:tcBorders>
            <w:shd w:val="clear" w:color="auto" w:fill="auto"/>
            <w:vAlign w:val="bottom"/>
          </w:tcPr>
          <w:p w:rsidR="006B10C5" w:rsidRPr="006B10C5" w:rsidRDefault="006B10C5" w:rsidP="006B10C5">
            <w:pPr>
              <w:pStyle w:val="SingleTxtG"/>
              <w:spacing w:before="80" w:after="80" w:line="200" w:lineRule="exact"/>
              <w:ind w:left="0" w:right="113"/>
              <w:jc w:val="left"/>
              <w:rPr>
                <w:i/>
                <w:sz w:val="16"/>
              </w:rPr>
            </w:pPr>
            <w:r w:rsidRPr="006B10C5">
              <w:rPr>
                <w:i/>
                <w:sz w:val="16"/>
              </w:rPr>
              <w:t>Número de tratados internacionales de derechos humanos y protocolos facultativos en que se prevé un procedimiento de presentación de informes que ha ratificado o a los que se ha adherido</w:t>
            </w:r>
          </w:p>
        </w:tc>
      </w:tr>
      <w:tr w:rsidR="006B10C5" w:rsidTr="003207A2">
        <w:trPr>
          <w:trHeight w:hRule="exact" w:val="113"/>
          <w:tblHeader/>
        </w:trPr>
        <w:tc>
          <w:tcPr>
            <w:tcW w:w="2100" w:type="dxa"/>
            <w:tcBorders>
              <w:top w:val="single" w:sz="12" w:space="0" w:color="auto"/>
            </w:tcBorders>
            <w:shd w:val="clear" w:color="auto" w:fill="auto"/>
          </w:tcPr>
          <w:p w:rsidR="006B10C5" w:rsidRDefault="006B10C5" w:rsidP="006B10C5">
            <w:pPr>
              <w:pStyle w:val="SingleTxtG"/>
              <w:spacing w:before="40"/>
              <w:ind w:left="0" w:right="113"/>
              <w:jc w:val="left"/>
            </w:pPr>
          </w:p>
        </w:tc>
        <w:tc>
          <w:tcPr>
            <w:tcW w:w="1876" w:type="dxa"/>
            <w:tcBorders>
              <w:top w:val="single" w:sz="12" w:space="0" w:color="auto"/>
            </w:tcBorders>
            <w:shd w:val="clear" w:color="auto" w:fill="auto"/>
          </w:tcPr>
          <w:p w:rsidR="006B10C5" w:rsidRDefault="006B10C5" w:rsidP="006B10C5">
            <w:pPr>
              <w:pStyle w:val="SingleTxtG"/>
              <w:spacing w:before="40"/>
              <w:ind w:left="0" w:right="113"/>
              <w:jc w:val="left"/>
            </w:pPr>
          </w:p>
        </w:tc>
        <w:tc>
          <w:tcPr>
            <w:tcW w:w="2463" w:type="dxa"/>
            <w:tcBorders>
              <w:top w:val="single" w:sz="12" w:space="0" w:color="auto"/>
            </w:tcBorders>
            <w:shd w:val="clear" w:color="auto" w:fill="auto"/>
          </w:tcPr>
          <w:p w:rsidR="006B10C5" w:rsidRDefault="006B10C5" w:rsidP="006B10C5">
            <w:pPr>
              <w:pStyle w:val="SingleTxtG"/>
              <w:spacing w:before="40"/>
              <w:ind w:left="0" w:right="113"/>
              <w:jc w:val="left"/>
            </w:pPr>
          </w:p>
        </w:tc>
        <w:tc>
          <w:tcPr>
            <w:tcW w:w="1974" w:type="dxa"/>
            <w:tcBorders>
              <w:top w:val="single" w:sz="12" w:space="0" w:color="auto"/>
            </w:tcBorders>
            <w:shd w:val="clear" w:color="auto" w:fill="auto"/>
          </w:tcPr>
          <w:p w:rsidR="006B10C5" w:rsidRDefault="006B10C5" w:rsidP="006B10C5">
            <w:pPr>
              <w:pStyle w:val="SingleTxtG"/>
              <w:spacing w:before="40"/>
              <w:ind w:left="0" w:right="113"/>
              <w:jc w:val="left"/>
            </w:pP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Alemania</w:t>
            </w:r>
          </w:p>
        </w:tc>
        <w:tc>
          <w:tcPr>
            <w:tcW w:w="1876" w:type="dxa"/>
            <w:shd w:val="clear" w:color="auto" w:fill="auto"/>
          </w:tcPr>
          <w:p w:rsidR="00102828" w:rsidRPr="00102828" w:rsidRDefault="00102828" w:rsidP="00102828">
            <w:pPr>
              <w:pStyle w:val="SingleTxtG"/>
              <w:spacing w:before="40"/>
              <w:ind w:left="0" w:right="113"/>
              <w:jc w:val="left"/>
            </w:pPr>
            <w:r w:rsidRPr="006766AC">
              <w:t>10</w:t>
            </w:r>
          </w:p>
        </w:tc>
        <w:tc>
          <w:tcPr>
            <w:tcW w:w="2463" w:type="dxa"/>
            <w:shd w:val="clear" w:color="auto" w:fill="auto"/>
          </w:tcPr>
          <w:p w:rsidR="00102828" w:rsidRPr="00102828" w:rsidDel="00251EF8" w:rsidRDefault="00102828" w:rsidP="00102828">
            <w:pPr>
              <w:pStyle w:val="SingleTxtG"/>
              <w:spacing w:before="40"/>
              <w:ind w:left="0" w:right="113"/>
              <w:jc w:val="left"/>
            </w:pPr>
            <w:r w:rsidRPr="006766AC">
              <w:t>Kuwait</w:t>
            </w:r>
          </w:p>
        </w:tc>
        <w:tc>
          <w:tcPr>
            <w:tcW w:w="1974" w:type="dxa"/>
            <w:shd w:val="clear" w:color="auto" w:fill="auto"/>
          </w:tcPr>
          <w:p w:rsidR="00102828" w:rsidRPr="00102828" w:rsidRDefault="00102828" w:rsidP="00102828">
            <w:pPr>
              <w:pStyle w:val="SingleTxtG"/>
              <w:spacing w:before="40"/>
              <w:ind w:left="0" w:right="113"/>
              <w:jc w:val="left"/>
            </w:pPr>
            <w:r w:rsidRPr="006766AC">
              <w:t>9</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Angola</w:t>
            </w:r>
          </w:p>
        </w:tc>
        <w:tc>
          <w:tcPr>
            <w:tcW w:w="1876" w:type="dxa"/>
            <w:shd w:val="clear" w:color="auto" w:fill="auto"/>
          </w:tcPr>
          <w:p w:rsidR="00102828" w:rsidRPr="00102828" w:rsidRDefault="00102828" w:rsidP="00102828">
            <w:pPr>
              <w:pStyle w:val="SingleTxtG"/>
              <w:spacing w:before="40"/>
              <w:ind w:left="0" w:right="113"/>
              <w:jc w:val="left"/>
            </w:pPr>
            <w:r w:rsidRPr="006766AC">
              <w:t>7</w:t>
            </w:r>
          </w:p>
        </w:tc>
        <w:tc>
          <w:tcPr>
            <w:tcW w:w="2463" w:type="dxa"/>
            <w:shd w:val="clear" w:color="auto" w:fill="auto"/>
          </w:tcPr>
          <w:p w:rsidR="00102828" w:rsidRPr="00102828" w:rsidRDefault="00102828" w:rsidP="00102828">
            <w:pPr>
              <w:pStyle w:val="SingleTxtG"/>
              <w:spacing w:before="40"/>
              <w:ind w:left="0" w:right="113"/>
              <w:jc w:val="left"/>
            </w:pPr>
            <w:r w:rsidRPr="006766AC">
              <w:t>Lituania</w:t>
            </w:r>
          </w:p>
        </w:tc>
        <w:tc>
          <w:tcPr>
            <w:tcW w:w="1974" w:type="dxa"/>
            <w:shd w:val="clear" w:color="auto" w:fill="auto"/>
          </w:tcPr>
          <w:p w:rsidR="00102828" w:rsidRPr="00102828" w:rsidRDefault="00102828" w:rsidP="00102828">
            <w:pPr>
              <w:pStyle w:val="SingleTxtG"/>
              <w:spacing w:before="40"/>
              <w:ind w:left="0" w:right="113"/>
              <w:jc w:val="left"/>
            </w:pPr>
            <w:r w:rsidRPr="006766AC">
              <w:t>10</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lastRenderedPageBreak/>
              <w:t>Arabia Saudita</w:t>
            </w:r>
          </w:p>
        </w:tc>
        <w:tc>
          <w:tcPr>
            <w:tcW w:w="1876" w:type="dxa"/>
            <w:shd w:val="clear" w:color="auto" w:fill="auto"/>
          </w:tcPr>
          <w:p w:rsidR="00102828" w:rsidRPr="00102828" w:rsidRDefault="00102828" w:rsidP="00102828">
            <w:pPr>
              <w:pStyle w:val="SingleTxtG"/>
              <w:spacing w:before="40"/>
              <w:ind w:left="0" w:right="113"/>
              <w:jc w:val="left"/>
            </w:pPr>
            <w:r w:rsidRPr="006766AC">
              <w:t>7</w:t>
            </w:r>
          </w:p>
        </w:tc>
        <w:tc>
          <w:tcPr>
            <w:tcW w:w="2463" w:type="dxa"/>
            <w:shd w:val="clear" w:color="auto" w:fill="auto"/>
          </w:tcPr>
          <w:p w:rsidR="00102828" w:rsidRPr="00102828" w:rsidRDefault="00102828" w:rsidP="00102828">
            <w:pPr>
              <w:pStyle w:val="SingleTxtG"/>
              <w:spacing w:before="40"/>
              <w:ind w:left="0" w:right="113"/>
              <w:jc w:val="left"/>
            </w:pPr>
            <w:r w:rsidRPr="006766AC">
              <w:t>México</w:t>
            </w:r>
          </w:p>
        </w:tc>
        <w:tc>
          <w:tcPr>
            <w:tcW w:w="1974" w:type="dxa"/>
            <w:shd w:val="clear" w:color="auto" w:fill="auto"/>
          </w:tcPr>
          <w:p w:rsidR="00102828" w:rsidRPr="00102828" w:rsidRDefault="00102828" w:rsidP="00102828">
            <w:pPr>
              <w:pStyle w:val="SingleTxtG"/>
              <w:spacing w:before="40"/>
              <w:ind w:left="0" w:right="113"/>
              <w:jc w:val="left"/>
            </w:pPr>
            <w:r w:rsidRPr="006766AC">
              <w:t>11</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Argentina</w:t>
            </w:r>
          </w:p>
        </w:tc>
        <w:tc>
          <w:tcPr>
            <w:tcW w:w="1876" w:type="dxa"/>
            <w:shd w:val="clear" w:color="auto" w:fill="auto"/>
          </w:tcPr>
          <w:p w:rsidR="00102828" w:rsidRPr="00102828" w:rsidRDefault="00102828" w:rsidP="00102828">
            <w:pPr>
              <w:pStyle w:val="SingleTxtG"/>
              <w:spacing w:before="40"/>
              <w:ind w:left="0" w:right="113"/>
              <w:jc w:val="left"/>
            </w:pPr>
            <w:r w:rsidRPr="006766AC">
              <w:t>11</w:t>
            </w:r>
          </w:p>
        </w:tc>
        <w:tc>
          <w:tcPr>
            <w:tcW w:w="2463" w:type="dxa"/>
            <w:shd w:val="clear" w:color="auto" w:fill="auto"/>
          </w:tcPr>
          <w:p w:rsidR="00102828" w:rsidRPr="00102828" w:rsidRDefault="00102828" w:rsidP="00102828">
            <w:pPr>
              <w:pStyle w:val="SingleTxtG"/>
              <w:spacing w:before="40"/>
              <w:ind w:left="0" w:right="113"/>
              <w:jc w:val="left"/>
            </w:pPr>
            <w:r w:rsidRPr="006766AC">
              <w:t>Mongolia</w:t>
            </w:r>
          </w:p>
        </w:tc>
        <w:tc>
          <w:tcPr>
            <w:tcW w:w="1974" w:type="dxa"/>
            <w:shd w:val="clear" w:color="auto" w:fill="auto"/>
          </w:tcPr>
          <w:p w:rsidR="00102828" w:rsidRPr="00102828" w:rsidRDefault="00102828" w:rsidP="00102828">
            <w:pPr>
              <w:pStyle w:val="SingleTxtG"/>
              <w:spacing w:before="40"/>
              <w:ind w:left="0" w:right="113"/>
              <w:jc w:val="left"/>
            </w:pPr>
            <w:r w:rsidRPr="006766AC">
              <w:t>10</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Australia</w:t>
            </w:r>
          </w:p>
        </w:tc>
        <w:tc>
          <w:tcPr>
            <w:tcW w:w="1876" w:type="dxa"/>
            <w:shd w:val="clear" w:color="auto" w:fill="auto"/>
          </w:tcPr>
          <w:p w:rsidR="00102828" w:rsidRPr="00102828" w:rsidRDefault="00102828" w:rsidP="00102828">
            <w:pPr>
              <w:pStyle w:val="SingleTxtG"/>
              <w:spacing w:before="40"/>
              <w:ind w:left="0" w:right="113"/>
              <w:jc w:val="left"/>
            </w:pPr>
            <w:r w:rsidRPr="006766AC">
              <w:t>9</w:t>
            </w:r>
          </w:p>
        </w:tc>
        <w:tc>
          <w:tcPr>
            <w:tcW w:w="2463" w:type="dxa"/>
            <w:shd w:val="clear" w:color="auto" w:fill="auto"/>
          </w:tcPr>
          <w:p w:rsidR="00102828" w:rsidRPr="00102828" w:rsidRDefault="00102828" w:rsidP="00102828">
            <w:pPr>
              <w:pStyle w:val="SingleTxtG"/>
              <w:spacing w:before="40"/>
              <w:ind w:left="0" w:right="113"/>
              <w:jc w:val="left"/>
            </w:pPr>
            <w:r w:rsidRPr="006766AC">
              <w:t>Montenegro</w:t>
            </w:r>
          </w:p>
        </w:tc>
        <w:tc>
          <w:tcPr>
            <w:tcW w:w="1974" w:type="dxa"/>
            <w:shd w:val="clear" w:color="auto" w:fill="auto"/>
          </w:tcPr>
          <w:p w:rsidR="00102828" w:rsidRPr="00102828" w:rsidRDefault="00102828" w:rsidP="00102828">
            <w:pPr>
              <w:pStyle w:val="SingleTxtG"/>
              <w:spacing w:before="40"/>
              <w:ind w:left="0" w:right="113"/>
              <w:jc w:val="left"/>
            </w:pPr>
            <w:r w:rsidRPr="006766AC">
              <w:t>10</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Azerbaiyán</w:t>
            </w:r>
          </w:p>
        </w:tc>
        <w:tc>
          <w:tcPr>
            <w:tcW w:w="1876" w:type="dxa"/>
            <w:shd w:val="clear" w:color="auto" w:fill="auto"/>
          </w:tcPr>
          <w:p w:rsidR="00102828" w:rsidRPr="00102828" w:rsidRDefault="00102828" w:rsidP="00102828">
            <w:pPr>
              <w:pStyle w:val="SingleTxtG"/>
              <w:spacing w:before="40"/>
              <w:ind w:left="0" w:right="113"/>
              <w:jc w:val="left"/>
            </w:pPr>
            <w:r w:rsidRPr="006766AC">
              <w:t>10</w:t>
            </w:r>
          </w:p>
        </w:tc>
        <w:tc>
          <w:tcPr>
            <w:tcW w:w="2463" w:type="dxa"/>
            <w:shd w:val="clear" w:color="auto" w:fill="auto"/>
          </w:tcPr>
          <w:p w:rsidR="00102828" w:rsidRPr="00102828" w:rsidDel="007409F7" w:rsidRDefault="00102828" w:rsidP="00102828">
            <w:pPr>
              <w:pStyle w:val="SingleTxtG"/>
              <w:spacing w:before="40"/>
              <w:ind w:left="0" w:right="113"/>
              <w:jc w:val="left"/>
            </w:pPr>
            <w:r w:rsidRPr="006766AC">
              <w:t>Niue</w:t>
            </w:r>
          </w:p>
        </w:tc>
        <w:tc>
          <w:tcPr>
            <w:tcW w:w="1974" w:type="dxa"/>
            <w:shd w:val="clear" w:color="auto" w:fill="auto"/>
          </w:tcPr>
          <w:p w:rsidR="00102828" w:rsidRPr="00102828" w:rsidRDefault="00102828" w:rsidP="00102828">
            <w:pPr>
              <w:pStyle w:val="SingleTxtG"/>
              <w:spacing w:before="40"/>
              <w:ind w:left="0" w:right="113"/>
              <w:jc w:val="left"/>
            </w:pPr>
            <w:r w:rsidRPr="006766AC">
              <w:t>1</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Bhután</w:t>
            </w:r>
          </w:p>
        </w:tc>
        <w:tc>
          <w:tcPr>
            <w:tcW w:w="1876" w:type="dxa"/>
            <w:shd w:val="clear" w:color="auto" w:fill="auto"/>
          </w:tcPr>
          <w:p w:rsidR="00102828" w:rsidRPr="00102828" w:rsidRDefault="00102828" w:rsidP="00102828">
            <w:pPr>
              <w:pStyle w:val="SingleTxtG"/>
              <w:spacing w:before="40"/>
              <w:ind w:left="0" w:right="113"/>
              <w:jc w:val="left"/>
            </w:pPr>
            <w:r w:rsidRPr="006766AC">
              <w:t>4</w:t>
            </w:r>
          </w:p>
        </w:tc>
        <w:tc>
          <w:tcPr>
            <w:tcW w:w="2463" w:type="dxa"/>
            <w:shd w:val="clear" w:color="auto" w:fill="auto"/>
          </w:tcPr>
          <w:p w:rsidR="00102828" w:rsidRPr="00102828" w:rsidRDefault="00102828" w:rsidP="00102828">
            <w:pPr>
              <w:pStyle w:val="SingleTxtG"/>
              <w:spacing w:before="40"/>
              <w:ind w:left="0" w:right="113"/>
              <w:jc w:val="left"/>
            </w:pPr>
            <w:r w:rsidRPr="006766AC">
              <w:t>Noruega</w:t>
            </w:r>
          </w:p>
        </w:tc>
        <w:tc>
          <w:tcPr>
            <w:tcW w:w="1974" w:type="dxa"/>
            <w:shd w:val="clear" w:color="auto" w:fill="auto"/>
          </w:tcPr>
          <w:p w:rsidR="00102828" w:rsidRPr="00102828" w:rsidRDefault="00102828" w:rsidP="00102828">
            <w:pPr>
              <w:pStyle w:val="SingleTxtG"/>
              <w:spacing w:before="40"/>
              <w:ind w:left="0" w:right="113"/>
              <w:jc w:val="left"/>
            </w:pPr>
            <w:r w:rsidRPr="006766AC">
              <w:t>9</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Canadá</w:t>
            </w:r>
          </w:p>
        </w:tc>
        <w:tc>
          <w:tcPr>
            <w:tcW w:w="1876" w:type="dxa"/>
            <w:shd w:val="clear" w:color="auto" w:fill="auto"/>
          </w:tcPr>
          <w:p w:rsidR="00102828" w:rsidRPr="00102828" w:rsidRDefault="00102828" w:rsidP="00102828">
            <w:pPr>
              <w:pStyle w:val="SingleTxtG"/>
              <w:spacing w:before="40"/>
              <w:ind w:left="0" w:right="113"/>
              <w:jc w:val="left"/>
            </w:pPr>
            <w:r w:rsidRPr="006766AC">
              <w:t>9</w:t>
            </w:r>
          </w:p>
        </w:tc>
        <w:tc>
          <w:tcPr>
            <w:tcW w:w="2463" w:type="dxa"/>
            <w:shd w:val="clear" w:color="auto" w:fill="auto"/>
          </w:tcPr>
          <w:p w:rsidR="00102828" w:rsidRPr="00102828" w:rsidRDefault="00102828" w:rsidP="00102828">
            <w:pPr>
              <w:pStyle w:val="SingleTxtG"/>
              <w:spacing w:before="40"/>
              <w:ind w:left="0" w:right="113"/>
              <w:jc w:val="left"/>
            </w:pPr>
            <w:r w:rsidRPr="006766AC">
              <w:t>Nueva Zelandia</w:t>
            </w:r>
          </w:p>
        </w:tc>
        <w:tc>
          <w:tcPr>
            <w:tcW w:w="1974" w:type="dxa"/>
            <w:shd w:val="clear" w:color="auto" w:fill="auto"/>
          </w:tcPr>
          <w:p w:rsidR="00102828" w:rsidRPr="00102828" w:rsidRDefault="00102828" w:rsidP="00102828">
            <w:pPr>
              <w:pStyle w:val="SingleTxtG"/>
              <w:spacing w:before="40"/>
              <w:ind w:left="0" w:right="113"/>
              <w:jc w:val="left"/>
            </w:pPr>
            <w:r w:rsidRPr="006766AC">
              <w:t>9</w:t>
            </w:r>
          </w:p>
        </w:tc>
      </w:tr>
      <w:tr w:rsidR="00102828" w:rsidTr="003207A2">
        <w:tc>
          <w:tcPr>
            <w:tcW w:w="2100" w:type="dxa"/>
            <w:shd w:val="clear" w:color="auto" w:fill="auto"/>
          </w:tcPr>
          <w:p w:rsidR="00102828" w:rsidRPr="00102828" w:rsidDel="00251EF8" w:rsidRDefault="00102828" w:rsidP="00102828">
            <w:pPr>
              <w:pStyle w:val="SingleTxtG"/>
              <w:spacing w:before="40"/>
              <w:ind w:left="0" w:right="113"/>
              <w:jc w:val="left"/>
            </w:pPr>
            <w:r w:rsidRPr="006766AC">
              <w:t>Chequia</w:t>
            </w:r>
          </w:p>
        </w:tc>
        <w:tc>
          <w:tcPr>
            <w:tcW w:w="1876" w:type="dxa"/>
            <w:shd w:val="clear" w:color="auto" w:fill="auto"/>
          </w:tcPr>
          <w:p w:rsidR="00102828" w:rsidRPr="00102828" w:rsidDel="00251EF8" w:rsidRDefault="00102828" w:rsidP="00102828">
            <w:pPr>
              <w:pStyle w:val="SingleTxtG"/>
              <w:spacing w:before="40"/>
              <w:ind w:left="0" w:right="113"/>
              <w:jc w:val="left"/>
            </w:pPr>
            <w:r w:rsidRPr="006766AC">
              <w:t>10</w:t>
            </w:r>
          </w:p>
        </w:tc>
        <w:tc>
          <w:tcPr>
            <w:tcW w:w="2463" w:type="dxa"/>
            <w:shd w:val="clear" w:color="auto" w:fill="auto"/>
          </w:tcPr>
          <w:p w:rsidR="00102828" w:rsidRPr="00102828" w:rsidRDefault="00102828" w:rsidP="00102828">
            <w:pPr>
              <w:pStyle w:val="SingleTxtG"/>
              <w:spacing w:before="40"/>
              <w:ind w:left="0" w:right="113"/>
              <w:jc w:val="left"/>
            </w:pPr>
            <w:r w:rsidRPr="006766AC">
              <w:t>Omán</w:t>
            </w:r>
          </w:p>
        </w:tc>
        <w:tc>
          <w:tcPr>
            <w:tcW w:w="1974" w:type="dxa"/>
            <w:shd w:val="clear" w:color="auto" w:fill="auto"/>
          </w:tcPr>
          <w:p w:rsidR="00102828" w:rsidRPr="00102828" w:rsidRDefault="00102828" w:rsidP="00102828">
            <w:pPr>
              <w:pStyle w:val="SingleTxtG"/>
              <w:spacing w:before="40"/>
              <w:ind w:left="0" w:right="113"/>
              <w:jc w:val="left"/>
            </w:pPr>
            <w:r w:rsidRPr="006766AC">
              <w:t>6</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China</w:t>
            </w:r>
          </w:p>
        </w:tc>
        <w:tc>
          <w:tcPr>
            <w:tcW w:w="1876" w:type="dxa"/>
            <w:shd w:val="clear" w:color="auto" w:fill="auto"/>
          </w:tcPr>
          <w:p w:rsidR="00102828" w:rsidRPr="00102828" w:rsidRDefault="00102828" w:rsidP="00102828">
            <w:pPr>
              <w:pStyle w:val="SingleTxtG"/>
              <w:spacing w:before="40"/>
              <w:ind w:left="0" w:right="113"/>
              <w:jc w:val="left"/>
            </w:pPr>
            <w:r w:rsidRPr="006766AC">
              <w:t>8</w:t>
            </w:r>
          </w:p>
        </w:tc>
        <w:tc>
          <w:tcPr>
            <w:tcW w:w="2463" w:type="dxa"/>
            <w:shd w:val="clear" w:color="auto" w:fill="auto"/>
          </w:tcPr>
          <w:p w:rsidR="00102828" w:rsidRPr="00102828" w:rsidRDefault="00102828" w:rsidP="00102828">
            <w:pPr>
              <w:pStyle w:val="SingleTxtG"/>
              <w:spacing w:before="40"/>
              <w:ind w:left="0" w:right="113"/>
              <w:jc w:val="left"/>
            </w:pPr>
            <w:r w:rsidRPr="006766AC">
              <w:t>Países Bajos</w:t>
            </w:r>
          </w:p>
        </w:tc>
        <w:tc>
          <w:tcPr>
            <w:tcW w:w="1974" w:type="dxa"/>
            <w:shd w:val="clear" w:color="auto" w:fill="auto"/>
          </w:tcPr>
          <w:p w:rsidR="00102828" w:rsidRPr="00102828" w:rsidRDefault="00102828" w:rsidP="00102828">
            <w:pPr>
              <w:pStyle w:val="SingleTxtG"/>
              <w:spacing w:before="40"/>
              <w:ind w:left="0" w:right="113"/>
              <w:jc w:val="left"/>
            </w:pPr>
            <w:r w:rsidRPr="006766AC">
              <w:t>10</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Dinamarca</w:t>
            </w:r>
          </w:p>
        </w:tc>
        <w:tc>
          <w:tcPr>
            <w:tcW w:w="1876" w:type="dxa"/>
            <w:shd w:val="clear" w:color="auto" w:fill="auto"/>
          </w:tcPr>
          <w:p w:rsidR="00102828" w:rsidRPr="00102828" w:rsidRDefault="00102828" w:rsidP="00102828">
            <w:pPr>
              <w:pStyle w:val="SingleTxtG"/>
              <w:spacing w:before="40"/>
              <w:ind w:left="0" w:right="113"/>
              <w:jc w:val="left"/>
            </w:pPr>
            <w:r w:rsidRPr="006766AC">
              <w:t>9</w:t>
            </w:r>
          </w:p>
        </w:tc>
        <w:tc>
          <w:tcPr>
            <w:tcW w:w="2463" w:type="dxa"/>
            <w:shd w:val="clear" w:color="auto" w:fill="auto"/>
          </w:tcPr>
          <w:p w:rsidR="00102828" w:rsidRPr="00102828" w:rsidRDefault="00102828" w:rsidP="00102828">
            <w:pPr>
              <w:pStyle w:val="SingleTxtG"/>
              <w:spacing w:before="40"/>
              <w:ind w:left="0" w:right="113"/>
              <w:jc w:val="left"/>
            </w:pPr>
            <w:r w:rsidRPr="006766AC">
              <w:t>Qatar</w:t>
            </w:r>
          </w:p>
        </w:tc>
        <w:tc>
          <w:tcPr>
            <w:tcW w:w="1974" w:type="dxa"/>
            <w:shd w:val="clear" w:color="auto" w:fill="auto"/>
          </w:tcPr>
          <w:p w:rsidR="00102828" w:rsidRPr="00102828" w:rsidRDefault="00102828" w:rsidP="00102828">
            <w:pPr>
              <w:pStyle w:val="SingleTxtG"/>
              <w:spacing w:before="40"/>
              <w:ind w:left="0" w:right="113"/>
              <w:jc w:val="left"/>
            </w:pPr>
            <w:r w:rsidRPr="006766AC">
              <w:t>7</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España</w:t>
            </w:r>
          </w:p>
        </w:tc>
        <w:tc>
          <w:tcPr>
            <w:tcW w:w="1876" w:type="dxa"/>
            <w:shd w:val="clear" w:color="auto" w:fill="auto"/>
          </w:tcPr>
          <w:p w:rsidR="00102828" w:rsidRPr="00102828" w:rsidRDefault="00102828" w:rsidP="00102828">
            <w:pPr>
              <w:pStyle w:val="SingleTxtG"/>
              <w:spacing w:before="40"/>
              <w:ind w:left="0" w:right="113"/>
              <w:jc w:val="left"/>
            </w:pPr>
            <w:r w:rsidRPr="006766AC">
              <w:t>10</w:t>
            </w:r>
          </w:p>
        </w:tc>
        <w:tc>
          <w:tcPr>
            <w:tcW w:w="2463" w:type="dxa"/>
            <w:shd w:val="clear" w:color="auto" w:fill="auto"/>
          </w:tcPr>
          <w:p w:rsidR="00102828" w:rsidRPr="00102828" w:rsidRDefault="00102828" w:rsidP="00102828">
            <w:pPr>
              <w:pStyle w:val="SingleTxtG"/>
              <w:spacing w:before="40"/>
              <w:ind w:left="0" w:right="113"/>
              <w:jc w:val="left"/>
            </w:pPr>
            <w:r w:rsidRPr="006766AC">
              <w:t>Reino Unido de Gran Bretaña e Irlanda del Norte</w:t>
            </w:r>
          </w:p>
        </w:tc>
        <w:tc>
          <w:tcPr>
            <w:tcW w:w="1974" w:type="dxa"/>
            <w:shd w:val="clear" w:color="auto" w:fill="auto"/>
          </w:tcPr>
          <w:p w:rsidR="00102828" w:rsidRPr="00102828" w:rsidRDefault="00102828" w:rsidP="00102828">
            <w:pPr>
              <w:pStyle w:val="SingleTxtG"/>
              <w:spacing w:before="40"/>
              <w:ind w:left="0" w:right="113"/>
              <w:jc w:val="left"/>
            </w:pPr>
            <w:r w:rsidRPr="006766AC">
              <w:t>9</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Federación de Rusia</w:t>
            </w:r>
          </w:p>
        </w:tc>
        <w:tc>
          <w:tcPr>
            <w:tcW w:w="1876" w:type="dxa"/>
            <w:shd w:val="clear" w:color="auto" w:fill="auto"/>
          </w:tcPr>
          <w:p w:rsidR="00102828" w:rsidRPr="00102828" w:rsidRDefault="00102828" w:rsidP="00102828">
            <w:pPr>
              <w:pStyle w:val="SingleTxtG"/>
              <w:spacing w:before="40"/>
              <w:ind w:left="0" w:right="113"/>
              <w:jc w:val="left"/>
            </w:pPr>
            <w:r w:rsidRPr="006766AC">
              <w:t>9</w:t>
            </w:r>
          </w:p>
        </w:tc>
        <w:tc>
          <w:tcPr>
            <w:tcW w:w="2463" w:type="dxa"/>
            <w:shd w:val="clear" w:color="auto" w:fill="auto"/>
          </w:tcPr>
          <w:p w:rsidR="00102828" w:rsidRPr="00102828" w:rsidRDefault="00102828" w:rsidP="00102828">
            <w:pPr>
              <w:pStyle w:val="SingleTxtG"/>
              <w:spacing w:before="40"/>
              <w:ind w:left="0" w:right="113"/>
              <w:jc w:val="left"/>
            </w:pPr>
            <w:r w:rsidRPr="006766AC">
              <w:t>Singapur</w:t>
            </w:r>
          </w:p>
        </w:tc>
        <w:tc>
          <w:tcPr>
            <w:tcW w:w="1974" w:type="dxa"/>
            <w:shd w:val="clear" w:color="auto" w:fill="auto"/>
          </w:tcPr>
          <w:p w:rsidR="00102828" w:rsidRPr="00102828" w:rsidRDefault="00102828" w:rsidP="00102828">
            <w:pPr>
              <w:pStyle w:val="SingleTxtG"/>
              <w:spacing w:before="40"/>
              <w:ind w:left="0" w:right="113"/>
              <w:jc w:val="left"/>
            </w:pPr>
            <w:r w:rsidRPr="006766AC">
              <w:t>5</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Guatemala</w:t>
            </w:r>
          </w:p>
        </w:tc>
        <w:tc>
          <w:tcPr>
            <w:tcW w:w="1876" w:type="dxa"/>
            <w:shd w:val="clear" w:color="auto" w:fill="auto"/>
          </w:tcPr>
          <w:p w:rsidR="00102828" w:rsidRPr="00102828" w:rsidRDefault="00102828" w:rsidP="00102828">
            <w:pPr>
              <w:pStyle w:val="SingleTxtG"/>
              <w:spacing w:before="40"/>
              <w:ind w:left="0" w:right="113"/>
              <w:jc w:val="left"/>
            </w:pPr>
            <w:r w:rsidRPr="006766AC">
              <w:t>10</w:t>
            </w:r>
          </w:p>
        </w:tc>
        <w:tc>
          <w:tcPr>
            <w:tcW w:w="2463" w:type="dxa"/>
            <w:shd w:val="clear" w:color="auto" w:fill="auto"/>
          </w:tcPr>
          <w:p w:rsidR="00102828" w:rsidRPr="00102828" w:rsidRDefault="00102828" w:rsidP="00102828">
            <w:pPr>
              <w:pStyle w:val="SingleTxtG"/>
              <w:spacing w:before="40"/>
              <w:ind w:left="0" w:right="113"/>
              <w:jc w:val="left"/>
            </w:pPr>
            <w:r w:rsidRPr="006766AC">
              <w:t>Suecia</w:t>
            </w:r>
          </w:p>
        </w:tc>
        <w:tc>
          <w:tcPr>
            <w:tcW w:w="1974" w:type="dxa"/>
            <w:shd w:val="clear" w:color="auto" w:fill="auto"/>
          </w:tcPr>
          <w:p w:rsidR="00102828" w:rsidRPr="00102828" w:rsidRDefault="00102828" w:rsidP="00102828">
            <w:pPr>
              <w:pStyle w:val="SingleTxtG"/>
              <w:spacing w:before="40"/>
              <w:ind w:left="0" w:right="113"/>
              <w:jc w:val="left"/>
            </w:pPr>
            <w:r w:rsidRPr="006766AC">
              <w:t>9</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Honduras</w:t>
            </w:r>
          </w:p>
        </w:tc>
        <w:tc>
          <w:tcPr>
            <w:tcW w:w="1876" w:type="dxa"/>
            <w:shd w:val="clear" w:color="auto" w:fill="auto"/>
          </w:tcPr>
          <w:p w:rsidR="00102828" w:rsidRPr="00102828" w:rsidRDefault="00102828" w:rsidP="00102828">
            <w:pPr>
              <w:pStyle w:val="SingleTxtG"/>
              <w:spacing w:before="40"/>
              <w:ind w:left="0" w:right="113"/>
              <w:jc w:val="left"/>
            </w:pPr>
            <w:r w:rsidRPr="006766AC">
              <w:t>11</w:t>
            </w:r>
          </w:p>
        </w:tc>
        <w:tc>
          <w:tcPr>
            <w:tcW w:w="2463" w:type="dxa"/>
            <w:shd w:val="clear" w:color="auto" w:fill="auto"/>
          </w:tcPr>
          <w:p w:rsidR="00102828" w:rsidRPr="00102828" w:rsidRDefault="00102828" w:rsidP="00102828">
            <w:pPr>
              <w:pStyle w:val="SingleTxtG"/>
              <w:spacing w:before="40"/>
              <w:ind w:left="0" w:right="113"/>
              <w:jc w:val="left"/>
            </w:pPr>
            <w:r w:rsidRPr="006766AC">
              <w:t>Turkmenistán</w:t>
            </w:r>
          </w:p>
        </w:tc>
        <w:tc>
          <w:tcPr>
            <w:tcW w:w="1974" w:type="dxa"/>
            <w:shd w:val="clear" w:color="auto" w:fill="auto"/>
          </w:tcPr>
          <w:p w:rsidR="00102828" w:rsidRPr="00102828" w:rsidRDefault="00102828" w:rsidP="00102828">
            <w:pPr>
              <w:pStyle w:val="SingleTxtG"/>
              <w:spacing w:before="40"/>
              <w:ind w:left="0" w:right="113"/>
              <w:jc w:val="left"/>
            </w:pPr>
            <w:r w:rsidRPr="006766AC">
              <w:t>9</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Iraq</w:t>
            </w:r>
          </w:p>
        </w:tc>
        <w:tc>
          <w:tcPr>
            <w:tcW w:w="1876" w:type="dxa"/>
            <w:shd w:val="clear" w:color="auto" w:fill="auto"/>
          </w:tcPr>
          <w:p w:rsidR="00102828" w:rsidRPr="00102828" w:rsidRDefault="00102828" w:rsidP="00102828">
            <w:pPr>
              <w:pStyle w:val="SingleTxtG"/>
              <w:spacing w:before="40"/>
              <w:ind w:left="0" w:right="113"/>
              <w:jc w:val="left"/>
            </w:pPr>
            <w:r w:rsidRPr="006766AC">
              <w:t>10</w:t>
            </w:r>
          </w:p>
        </w:tc>
        <w:tc>
          <w:tcPr>
            <w:tcW w:w="2463" w:type="dxa"/>
            <w:shd w:val="clear" w:color="auto" w:fill="auto"/>
          </w:tcPr>
          <w:p w:rsidR="00102828" w:rsidRPr="00102828" w:rsidRDefault="00102828" w:rsidP="00102828">
            <w:pPr>
              <w:pStyle w:val="SingleTxtG"/>
              <w:spacing w:before="40"/>
              <w:ind w:left="0" w:right="113"/>
              <w:jc w:val="left"/>
            </w:pPr>
            <w:r w:rsidRPr="006766AC">
              <w:t>Ucrania</w:t>
            </w:r>
          </w:p>
        </w:tc>
        <w:tc>
          <w:tcPr>
            <w:tcW w:w="1974" w:type="dxa"/>
            <w:shd w:val="clear" w:color="auto" w:fill="auto"/>
          </w:tcPr>
          <w:p w:rsidR="00102828" w:rsidRPr="00102828" w:rsidRDefault="00102828" w:rsidP="00102828">
            <w:pPr>
              <w:pStyle w:val="SingleTxtG"/>
              <w:spacing w:before="40"/>
              <w:ind w:left="0" w:right="113"/>
              <w:jc w:val="left"/>
            </w:pPr>
            <w:r w:rsidRPr="006766AC">
              <w:t>10</w:t>
            </w:r>
          </w:p>
        </w:tc>
      </w:tr>
      <w:tr w:rsidR="00102828" w:rsidTr="003207A2">
        <w:tc>
          <w:tcPr>
            <w:tcW w:w="2100" w:type="dxa"/>
            <w:shd w:val="clear" w:color="auto" w:fill="auto"/>
          </w:tcPr>
          <w:p w:rsidR="00102828" w:rsidRPr="00102828" w:rsidRDefault="00102828" w:rsidP="00102828">
            <w:pPr>
              <w:pStyle w:val="SingleTxtG"/>
              <w:spacing w:before="40"/>
              <w:ind w:left="0" w:right="113"/>
              <w:jc w:val="left"/>
            </w:pPr>
            <w:r w:rsidRPr="006766AC">
              <w:t>Islas Cook</w:t>
            </w:r>
          </w:p>
        </w:tc>
        <w:tc>
          <w:tcPr>
            <w:tcW w:w="1876" w:type="dxa"/>
            <w:shd w:val="clear" w:color="auto" w:fill="auto"/>
          </w:tcPr>
          <w:p w:rsidR="00102828" w:rsidRPr="00102828" w:rsidRDefault="00102828" w:rsidP="00102828">
            <w:pPr>
              <w:pStyle w:val="SingleTxtG"/>
              <w:spacing w:before="40"/>
              <w:ind w:left="0" w:right="113"/>
              <w:jc w:val="left"/>
            </w:pPr>
            <w:r w:rsidRPr="006766AC">
              <w:t>3</w:t>
            </w:r>
          </w:p>
        </w:tc>
        <w:tc>
          <w:tcPr>
            <w:tcW w:w="2463" w:type="dxa"/>
            <w:shd w:val="clear" w:color="auto" w:fill="auto"/>
          </w:tcPr>
          <w:p w:rsidR="00102828" w:rsidRPr="00102828" w:rsidRDefault="00102828" w:rsidP="00102828">
            <w:pPr>
              <w:pStyle w:val="SingleTxtG"/>
              <w:spacing w:before="40"/>
              <w:ind w:left="0" w:right="113"/>
              <w:jc w:val="left"/>
            </w:pPr>
            <w:r w:rsidRPr="006766AC">
              <w:t>Uruguay</w:t>
            </w:r>
          </w:p>
        </w:tc>
        <w:tc>
          <w:tcPr>
            <w:tcW w:w="1974" w:type="dxa"/>
            <w:shd w:val="clear" w:color="auto" w:fill="auto"/>
          </w:tcPr>
          <w:p w:rsidR="00102828" w:rsidRPr="00102828" w:rsidRDefault="00102828" w:rsidP="00102828">
            <w:pPr>
              <w:pStyle w:val="SingleTxtG"/>
              <w:spacing w:before="40"/>
              <w:ind w:left="0" w:right="113"/>
              <w:jc w:val="left"/>
            </w:pPr>
            <w:r w:rsidRPr="006766AC">
              <w:t>11</w:t>
            </w:r>
          </w:p>
        </w:tc>
      </w:tr>
      <w:tr w:rsidR="00102828" w:rsidTr="003207A2">
        <w:tc>
          <w:tcPr>
            <w:tcW w:w="2100" w:type="dxa"/>
            <w:tcBorders>
              <w:bottom w:val="single" w:sz="4" w:space="0" w:color="auto"/>
            </w:tcBorders>
            <w:shd w:val="clear" w:color="auto" w:fill="auto"/>
          </w:tcPr>
          <w:p w:rsidR="00102828" w:rsidRPr="00102828" w:rsidRDefault="00102828" w:rsidP="00102828">
            <w:pPr>
              <w:pStyle w:val="SingleTxtG"/>
              <w:spacing w:before="40"/>
              <w:ind w:left="0" w:right="113"/>
              <w:jc w:val="left"/>
            </w:pPr>
            <w:r w:rsidRPr="006766AC">
              <w:t>Italia</w:t>
            </w:r>
          </w:p>
        </w:tc>
        <w:tc>
          <w:tcPr>
            <w:tcW w:w="1876" w:type="dxa"/>
            <w:tcBorders>
              <w:bottom w:val="single" w:sz="4" w:space="0" w:color="auto"/>
            </w:tcBorders>
            <w:shd w:val="clear" w:color="auto" w:fill="auto"/>
          </w:tcPr>
          <w:p w:rsidR="00102828" w:rsidRPr="00102828" w:rsidRDefault="00102828" w:rsidP="00102828">
            <w:pPr>
              <w:pStyle w:val="SingleTxtG"/>
              <w:spacing w:before="40"/>
              <w:ind w:left="0" w:right="113"/>
              <w:jc w:val="left"/>
            </w:pPr>
            <w:r w:rsidRPr="006766AC">
              <w:t>10</w:t>
            </w:r>
          </w:p>
        </w:tc>
        <w:tc>
          <w:tcPr>
            <w:tcW w:w="2463" w:type="dxa"/>
            <w:tcBorders>
              <w:bottom w:val="single" w:sz="4" w:space="0" w:color="auto"/>
            </w:tcBorders>
            <w:shd w:val="clear" w:color="auto" w:fill="auto"/>
          </w:tcPr>
          <w:p w:rsidR="00102828" w:rsidRPr="00102828" w:rsidRDefault="00102828" w:rsidP="00102828">
            <w:pPr>
              <w:pStyle w:val="SingleTxtG"/>
              <w:spacing w:before="40"/>
              <w:ind w:left="0" w:right="113"/>
              <w:jc w:val="left"/>
            </w:pPr>
            <w:r w:rsidRPr="006766AC">
              <w:t>Uzbekistán</w:t>
            </w:r>
          </w:p>
        </w:tc>
        <w:tc>
          <w:tcPr>
            <w:tcW w:w="1974" w:type="dxa"/>
            <w:tcBorders>
              <w:bottom w:val="single" w:sz="4" w:space="0" w:color="auto"/>
            </w:tcBorders>
            <w:shd w:val="clear" w:color="auto" w:fill="auto"/>
          </w:tcPr>
          <w:p w:rsidR="00102828" w:rsidRPr="00102828" w:rsidRDefault="00102828" w:rsidP="00102828">
            <w:pPr>
              <w:pStyle w:val="SingleTxtG"/>
              <w:spacing w:before="40"/>
              <w:ind w:left="0" w:right="113"/>
              <w:jc w:val="left"/>
            </w:pPr>
            <w:r w:rsidRPr="006766AC">
              <w:t>8</w:t>
            </w:r>
          </w:p>
        </w:tc>
      </w:tr>
      <w:tr w:rsidR="00D326CB" w:rsidTr="003207A2">
        <w:tc>
          <w:tcPr>
            <w:tcW w:w="8413" w:type="dxa"/>
            <w:gridSpan w:val="4"/>
            <w:tcBorders>
              <w:top w:val="single" w:sz="4" w:space="0" w:color="auto"/>
              <w:bottom w:val="single" w:sz="12" w:space="0" w:color="auto"/>
            </w:tcBorders>
            <w:shd w:val="clear" w:color="auto" w:fill="auto"/>
          </w:tcPr>
          <w:p w:rsidR="00D326CB" w:rsidRPr="00D326CB" w:rsidRDefault="00D326CB" w:rsidP="00D326CB">
            <w:pPr>
              <w:pStyle w:val="SingleTxtG"/>
              <w:spacing w:before="40"/>
              <w:ind w:left="284" w:right="113"/>
              <w:jc w:val="left"/>
              <w:rPr>
                <w:b/>
                <w:bCs/>
              </w:rPr>
            </w:pPr>
            <w:r w:rsidRPr="00D326CB">
              <w:rPr>
                <w:b/>
                <w:bCs/>
              </w:rPr>
              <w:t>Total: 36 Estados partes</w:t>
            </w:r>
          </w:p>
        </w:tc>
      </w:tr>
    </w:tbl>
    <w:p w:rsidR="006766AC" w:rsidRPr="006766AC" w:rsidRDefault="003207A2" w:rsidP="003207A2">
      <w:pPr>
        <w:pStyle w:val="H1G"/>
        <w:rPr>
          <w:lang w:val="es-UY"/>
        </w:rPr>
      </w:pPr>
      <w:r>
        <w:tab/>
      </w:r>
      <w:r w:rsidR="006766AC" w:rsidRPr="006766AC">
        <w:t>B.</w:t>
      </w:r>
      <w:r w:rsidR="006766AC" w:rsidRPr="006766AC">
        <w:tab/>
        <w:t>Estados partes con informes atrasados</w:t>
      </w:r>
    </w:p>
    <w:p w:rsidR="006766AC" w:rsidRDefault="006766AC" w:rsidP="009505BC">
      <w:pPr>
        <w:pStyle w:val="SingleTxtG"/>
      </w:pPr>
      <w:r w:rsidRPr="006766AC">
        <w:t>7.</w:t>
      </w:r>
      <w:r w:rsidRPr="006766AC">
        <w:tab/>
        <w:t xml:space="preserve">Los informes atrasados son informes iniciales o periódicos que debían haberse presentado pero no se han recibido. Al 31 de diciembre de 2017, 161 de los 197 Estados partes (el 82%) estaban atrasados en la presentación de informes iniciales o periódicos. El número de informes atrasados por Estado parte oscilaba entre </w:t>
      </w:r>
      <w:r w:rsidR="009505BC">
        <w:t>1</w:t>
      </w:r>
      <w:r w:rsidRPr="006766AC">
        <w:t xml:space="preserve"> y </w:t>
      </w:r>
      <w:r w:rsidR="009505BC">
        <w:t>9</w:t>
      </w:r>
      <w:r w:rsidRPr="006766AC">
        <w:t xml:space="preserve">. Cuatro Estados partes tenían </w:t>
      </w:r>
      <w:r w:rsidR="009505BC">
        <w:t>9</w:t>
      </w:r>
      <w:r w:rsidRPr="006766AC">
        <w:t xml:space="preserve"> informes atrasados, 7 Estados partes tenían 8 informes atrasados, 11</w:t>
      </w:r>
      <w:r w:rsidR="009505BC">
        <w:t xml:space="preserve"> </w:t>
      </w:r>
      <w:r w:rsidRPr="006766AC">
        <w:t>Estados partes tenían 7 informes atrasados, 12 Estados partes tenían 6 informes atrasados, 10 Estados partes tenían 5 informes atrasados, 24 Estados partes tenían 4</w:t>
      </w:r>
      <w:r w:rsidR="003207A2">
        <w:t> </w:t>
      </w:r>
      <w:r w:rsidRPr="006766AC">
        <w:t>informes atrasados, 29</w:t>
      </w:r>
      <w:r w:rsidR="009505BC">
        <w:t> </w:t>
      </w:r>
      <w:r w:rsidRPr="006766AC">
        <w:t>Estados partes tenían 3 informes atrasados, 28 Estados partes tenían 2 informes atrasados</w:t>
      </w:r>
      <w:r w:rsidRPr="006766AC" w:rsidDel="00296364">
        <w:t xml:space="preserve"> </w:t>
      </w:r>
      <w:r w:rsidRPr="006766AC">
        <w:t>y 36 Estados partes tenían 1 informe atrasado (véase el cuadro</w:t>
      </w:r>
      <w:r w:rsidR="009505BC">
        <w:t xml:space="preserve"> </w:t>
      </w:r>
      <w:r w:rsidRPr="006766AC">
        <w:t>3). La mayor proporción de Estados partes con informes atrasados</w:t>
      </w:r>
      <w:r w:rsidR="003207A2">
        <w:t xml:space="preserve"> </w:t>
      </w:r>
      <w:r w:rsidRPr="006766AC">
        <w:t>—el 58% (93 Estados)— tenían entre 1 y 3 informes iniciales o periódicos pendientes.</w:t>
      </w:r>
    </w:p>
    <w:p w:rsidR="006766AC" w:rsidRPr="006766AC" w:rsidRDefault="006766AC" w:rsidP="003207A2">
      <w:pPr>
        <w:pStyle w:val="Ttulo1"/>
        <w:rPr>
          <w:lang w:val="es-UY"/>
        </w:rPr>
      </w:pPr>
      <w:r w:rsidRPr="006766AC">
        <w:lastRenderedPageBreak/>
        <w:t>Cuadro 3</w:t>
      </w:r>
    </w:p>
    <w:p w:rsidR="006766AC" w:rsidRDefault="006766AC" w:rsidP="00000238">
      <w:pPr>
        <w:pStyle w:val="SingleTxtG"/>
        <w:keepNext/>
        <w:keepLines/>
        <w:jc w:val="left"/>
        <w:rPr>
          <w:b/>
          <w:bCs/>
        </w:rPr>
      </w:pPr>
      <w:r w:rsidRPr="003207A2">
        <w:rPr>
          <w:b/>
          <w:bCs/>
        </w:rPr>
        <w:t>Estados partes con informes iniciales o periódicos atrasados al 31 de diciembre de</w:t>
      </w:r>
      <w:r w:rsidR="003207A2">
        <w:rPr>
          <w:b/>
          <w:bCs/>
        </w:rPr>
        <w:t> </w:t>
      </w:r>
      <w:r w:rsidRPr="003207A2">
        <w:rPr>
          <w:b/>
          <w:bCs/>
        </w:rPr>
        <w:t>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82"/>
        <w:gridCol w:w="5788"/>
      </w:tblGrid>
      <w:tr w:rsidR="003207A2" w:rsidRPr="003207A2" w:rsidTr="00322AE5">
        <w:tc>
          <w:tcPr>
            <w:tcW w:w="1582" w:type="dxa"/>
            <w:tcBorders>
              <w:top w:val="single" w:sz="4" w:space="0" w:color="auto"/>
              <w:bottom w:val="single" w:sz="12" w:space="0" w:color="auto"/>
            </w:tcBorders>
            <w:shd w:val="clear" w:color="auto" w:fill="auto"/>
            <w:vAlign w:val="bottom"/>
          </w:tcPr>
          <w:p w:rsidR="003207A2" w:rsidRPr="003207A2" w:rsidRDefault="003207A2" w:rsidP="00000238">
            <w:pPr>
              <w:pStyle w:val="SingleTxtG"/>
              <w:keepNext/>
              <w:keepLines/>
              <w:spacing w:before="80" w:after="80" w:line="200" w:lineRule="exact"/>
              <w:ind w:left="0" w:right="113"/>
              <w:jc w:val="left"/>
              <w:rPr>
                <w:i/>
                <w:sz w:val="16"/>
                <w:lang w:val="es-UY"/>
              </w:rPr>
            </w:pPr>
            <w:r w:rsidRPr="003207A2">
              <w:rPr>
                <w:i/>
                <w:sz w:val="16"/>
                <w:lang w:val="es-UY"/>
              </w:rPr>
              <w:t>Número de informes atrasados</w:t>
            </w:r>
          </w:p>
        </w:tc>
        <w:tc>
          <w:tcPr>
            <w:tcW w:w="5788" w:type="dxa"/>
            <w:tcBorders>
              <w:top w:val="single" w:sz="4" w:space="0" w:color="auto"/>
              <w:bottom w:val="single" w:sz="12" w:space="0" w:color="auto"/>
            </w:tcBorders>
            <w:shd w:val="clear" w:color="auto" w:fill="auto"/>
            <w:vAlign w:val="bottom"/>
          </w:tcPr>
          <w:p w:rsidR="003207A2" w:rsidRPr="003207A2" w:rsidRDefault="003207A2" w:rsidP="00000238">
            <w:pPr>
              <w:pStyle w:val="SingleTxtG"/>
              <w:keepNext/>
              <w:keepLines/>
              <w:spacing w:before="80" w:after="80" w:line="200" w:lineRule="exact"/>
              <w:ind w:left="0" w:right="113"/>
              <w:jc w:val="left"/>
              <w:rPr>
                <w:i/>
                <w:sz w:val="16"/>
                <w:lang w:val="es-UY"/>
              </w:rPr>
            </w:pPr>
            <w:r w:rsidRPr="003207A2">
              <w:rPr>
                <w:i/>
                <w:sz w:val="16"/>
                <w:lang w:val="es-UY"/>
              </w:rPr>
              <w:t>Estados partes</w:t>
            </w:r>
          </w:p>
        </w:tc>
      </w:tr>
      <w:tr w:rsidR="003207A2" w:rsidTr="00322AE5">
        <w:trPr>
          <w:trHeight w:hRule="exact" w:val="113"/>
        </w:trPr>
        <w:tc>
          <w:tcPr>
            <w:tcW w:w="1582" w:type="dxa"/>
            <w:tcBorders>
              <w:top w:val="single" w:sz="12" w:space="0" w:color="auto"/>
            </w:tcBorders>
            <w:shd w:val="clear" w:color="auto" w:fill="auto"/>
          </w:tcPr>
          <w:p w:rsidR="003207A2" w:rsidRDefault="003207A2" w:rsidP="003207A2">
            <w:pPr>
              <w:pStyle w:val="SingleTxtG"/>
              <w:spacing w:before="40"/>
              <w:ind w:left="0" w:right="113"/>
              <w:jc w:val="left"/>
              <w:rPr>
                <w:lang w:val="es-UY"/>
              </w:rPr>
            </w:pPr>
          </w:p>
        </w:tc>
        <w:tc>
          <w:tcPr>
            <w:tcW w:w="5788" w:type="dxa"/>
            <w:tcBorders>
              <w:top w:val="single" w:sz="12" w:space="0" w:color="auto"/>
            </w:tcBorders>
            <w:shd w:val="clear" w:color="auto" w:fill="auto"/>
          </w:tcPr>
          <w:p w:rsidR="003207A2" w:rsidRDefault="003207A2" w:rsidP="003207A2">
            <w:pPr>
              <w:pStyle w:val="SingleTxtG"/>
              <w:spacing w:before="40"/>
              <w:ind w:left="0" w:right="113"/>
              <w:jc w:val="left"/>
              <w:rPr>
                <w:lang w:val="es-UY"/>
              </w:rPr>
            </w:pPr>
          </w:p>
        </w:tc>
      </w:tr>
      <w:tr w:rsidR="003207A2" w:rsidTr="00322AE5">
        <w:tc>
          <w:tcPr>
            <w:tcW w:w="1582" w:type="dxa"/>
            <w:shd w:val="clear" w:color="auto" w:fill="auto"/>
          </w:tcPr>
          <w:p w:rsidR="003207A2" w:rsidRPr="003207A2" w:rsidRDefault="003207A2" w:rsidP="003207A2">
            <w:pPr>
              <w:pStyle w:val="SingleTxtG"/>
              <w:spacing w:before="40"/>
              <w:ind w:left="0" w:right="113"/>
              <w:jc w:val="left"/>
              <w:rPr>
                <w:lang w:val="es-UY"/>
              </w:rPr>
            </w:pPr>
            <w:r w:rsidRPr="003207A2">
              <w:rPr>
                <w:lang w:val="es-UY"/>
              </w:rPr>
              <w:t>9</w:t>
            </w:r>
          </w:p>
        </w:tc>
        <w:tc>
          <w:tcPr>
            <w:tcW w:w="5788" w:type="dxa"/>
            <w:shd w:val="clear" w:color="auto" w:fill="auto"/>
          </w:tcPr>
          <w:p w:rsidR="003207A2" w:rsidRPr="006766AC" w:rsidRDefault="003207A2" w:rsidP="003207A2">
            <w:pPr>
              <w:pStyle w:val="SingleTxtG"/>
              <w:spacing w:before="40"/>
              <w:ind w:left="0" w:right="113"/>
              <w:jc w:val="left"/>
              <w:rPr>
                <w:lang w:val="es-UY"/>
              </w:rPr>
            </w:pPr>
            <w:r w:rsidRPr="003207A2">
              <w:rPr>
                <w:lang w:val="es-UY"/>
              </w:rPr>
              <w:t>Belice, Lesotho, Malí, Nigeria (4 Estados partes)</w:t>
            </w:r>
          </w:p>
        </w:tc>
      </w:tr>
      <w:tr w:rsidR="003207A2" w:rsidTr="00322AE5">
        <w:tc>
          <w:tcPr>
            <w:tcW w:w="1582" w:type="dxa"/>
            <w:shd w:val="clear" w:color="auto" w:fill="auto"/>
          </w:tcPr>
          <w:p w:rsidR="003207A2" w:rsidRDefault="003207A2" w:rsidP="003207A2">
            <w:pPr>
              <w:pStyle w:val="SingleTxtG"/>
              <w:spacing w:before="40"/>
              <w:ind w:left="0" w:right="113"/>
              <w:jc w:val="left"/>
              <w:rPr>
                <w:lang w:val="es-UY"/>
              </w:rPr>
            </w:pPr>
            <w:r w:rsidRPr="003207A2">
              <w:rPr>
                <w:lang w:val="es-UY"/>
              </w:rPr>
              <w:t>8</w:t>
            </w:r>
          </w:p>
        </w:tc>
        <w:tc>
          <w:tcPr>
            <w:tcW w:w="5788" w:type="dxa"/>
            <w:shd w:val="clear" w:color="auto" w:fill="auto"/>
          </w:tcPr>
          <w:p w:rsidR="003207A2" w:rsidRDefault="003207A2" w:rsidP="009505BC">
            <w:pPr>
              <w:pStyle w:val="SingleTxtG"/>
              <w:spacing w:before="40"/>
              <w:ind w:left="0" w:right="113"/>
              <w:jc w:val="left"/>
              <w:rPr>
                <w:lang w:val="es-UY"/>
              </w:rPr>
            </w:pPr>
            <w:r w:rsidRPr="003207A2">
              <w:rPr>
                <w:lang w:val="es-UY"/>
              </w:rPr>
              <w:t>Afganistán, Granada, Guinea-Bissau, Guyana, Mozambique, San</w:t>
            </w:r>
            <w:r w:rsidR="009505BC">
              <w:rPr>
                <w:lang w:val="es-UY"/>
              </w:rPr>
              <w:t> </w:t>
            </w:r>
            <w:r w:rsidRPr="003207A2">
              <w:rPr>
                <w:lang w:val="es-UY"/>
              </w:rPr>
              <w:t>Marino</w:t>
            </w:r>
            <w:r>
              <w:rPr>
                <w:lang w:val="es-UY"/>
              </w:rPr>
              <w:t>,</w:t>
            </w:r>
            <w:r w:rsidRPr="003207A2">
              <w:rPr>
                <w:lang w:val="es-UY"/>
              </w:rPr>
              <w:t xml:space="preserve"> San Vicente y </w:t>
            </w:r>
            <w:r>
              <w:rPr>
                <w:lang w:val="es-UY"/>
              </w:rPr>
              <w:t>las</w:t>
            </w:r>
            <w:r w:rsidRPr="003207A2">
              <w:rPr>
                <w:lang w:val="es-UY"/>
              </w:rPr>
              <w:t xml:space="preserve"> Granadinas (7 Estados partes)</w:t>
            </w:r>
          </w:p>
        </w:tc>
      </w:tr>
      <w:tr w:rsidR="003207A2" w:rsidTr="00322AE5">
        <w:tc>
          <w:tcPr>
            <w:tcW w:w="1582" w:type="dxa"/>
            <w:shd w:val="clear" w:color="auto" w:fill="auto"/>
          </w:tcPr>
          <w:p w:rsidR="003207A2" w:rsidRDefault="003207A2" w:rsidP="003207A2">
            <w:pPr>
              <w:pStyle w:val="SingleTxtG"/>
              <w:spacing w:before="40"/>
              <w:ind w:left="0" w:right="113"/>
              <w:jc w:val="left"/>
              <w:rPr>
                <w:lang w:val="es-UY"/>
              </w:rPr>
            </w:pPr>
            <w:r w:rsidRPr="003207A2">
              <w:rPr>
                <w:lang w:val="es-UY"/>
              </w:rPr>
              <w:t>7</w:t>
            </w:r>
          </w:p>
        </w:tc>
        <w:tc>
          <w:tcPr>
            <w:tcW w:w="5788" w:type="dxa"/>
            <w:shd w:val="clear" w:color="auto" w:fill="auto"/>
          </w:tcPr>
          <w:p w:rsidR="003207A2" w:rsidRDefault="003207A2" w:rsidP="003207A2">
            <w:pPr>
              <w:pStyle w:val="SingleTxtG"/>
              <w:spacing w:before="40"/>
              <w:ind w:left="0" w:right="113"/>
              <w:jc w:val="left"/>
              <w:rPr>
                <w:lang w:val="es-UY"/>
              </w:rPr>
            </w:pPr>
            <w:r w:rsidRPr="003207A2">
              <w:rPr>
                <w:lang w:val="es-UY"/>
              </w:rPr>
              <w:t>Bolivia (Estado Plurinacional de), Brasil, Cabo Verde, Côte d</w:t>
            </w:r>
            <w:r>
              <w:rPr>
                <w:lang w:val="es-UY"/>
              </w:rPr>
              <w:t>’</w:t>
            </w:r>
            <w:r w:rsidRPr="003207A2">
              <w:rPr>
                <w:lang w:val="es-UY"/>
              </w:rPr>
              <w:t>Ivoire, Estado de Palestina</w:t>
            </w:r>
            <w:r>
              <w:rPr>
                <w:lang w:val="es-UY"/>
              </w:rPr>
              <w:t>,</w:t>
            </w:r>
            <w:r w:rsidRPr="003207A2">
              <w:rPr>
                <w:lang w:val="es-UY"/>
              </w:rPr>
              <w:t xml:space="preserve"> Guinea Ecuatorial, Libia, Seychelles, Swazilandia, Togo, Zimbabwe (11 Estados partes)</w:t>
            </w:r>
          </w:p>
        </w:tc>
      </w:tr>
      <w:tr w:rsidR="003207A2" w:rsidTr="00322AE5">
        <w:tc>
          <w:tcPr>
            <w:tcW w:w="1582" w:type="dxa"/>
            <w:shd w:val="clear" w:color="auto" w:fill="auto"/>
          </w:tcPr>
          <w:p w:rsidR="003207A2" w:rsidRDefault="00322AE5" w:rsidP="003207A2">
            <w:pPr>
              <w:pStyle w:val="SingleTxtG"/>
              <w:spacing w:before="40"/>
              <w:ind w:left="0" w:right="113"/>
              <w:jc w:val="left"/>
              <w:rPr>
                <w:lang w:val="es-UY"/>
              </w:rPr>
            </w:pPr>
            <w:r w:rsidRPr="003207A2">
              <w:rPr>
                <w:lang w:val="es-UY"/>
              </w:rPr>
              <w:t>6</w:t>
            </w:r>
          </w:p>
        </w:tc>
        <w:tc>
          <w:tcPr>
            <w:tcW w:w="5788" w:type="dxa"/>
            <w:shd w:val="clear" w:color="auto" w:fill="auto"/>
          </w:tcPr>
          <w:p w:rsidR="003207A2" w:rsidRDefault="00322AE5" w:rsidP="003207A2">
            <w:pPr>
              <w:pStyle w:val="SingleTxtG"/>
              <w:spacing w:before="40"/>
              <w:ind w:left="0" w:right="113"/>
              <w:jc w:val="left"/>
              <w:rPr>
                <w:lang w:val="es-UY"/>
              </w:rPr>
            </w:pPr>
            <w:r w:rsidRPr="003207A2">
              <w:rPr>
                <w:lang w:val="es-UY"/>
              </w:rPr>
              <w:t>Camboya, Chad, Djibouti, Dominica, Eritrea, Indonesia, Nicaragua, Panamá, Papua Nueva Guinea, República Árabe Siria, República Dominicana, Zambia (12 Estados partes)</w:t>
            </w:r>
          </w:p>
        </w:tc>
      </w:tr>
      <w:tr w:rsidR="003207A2" w:rsidTr="00322AE5">
        <w:tc>
          <w:tcPr>
            <w:tcW w:w="1582" w:type="dxa"/>
            <w:shd w:val="clear" w:color="auto" w:fill="auto"/>
          </w:tcPr>
          <w:p w:rsidR="003207A2" w:rsidRDefault="00322AE5" w:rsidP="003207A2">
            <w:pPr>
              <w:pStyle w:val="SingleTxtG"/>
              <w:spacing w:before="40"/>
              <w:ind w:left="0" w:right="113"/>
              <w:jc w:val="left"/>
              <w:rPr>
                <w:lang w:val="es-UY"/>
              </w:rPr>
            </w:pPr>
            <w:r w:rsidRPr="003207A2">
              <w:rPr>
                <w:lang w:val="es-UY"/>
              </w:rPr>
              <w:t>5</w:t>
            </w:r>
          </w:p>
        </w:tc>
        <w:tc>
          <w:tcPr>
            <w:tcW w:w="5788" w:type="dxa"/>
            <w:shd w:val="clear" w:color="auto" w:fill="auto"/>
          </w:tcPr>
          <w:p w:rsidR="003207A2" w:rsidRDefault="00322AE5" w:rsidP="009505BC">
            <w:pPr>
              <w:pStyle w:val="SingleTxtG"/>
              <w:spacing w:before="40"/>
              <w:ind w:left="0" w:right="113"/>
              <w:jc w:val="left"/>
              <w:rPr>
                <w:lang w:val="es-UY"/>
              </w:rPr>
            </w:pPr>
            <w:r w:rsidRPr="003207A2">
              <w:rPr>
                <w:lang w:val="es-UY"/>
              </w:rPr>
              <w:t>Bahamas, Burundi, Congo, Gambia, Jamaica, Malta, República Democrática del Congo, Somalia, Trinidad y Tabago, Uganda (10</w:t>
            </w:r>
            <w:r w:rsidR="009505BC">
              <w:rPr>
                <w:lang w:val="es-UY"/>
              </w:rPr>
              <w:t> </w:t>
            </w:r>
            <w:r w:rsidRPr="003207A2">
              <w:rPr>
                <w:lang w:val="es-UY"/>
              </w:rPr>
              <w:t>Estados partes)</w:t>
            </w:r>
          </w:p>
        </w:tc>
      </w:tr>
      <w:tr w:rsidR="003207A2" w:rsidTr="00322AE5">
        <w:tc>
          <w:tcPr>
            <w:tcW w:w="1582" w:type="dxa"/>
            <w:shd w:val="clear" w:color="auto" w:fill="auto"/>
          </w:tcPr>
          <w:p w:rsidR="003207A2" w:rsidRDefault="00322AE5" w:rsidP="003207A2">
            <w:pPr>
              <w:pStyle w:val="SingleTxtG"/>
              <w:spacing w:before="40"/>
              <w:ind w:left="0" w:right="113"/>
              <w:jc w:val="left"/>
              <w:rPr>
                <w:lang w:val="es-UY"/>
              </w:rPr>
            </w:pPr>
            <w:r w:rsidRPr="003207A2">
              <w:rPr>
                <w:lang w:val="es-UY"/>
              </w:rPr>
              <w:t>4</w:t>
            </w:r>
          </w:p>
        </w:tc>
        <w:tc>
          <w:tcPr>
            <w:tcW w:w="5788" w:type="dxa"/>
            <w:shd w:val="clear" w:color="auto" w:fill="auto"/>
          </w:tcPr>
          <w:p w:rsidR="003207A2" w:rsidRDefault="00322AE5" w:rsidP="003207A2">
            <w:pPr>
              <w:pStyle w:val="SingleTxtG"/>
              <w:spacing w:before="40"/>
              <w:ind w:left="0" w:right="113"/>
              <w:jc w:val="left"/>
              <w:rPr>
                <w:lang w:val="es-UY"/>
              </w:rPr>
            </w:pPr>
            <w:r w:rsidRPr="003207A2">
              <w:rPr>
                <w:lang w:val="es-UY"/>
              </w:rPr>
              <w:t>Argelia, Barbados, Benin, Botswana, Comoras, Cuba, Egipto, Etiopía, Gabón, Ghana, Hungría, Liberia, Madagascar, Malasia, Maldivas, Marruecos, Namibia, República Centroafricana, Rumania, Santa Lucía, Sierra Leona, Túnez, República Unida de Tanzanía, Yemen (24 Estados partes)</w:t>
            </w:r>
          </w:p>
        </w:tc>
      </w:tr>
      <w:tr w:rsidR="003207A2" w:rsidTr="00322AE5">
        <w:tc>
          <w:tcPr>
            <w:tcW w:w="1582" w:type="dxa"/>
            <w:shd w:val="clear" w:color="auto" w:fill="auto"/>
          </w:tcPr>
          <w:p w:rsidR="003207A2" w:rsidRDefault="00322AE5" w:rsidP="003207A2">
            <w:pPr>
              <w:pStyle w:val="SingleTxtG"/>
              <w:spacing w:before="40"/>
              <w:ind w:left="0" w:right="113"/>
              <w:jc w:val="left"/>
              <w:rPr>
                <w:lang w:val="es-UY"/>
              </w:rPr>
            </w:pPr>
            <w:r w:rsidRPr="003207A2">
              <w:rPr>
                <w:lang w:val="es-UY"/>
              </w:rPr>
              <w:t>3</w:t>
            </w:r>
          </w:p>
        </w:tc>
        <w:tc>
          <w:tcPr>
            <w:tcW w:w="5788" w:type="dxa"/>
            <w:shd w:val="clear" w:color="auto" w:fill="auto"/>
          </w:tcPr>
          <w:p w:rsidR="003207A2" w:rsidRDefault="00322AE5" w:rsidP="003207A2">
            <w:pPr>
              <w:pStyle w:val="SingleTxtG"/>
              <w:spacing w:before="40"/>
              <w:ind w:left="0" w:right="113"/>
              <w:jc w:val="left"/>
              <w:rPr>
                <w:lang w:val="es-UY"/>
              </w:rPr>
            </w:pPr>
            <w:r w:rsidRPr="003207A2">
              <w:rPr>
                <w:lang w:val="es-UY"/>
              </w:rPr>
              <w:t>Andorra, Bahrein, Burkina Faso, Croacia, Filipinas, Georgia, Guinea, India, Irán (República Islámica del), Islandia, Kenya, Kiribati, Letonia, Liechtenstein, Luxemburgo, Malawi, Mauritania, Micronesia (Estados Federados de), Níger, Pakistán, República Democrática Popular Lao, República Popular Democrática de Corea, Saint Kitts y Nevis, Senegal, Sudán del Sur</w:t>
            </w:r>
            <w:r>
              <w:rPr>
                <w:lang w:val="es-UY"/>
              </w:rPr>
              <w:t>,</w:t>
            </w:r>
            <w:r w:rsidRPr="003207A2">
              <w:rPr>
                <w:lang w:val="es-UY"/>
              </w:rPr>
              <w:t xml:space="preserve"> Tayikistán, Timor-Leste, Turquía, Viet Nam, (29 Estados partes)</w:t>
            </w:r>
          </w:p>
        </w:tc>
      </w:tr>
      <w:tr w:rsidR="003207A2" w:rsidTr="00322AE5">
        <w:tc>
          <w:tcPr>
            <w:tcW w:w="1582" w:type="dxa"/>
            <w:shd w:val="clear" w:color="auto" w:fill="auto"/>
          </w:tcPr>
          <w:p w:rsidR="003207A2" w:rsidRDefault="00322AE5" w:rsidP="003207A2">
            <w:pPr>
              <w:pStyle w:val="SingleTxtG"/>
              <w:spacing w:before="40"/>
              <w:ind w:left="0" w:right="113"/>
              <w:jc w:val="left"/>
              <w:rPr>
                <w:lang w:val="es-UY"/>
              </w:rPr>
            </w:pPr>
            <w:r w:rsidRPr="003207A2">
              <w:rPr>
                <w:lang w:val="es-UY"/>
              </w:rPr>
              <w:t>2</w:t>
            </w:r>
          </w:p>
        </w:tc>
        <w:tc>
          <w:tcPr>
            <w:tcW w:w="5788" w:type="dxa"/>
            <w:shd w:val="clear" w:color="auto" w:fill="auto"/>
          </w:tcPr>
          <w:p w:rsidR="003207A2" w:rsidRDefault="00322AE5" w:rsidP="003207A2">
            <w:pPr>
              <w:pStyle w:val="SingleTxtG"/>
              <w:spacing w:before="40"/>
              <w:ind w:left="0" w:right="113"/>
              <w:jc w:val="left"/>
              <w:rPr>
                <w:lang w:val="es-UY"/>
              </w:rPr>
            </w:pPr>
            <w:r w:rsidRPr="003207A2">
              <w:rPr>
                <w:lang w:val="es-UY"/>
              </w:rPr>
              <w:t>Albania, Antigua y Barbuda, Bangladesh, Bosnia y Herzegovina, Camerún, Chile, Costa Rica, El Salvador, Estonia, Fiji, Finlandia, Grecia, Haití, Islas Salomón, Mauricio, Mónaco, Myanmar, Nauru, Paraguay, Samoa, Santo Tomé y Príncipe, Sudáfrica, Suiza, Suriname, Tailandia, Tonga, Tuvalu, Vanuatu (28 Estados partes)</w:t>
            </w:r>
          </w:p>
        </w:tc>
      </w:tr>
      <w:tr w:rsidR="003207A2" w:rsidTr="00322AE5">
        <w:tc>
          <w:tcPr>
            <w:tcW w:w="1582" w:type="dxa"/>
            <w:tcBorders>
              <w:bottom w:val="single" w:sz="12" w:space="0" w:color="auto"/>
            </w:tcBorders>
            <w:shd w:val="clear" w:color="auto" w:fill="auto"/>
          </w:tcPr>
          <w:p w:rsidR="003207A2" w:rsidRDefault="00322AE5" w:rsidP="003207A2">
            <w:pPr>
              <w:pStyle w:val="SingleTxtG"/>
              <w:spacing w:before="40"/>
              <w:ind w:left="0" w:right="113"/>
              <w:jc w:val="left"/>
              <w:rPr>
                <w:lang w:val="es-UY"/>
              </w:rPr>
            </w:pPr>
            <w:r w:rsidRPr="003207A2">
              <w:rPr>
                <w:lang w:val="es-UY"/>
              </w:rPr>
              <w:t>1</w:t>
            </w:r>
          </w:p>
        </w:tc>
        <w:tc>
          <w:tcPr>
            <w:tcW w:w="5788" w:type="dxa"/>
            <w:tcBorders>
              <w:bottom w:val="single" w:sz="12" w:space="0" w:color="auto"/>
            </w:tcBorders>
            <w:shd w:val="clear" w:color="auto" w:fill="auto"/>
          </w:tcPr>
          <w:p w:rsidR="003207A2" w:rsidRDefault="00322AE5" w:rsidP="009505BC">
            <w:pPr>
              <w:pStyle w:val="SingleTxtG"/>
              <w:spacing w:before="40"/>
              <w:ind w:left="0" w:right="113"/>
              <w:jc w:val="left"/>
              <w:rPr>
                <w:lang w:val="es-UY"/>
              </w:rPr>
            </w:pPr>
            <w:r w:rsidRPr="003207A2">
              <w:rPr>
                <w:lang w:val="es-UY"/>
              </w:rPr>
              <w:t>Armenia, Austria, Belarús, Bélgica, Brunei Darussalam, Bulgaria, Chipre, Colombia, Ecuador, Emiratos Árabes Unidos, Eslovaquia, Eslovenia, Estados Unidos de América, ex República Yugoslava de Macedonia, Francia, Irlanda, Islas Marshall, Israel, Japón, Jordania, Kazajstán, Kirguistán, Líbano, Nepal, Palau, Perú, Polonia, Portugal, República de Corea, República de Moldova, Rwanda, Serbia, Sri</w:t>
            </w:r>
            <w:r w:rsidR="009505BC">
              <w:rPr>
                <w:lang w:val="es-UY"/>
              </w:rPr>
              <w:t> </w:t>
            </w:r>
            <w:r w:rsidRPr="003207A2">
              <w:rPr>
                <w:lang w:val="es-UY"/>
              </w:rPr>
              <w:t>Lanka, Sudán, Venezuela (República Bolivariana de)</w:t>
            </w:r>
            <w:r w:rsidR="009505BC">
              <w:rPr>
                <w:lang w:val="es-UY"/>
              </w:rPr>
              <w:t>,</w:t>
            </w:r>
            <w:r w:rsidRPr="003207A2">
              <w:rPr>
                <w:lang w:val="es-UY"/>
              </w:rPr>
              <w:t xml:space="preserve"> </w:t>
            </w:r>
            <w:r w:rsidR="009505BC" w:rsidRPr="003207A2">
              <w:rPr>
                <w:lang w:val="es-UY"/>
              </w:rPr>
              <w:t xml:space="preserve">Santa Sede </w:t>
            </w:r>
            <w:r w:rsidRPr="003207A2">
              <w:rPr>
                <w:lang w:val="es-UY"/>
              </w:rPr>
              <w:t>(36</w:t>
            </w:r>
            <w:r w:rsidR="009505BC">
              <w:rPr>
                <w:lang w:val="es-UY"/>
              </w:rPr>
              <w:t> </w:t>
            </w:r>
            <w:r w:rsidRPr="003207A2">
              <w:rPr>
                <w:lang w:val="es-UY"/>
              </w:rPr>
              <w:t>Estados partes)</w:t>
            </w:r>
          </w:p>
        </w:tc>
      </w:tr>
    </w:tbl>
    <w:p w:rsidR="006766AC" w:rsidRPr="006766AC" w:rsidRDefault="006766AC" w:rsidP="009505BC">
      <w:pPr>
        <w:pStyle w:val="SingleTxtG"/>
        <w:spacing w:before="240"/>
        <w:rPr>
          <w:lang w:val="es-UY"/>
        </w:rPr>
      </w:pPr>
      <w:r w:rsidRPr="006766AC">
        <w:t>8.</w:t>
      </w:r>
      <w:r w:rsidRPr="006766AC">
        <w:tab/>
        <w:t>Al 31 de diciembre de 2017, 111 Estados partes estaban atrasados en la presentación de sus informes iniciales. Dos Estados partes tenían 7 informes pendientes de presentar, 8</w:t>
      </w:r>
      <w:r w:rsidR="009505BC">
        <w:t> </w:t>
      </w:r>
      <w:r w:rsidRPr="006766AC">
        <w:t>Estados partes tenían 6 informes pendientes, 6 Estados partes tenían 5 informes pendientes, 4 Estados partes tenían 4 informes pendientes, 19 Estados partes tenían 3 informes pendientes, 29 Estados partes tenían 2 informes pendientes y 43 Estados partes tenían 1 informe pendiente (véase el cuadro 4). La mayor proporción de Estados —el 65% (72 Estados)— tenían 1 o 2 informes iniciales atrasados.</w:t>
      </w:r>
    </w:p>
    <w:p w:rsidR="006766AC" w:rsidRPr="006766AC" w:rsidRDefault="006766AC" w:rsidP="00F578AE">
      <w:pPr>
        <w:pStyle w:val="Ttulo1"/>
        <w:rPr>
          <w:lang w:val="es-UY"/>
        </w:rPr>
      </w:pPr>
      <w:r w:rsidRPr="006766AC">
        <w:lastRenderedPageBreak/>
        <w:t>Cuadro 4</w:t>
      </w:r>
    </w:p>
    <w:p w:rsidR="006766AC" w:rsidRDefault="006766AC" w:rsidP="00F578AE">
      <w:pPr>
        <w:pStyle w:val="SingleTxtG"/>
        <w:rPr>
          <w:b/>
          <w:bCs/>
        </w:rPr>
      </w:pPr>
      <w:r w:rsidRPr="00F578AE">
        <w:rPr>
          <w:b/>
          <w:bCs/>
        </w:rPr>
        <w:t>Estados partes con informes iniciales atrasados al 31 de diciembre de 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54"/>
        <w:gridCol w:w="5816"/>
      </w:tblGrid>
      <w:tr w:rsidR="00F578AE" w:rsidRPr="00F578AE" w:rsidTr="00F578AE">
        <w:tc>
          <w:tcPr>
            <w:tcW w:w="1554" w:type="dxa"/>
            <w:tcBorders>
              <w:top w:val="single" w:sz="4" w:space="0" w:color="auto"/>
              <w:bottom w:val="single" w:sz="12" w:space="0" w:color="auto"/>
            </w:tcBorders>
            <w:shd w:val="clear" w:color="auto" w:fill="auto"/>
            <w:vAlign w:val="bottom"/>
          </w:tcPr>
          <w:p w:rsidR="00F578AE" w:rsidRPr="00F578AE" w:rsidRDefault="00F578AE" w:rsidP="00F578AE">
            <w:pPr>
              <w:pStyle w:val="SingleTxtG"/>
              <w:spacing w:before="80" w:after="80" w:line="200" w:lineRule="exact"/>
              <w:ind w:left="0" w:right="113"/>
              <w:jc w:val="left"/>
              <w:rPr>
                <w:i/>
                <w:sz w:val="16"/>
                <w:lang w:val="es-UY"/>
              </w:rPr>
            </w:pPr>
            <w:r w:rsidRPr="00F578AE">
              <w:rPr>
                <w:i/>
                <w:sz w:val="16"/>
                <w:lang w:val="es-UY"/>
              </w:rPr>
              <w:t>Número de informes iniciales atrasados</w:t>
            </w:r>
          </w:p>
        </w:tc>
        <w:tc>
          <w:tcPr>
            <w:tcW w:w="5816" w:type="dxa"/>
            <w:tcBorders>
              <w:top w:val="single" w:sz="4" w:space="0" w:color="auto"/>
              <w:bottom w:val="single" w:sz="12" w:space="0" w:color="auto"/>
            </w:tcBorders>
            <w:shd w:val="clear" w:color="auto" w:fill="auto"/>
            <w:vAlign w:val="bottom"/>
          </w:tcPr>
          <w:p w:rsidR="00F578AE" w:rsidRPr="00F578AE" w:rsidRDefault="00F578AE" w:rsidP="00F578AE">
            <w:pPr>
              <w:pStyle w:val="SingleTxtG"/>
              <w:spacing w:before="80" w:after="80" w:line="200" w:lineRule="exact"/>
              <w:ind w:left="0" w:right="113"/>
              <w:jc w:val="left"/>
              <w:rPr>
                <w:i/>
                <w:sz w:val="16"/>
                <w:lang w:val="es-UY"/>
              </w:rPr>
            </w:pPr>
            <w:r w:rsidRPr="00F578AE">
              <w:rPr>
                <w:i/>
                <w:sz w:val="16"/>
                <w:lang w:val="es-UY"/>
              </w:rPr>
              <w:t>Estados partes</w:t>
            </w:r>
          </w:p>
        </w:tc>
      </w:tr>
      <w:tr w:rsidR="00F578AE" w:rsidTr="00F578AE">
        <w:trPr>
          <w:trHeight w:hRule="exact" w:val="113"/>
        </w:trPr>
        <w:tc>
          <w:tcPr>
            <w:tcW w:w="1554" w:type="dxa"/>
            <w:tcBorders>
              <w:top w:val="single" w:sz="12" w:space="0" w:color="auto"/>
            </w:tcBorders>
            <w:shd w:val="clear" w:color="auto" w:fill="auto"/>
          </w:tcPr>
          <w:p w:rsidR="00F578AE" w:rsidRDefault="00F578AE" w:rsidP="00F578AE">
            <w:pPr>
              <w:pStyle w:val="SingleTxtG"/>
              <w:spacing w:before="40"/>
              <w:ind w:left="0" w:right="113"/>
              <w:jc w:val="left"/>
              <w:rPr>
                <w:lang w:val="es-UY"/>
              </w:rPr>
            </w:pPr>
          </w:p>
        </w:tc>
        <w:tc>
          <w:tcPr>
            <w:tcW w:w="5816" w:type="dxa"/>
            <w:tcBorders>
              <w:top w:val="single" w:sz="12" w:space="0" w:color="auto"/>
            </w:tcBorders>
            <w:shd w:val="clear" w:color="auto" w:fill="auto"/>
          </w:tcPr>
          <w:p w:rsidR="00F578AE" w:rsidRDefault="00F578AE" w:rsidP="00F578AE">
            <w:pPr>
              <w:pStyle w:val="SingleTxtG"/>
              <w:spacing w:before="40"/>
              <w:ind w:left="0" w:right="113"/>
              <w:jc w:val="left"/>
              <w:rPr>
                <w:lang w:val="es-UY"/>
              </w:rPr>
            </w:pPr>
          </w:p>
        </w:tc>
      </w:tr>
      <w:tr w:rsidR="00F578AE" w:rsidTr="00F578AE">
        <w:tc>
          <w:tcPr>
            <w:tcW w:w="1554" w:type="dxa"/>
            <w:shd w:val="clear" w:color="auto" w:fill="auto"/>
          </w:tcPr>
          <w:p w:rsidR="00F578AE" w:rsidRDefault="00F578AE" w:rsidP="00F578AE">
            <w:pPr>
              <w:pStyle w:val="SingleTxtG"/>
              <w:spacing w:before="40"/>
              <w:ind w:left="0" w:right="113"/>
              <w:jc w:val="left"/>
              <w:rPr>
                <w:lang w:val="es-UY"/>
              </w:rPr>
            </w:pPr>
            <w:r w:rsidRPr="00F578AE">
              <w:rPr>
                <w:lang w:val="es-UY"/>
              </w:rPr>
              <w:t>7</w:t>
            </w:r>
          </w:p>
        </w:tc>
        <w:tc>
          <w:tcPr>
            <w:tcW w:w="5816" w:type="dxa"/>
            <w:shd w:val="clear" w:color="auto" w:fill="auto"/>
          </w:tcPr>
          <w:p w:rsidR="00F578AE" w:rsidRDefault="00DD7B82" w:rsidP="00DD7B82">
            <w:pPr>
              <w:pStyle w:val="SingleTxtG"/>
              <w:spacing w:before="40"/>
              <w:ind w:left="0" w:right="113"/>
              <w:jc w:val="left"/>
              <w:rPr>
                <w:lang w:val="es-UY"/>
              </w:rPr>
            </w:pPr>
            <w:r w:rsidRPr="00F578AE">
              <w:rPr>
                <w:lang w:val="es-UY"/>
              </w:rPr>
              <w:t>Estado de Palestina</w:t>
            </w:r>
            <w:r>
              <w:rPr>
                <w:lang w:val="es-UY"/>
              </w:rPr>
              <w:t>,</w:t>
            </w:r>
            <w:r w:rsidRPr="00F578AE">
              <w:rPr>
                <w:lang w:val="es-UY"/>
              </w:rPr>
              <w:t xml:space="preserve"> Guinea-Bissau (2 Estados partes)</w:t>
            </w:r>
          </w:p>
        </w:tc>
      </w:tr>
      <w:tr w:rsidR="00F578AE" w:rsidTr="00F578AE">
        <w:tc>
          <w:tcPr>
            <w:tcW w:w="1554" w:type="dxa"/>
            <w:shd w:val="clear" w:color="auto" w:fill="auto"/>
          </w:tcPr>
          <w:p w:rsidR="00F578AE" w:rsidRDefault="00DD7B82" w:rsidP="00F578AE">
            <w:pPr>
              <w:pStyle w:val="SingleTxtG"/>
              <w:spacing w:before="40"/>
              <w:ind w:left="0" w:right="113"/>
              <w:jc w:val="left"/>
              <w:rPr>
                <w:lang w:val="es-UY"/>
              </w:rPr>
            </w:pPr>
            <w:r w:rsidRPr="00F578AE">
              <w:rPr>
                <w:lang w:val="es-UY"/>
              </w:rPr>
              <w:t>6</w:t>
            </w:r>
          </w:p>
        </w:tc>
        <w:tc>
          <w:tcPr>
            <w:tcW w:w="5816" w:type="dxa"/>
            <w:shd w:val="clear" w:color="auto" w:fill="auto"/>
          </w:tcPr>
          <w:p w:rsidR="00F578AE" w:rsidRDefault="00DD7B82" w:rsidP="00DD7B82">
            <w:pPr>
              <w:pStyle w:val="SingleTxtG"/>
              <w:spacing w:before="40"/>
              <w:ind w:left="0" w:right="113"/>
              <w:jc w:val="left"/>
              <w:rPr>
                <w:lang w:val="es-UY"/>
              </w:rPr>
            </w:pPr>
            <w:r w:rsidRPr="00DD7B82">
              <w:rPr>
                <w:lang w:val="es-UY"/>
              </w:rPr>
              <w:t>Belice, Cabo Verde, Eritrea, Granada, Lesotho, Malí, San Marino San Vicente y las Granadinas (8 Estados partes)</w:t>
            </w:r>
          </w:p>
        </w:tc>
      </w:tr>
      <w:tr w:rsidR="00F578AE" w:rsidTr="00F578AE">
        <w:tc>
          <w:tcPr>
            <w:tcW w:w="1554" w:type="dxa"/>
            <w:shd w:val="clear" w:color="auto" w:fill="auto"/>
          </w:tcPr>
          <w:p w:rsidR="00F578AE" w:rsidRDefault="00DD7B82" w:rsidP="00F578AE">
            <w:pPr>
              <w:pStyle w:val="SingleTxtG"/>
              <w:spacing w:before="40"/>
              <w:ind w:left="0" w:right="113"/>
              <w:jc w:val="left"/>
              <w:rPr>
                <w:lang w:val="es-UY"/>
              </w:rPr>
            </w:pPr>
            <w:r w:rsidRPr="00F578AE">
              <w:rPr>
                <w:lang w:val="es-UY"/>
              </w:rPr>
              <w:t>5</w:t>
            </w:r>
          </w:p>
        </w:tc>
        <w:tc>
          <w:tcPr>
            <w:tcW w:w="5816" w:type="dxa"/>
            <w:shd w:val="clear" w:color="auto" w:fill="auto"/>
          </w:tcPr>
          <w:p w:rsidR="00F578AE" w:rsidRDefault="00DD7B82" w:rsidP="00F578AE">
            <w:pPr>
              <w:pStyle w:val="SingleTxtG"/>
              <w:spacing w:before="40"/>
              <w:ind w:left="0" w:right="113"/>
              <w:jc w:val="left"/>
              <w:rPr>
                <w:lang w:val="es-UY"/>
              </w:rPr>
            </w:pPr>
            <w:r w:rsidRPr="00F578AE">
              <w:rPr>
                <w:lang w:val="es-UY"/>
              </w:rPr>
              <w:t>Côte d</w:t>
            </w:r>
            <w:r>
              <w:rPr>
                <w:lang w:val="es-UY"/>
              </w:rPr>
              <w:t>’</w:t>
            </w:r>
            <w:r w:rsidRPr="00F578AE">
              <w:rPr>
                <w:lang w:val="es-UY"/>
              </w:rPr>
              <w:t>Ivoire, Dominica, Guinea Ecuatorial, Nigeria, Seychelles, Swazilandia (6 Estados partes)</w:t>
            </w:r>
          </w:p>
        </w:tc>
      </w:tr>
      <w:tr w:rsidR="00F578AE" w:rsidTr="00F578AE">
        <w:tc>
          <w:tcPr>
            <w:tcW w:w="1554" w:type="dxa"/>
            <w:shd w:val="clear" w:color="auto" w:fill="auto"/>
          </w:tcPr>
          <w:p w:rsidR="00F578AE" w:rsidRDefault="00DD7B82" w:rsidP="00F578AE">
            <w:pPr>
              <w:pStyle w:val="SingleTxtG"/>
              <w:spacing w:before="40"/>
              <w:ind w:left="0" w:right="113"/>
              <w:jc w:val="left"/>
              <w:rPr>
                <w:lang w:val="es-UY"/>
              </w:rPr>
            </w:pPr>
            <w:r w:rsidRPr="00F578AE">
              <w:rPr>
                <w:lang w:val="es-UY"/>
              </w:rPr>
              <w:t>4</w:t>
            </w:r>
          </w:p>
        </w:tc>
        <w:tc>
          <w:tcPr>
            <w:tcW w:w="5816" w:type="dxa"/>
            <w:shd w:val="clear" w:color="auto" w:fill="auto"/>
          </w:tcPr>
          <w:p w:rsidR="00F578AE" w:rsidRDefault="00DD7B82" w:rsidP="00F578AE">
            <w:pPr>
              <w:pStyle w:val="SingleTxtG"/>
              <w:spacing w:before="40"/>
              <w:ind w:left="0" w:right="113"/>
              <w:jc w:val="left"/>
              <w:rPr>
                <w:lang w:val="es-UY"/>
              </w:rPr>
            </w:pPr>
            <w:r w:rsidRPr="00F578AE">
              <w:rPr>
                <w:lang w:val="es-UY"/>
              </w:rPr>
              <w:t>Bahamas, Guyana, Liberia, Somalia (4 Estados partes)</w:t>
            </w:r>
          </w:p>
        </w:tc>
      </w:tr>
      <w:tr w:rsidR="00F578AE" w:rsidTr="00F578AE">
        <w:tc>
          <w:tcPr>
            <w:tcW w:w="1554" w:type="dxa"/>
            <w:shd w:val="clear" w:color="auto" w:fill="auto"/>
          </w:tcPr>
          <w:p w:rsidR="00F578AE" w:rsidRDefault="00DD7B82" w:rsidP="00F578AE">
            <w:pPr>
              <w:pStyle w:val="SingleTxtG"/>
              <w:spacing w:before="40"/>
              <w:ind w:left="0" w:right="113"/>
              <w:jc w:val="left"/>
              <w:rPr>
                <w:lang w:val="es-UY"/>
              </w:rPr>
            </w:pPr>
            <w:r w:rsidRPr="00F578AE">
              <w:rPr>
                <w:lang w:val="es-UY"/>
              </w:rPr>
              <w:t>3</w:t>
            </w:r>
          </w:p>
        </w:tc>
        <w:tc>
          <w:tcPr>
            <w:tcW w:w="5816" w:type="dxa"/>
            <w:shd w:val="clear" w:color="auto" w:fill="auto"/>
          </w:tcPr>
          <w:p w:rsidR="00F578AE" w:rsidRDefault="00DD7B82" w:rsidP="00F578AE">
            <w:pPr>
              <w:pStyle w:val="SingleTxtG"/>
              <w:spacing w:before="40"/>
              <w:ind w:left="0" w:right="113"/>
              <w:jc w:val="left"/>
              <w:rPr>
                <w:lang w:val="es-UY"/>
              </w:rPr>
            </w:pPr>
            <w:r w:rsidRPr="00F578AE">
              <w:rPr>
                <w:lang w:val="es-UY"/>
              </w:rPr>
              <w:t>Afganistán, Bahrein, Bolivia (Estado Plurinacional de), Botswana, Burundi, Congo, Jamaica, Malasia, Malawi, Mozambique, Namibia, Papua Nueva Guinea, República Dominicana, Rumania, Santa Lucía, Sudán del Sur</w:t>
            </w:r>
            <w:r>
              <w:rPr>
                <w:lang w:val="es-UY"/>
              </w:rPr>
              <w:t>,</w:t>
            </w:r>
            <w:r w:rsidRPr="00F578AE">
              <w:rPr>
                <w:lang w:val="es-UY"/>
              </w:rPr>
              <w:t xml:space="preserve"> Timor-Leste, Togo, Zimbabwe (19 Estados partes)</w:t>
            </w:r>
          </w:p>
        </w:tc>
      </w:tr>
      <w:tr w:rsidR="00F578AE" w:rsidTr="00F578AE">
        <w:tc>
          <w:tcPr>
            <w:tcW w:w="1554" w:type="dxa"/>
            <w:shd w:val="clear" w:color="auto" w:fill="auto"/>
          </w:tcPr>
          <w:p w:rsidR="00F578AE" w:rsidRDefault="00DD7B82" w:rsidP="00F578AE">
            <w:pPr>
              <w:pStyle w:val="SingleTxtG"/>
              <w:spacing w:before="40"/>
              <w:ind w:left="0" w:right="113"/>
              <w:jc w:val="left"/>
              <w:rPr>
                <w:lang w:val="es-UY"/>
              </w:rPr>
            </w:pPr>
            <w:r w:rsidRPr="00F578AE">
              <w:rPr>
                <w:lang w:val="es-UY"/>
              </w:rPr>
              <w:t>2</w:t>
            </w:r>
          </w:p>
        </w:tc>
        <w:tc>
          <w:tcPr>
            <w:tcW w:w="5816" w:type="dxa"/>
            <w:shd w:val="clear" w:color="auto" w:fill="auto"/>
          </w:tcPr>
          <w:p w:rsidR="00F578AE" w:rsidRDefault="00DD7B82" w:rsidP="00F578AE">
            <w:pPr>
              <w:pStyle w:val="SingleTxtG"/>
              <w:spacing w:before="40"/>
              <w:ind w:left="0" w:right="113"/>
              <w:jc w:val="left"/>
              <w:rPr>
                <w:lang w:val="es-UY"/>
              </w:rPr>
            </w:pPr>
            <w:r w:rsidRPr="00F578AE">
              <w:rPr>
                <w:lang w:val="es-UY"/>
              </w:rPr>
              <w:t>Benin, Brasil, Camboya, Chad, Comoras, Djibouti, Gambia, Ghana, Guinea, Indonesia, Kiribati, Libia, Maldivas, Mauricio, Mauritania, Micronesia (Estados Federados de), Nauru, Níger, Pakistán, Panamá, República Centroafricana, República Democrática del Congo, República Democrática Popular Lao, Samoa, Santo Tomé y Príncipe, Sierra Leona, Tayikistán, Vanuatu, Zambia (29 Estados partes)</w:t>
            </w:r>
          </w:p>
        </w:tc>
      </w:tr>
      <w:tr w:rsidR="00F578AE" w:rsidTr="00F578AE">
        <w:tc>
          <w:tcPr>
            <w:tcW w:w="1554" w:type="dxa"/>
            <w:tcBorders>
              <w:bottom w:val="single" w:sz="12" w:space="0" w:color="auto"/>
            </w:tcBorders>
            <w:shd w:val="clear" w:color="auto" w:fill="auto"/>
          </w:tcPr>
          <w:p w:rsidR="00F578AE" w:rsidRDefault="00DD7B82" w:rsidP="00F578AE">
            <w:pPr>
              <w:pStyle w:val="SingleTxtG"/>
              <w:spacing w:before="40"/>
              <w:ind w:left="0" w:right="113"/>
              <w:jc w:val="left"/>
              <w:rPr>
                <w:lang w:val="es-UY"/>
              </w:rPr>
            </w:pPr>
            <w:r w:rsidRPr="00F578AE">
              <w:rPr>
                <w:lang w:val="es-UY"/>
              </w:rPr>
              <w:t>1</w:t>
            </w:r>
          </w:p>
        </w:tc>
        <w:tc>
          <w:tcPr>
            <w:tcW w:w="5816" w:type="dxa"/>
            <w:tcBorders>
              <w:bottom w:val="single" w:sz="12" w:space="0" w:color="auto"/>
            </w:tcBorders>
            <w:shd w:val="clear" w:color="auto" w:fill="auto"/>
          </w:tcPr>
          <w:p w:rsidR="00F578AE" w:rsidRDefault="005F63D6" w:rsidP="00F578AE">
            <w:pPr>
              <w:pStyle w:val="SingleTxtG"/>
              <w:spacing w:before="40"/>
              <w:ind w:left="0" w:right="113"/>
              <w:jc w:val="left"/>
              <w:rPr>
                <w:lang w:val="es-UY"/>
              </w:rPr>
            </w:pPr>
            <w:r w:rsidRPr="00F578AE">
              <w:rPr>
                <w:lang w:val="es-UY"/>
              </w:rPr>
              <w:t>Andorra, Antigua y Barbuda, Argelia, Bangladesh, Barbados, Brunei Darussalam, Burkina Faso, Camerún, Chile, Chipre, Costa Rica, Croacia, Cuba, Egipto, Emiratos Árabes Unidos, Eslovaquia, Fiji, Finlandia, Gabón, Haití, Irán (República Islámica del), Islas Marshall, Kenya, Líbano, Liechtenstein, Madagascar, Malta, Marruecos, Mónaco, Myanmar, Palau, República Árabe Siria, República Popular Democrática de Corea, República Unida de Tanzanía, Saint Kitts y Nevis, Sudáfrica, Suriname, Tonga, Trinidad y Tabago, Túnez, Tuvalu, Viet Nam, Yemen (43 Estados partes)</w:t>
            </w:r>
          </w:p>
        </w:tc>
      </w:tr>
    </w:tbl>
    <w:p w:rsidR="006766AC" w:rsidRPr="006766AC" w:rsidRDefault="006766AC" w:rsidP="009505BC">
      <w:pPr>
        <w:pStyle w:val="SingleTxtG"/>
        <w:spacing w:before="120"/>
        <w:rPr>
          <w:lang w:val="es-UY"/>
        </w:rPr>
      </w:pPr>
      <w:r w:rsidRPr="006766AC">
        <w:t>9.</w:t>
      </w:r>
      <w:r w:rsidRPr="006766AC">
        <w:tab/>
        <w:t>Al 31 de diciembre de 2017, 142 Estados partes tenían informes periódicos pendientes de presentar. Un Estado parte tenía 6 informes pendientes, 6 Estados partes tenían 5 informes pendientes, 15 Estados partes tenían 4 informes pendientes, 25 Estados partes tenían 3 informes pendientes, 34 Estados partes tenían 2 informes pendientes y 61</w:t>
      </w:r>
      <w:r w:rsidR="009505BC">
        <w:t> </w:t>
      </w:r>
      <w:r w:rsidRPr="006766AC">
        <w:t xml:space="preserve">Estados partes tenían 1 informe pendiente (véase el cuadro 5). La mayor proporción de Estados —el 66% (95 Estados)— tenían 1 o 2 informes periódicos atrasados. </w:t>
      </w:r>
    </w:p>
    <w:p w:rsidR="006766AC" w:rsidRPr="006766AC" w:rsidRDefault="006766AC" w:rsidP="005F63D6">
      <w:pPr>
        <w:pStyle w:val="Ttulo1"/>
        <w:rPr>
          <w:lang w:val="es-UY"/>
        </w:rPr>
      </w:pPr>
      <w:r w:rsidRPr="006766AC">
        <w:t>Cuadro 5</w:t>
      </w:r>
    </w:p>
    <w:p w:rsidR="006766AC" w:rsidRDefault="006766AC" w:rsidP="005F63D6">
      <w:pPr>
        <w:pStyle w:val="SingleTxtG"/>
        <w:rPr>
          <w:b/>
          <w:bCs/>
        </w:rPr>
      </w:pPr>
      <w:r w:rsidRPr="005F63D6">
        <w:rPr>
          <w:b/>
          <w:bCs/>
        </w:rPr>
        <w:t>Estados partes con informes periódicos atrasados al 31 de diciembre de 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54"/>
        <w:gridCol w:w="5816"/>
      </w:tblGrid>
      <w:tr w:rsidR="005F63D6" w:rsidRPr="005F63D6" w:rsidTr="005F63D6">
        <w:trPr>
          <w:tblHeader/>
        </w:trPr>
        <w:tc>
          <w:tcPr>
            <w:tcW w:w="1554" w:type="dxa"/>
            <w:tcBorders>
              <w:top w:val="single" w:sz="4" w:space="0" w:color="auto"/>
              <w:bottom w:val="single" w:sz="12" w:space="0" w:color="auto"/>
            </w:tcBorders>
            <w:shd w:val="clear" w:color="auto" w:fill="auto"/>
            <w:vAlign w:val="bottom"/>
          </w:tcPr>
          <w:p w:rsidR="005F63D6" w:rsidRPr="005F63D6" w:rsidRDefault="005F63D6" w:rsidP="005F63D6">
            <w:pPr>
              <w:pStyle w:val="SingleTxtG"/>
              <w:spacing w:before="80" w:after="80" w:line="200" w:lineRule="exact"/>
              <w:ind w:left="0" w:right="113"/>
              <w:jc w:val="left"/>
              <w:rPr>
                <w:i/>
                <w:sz w:val="16"/>
                <w:lang w:val="es-UY"/>
              </w:rPr>
            </w:pPr>
            <w:r w:rsidRPr="005F63D6">
              <w:rPr>
                <w:i/>
                <w:sz w:val="16"/>
                <w:lang w:val="es-UY"/>
              </w:rPr>
              <w:t>Número de informes periódicos atrasados</w:t>
            </w:r>
          </w:p>
        </w:tc>
        <w:tc>
          <w:tcPr>
            <w:tcW w:w="5816" w:type="dxa"/>
            <w:tcBorders>
              <w:top w:val="single" w:sz="4" w:space="0" w:color="auto"/>
              <w:bottom w:val="single" w:sz="12" w:space="0" w:color="auto"/>
            </w:tcBorders>
            <w:shd w:val="clear" w:color="auto" w:fill="auto"/>
            <w:vAlign w:val="bottom"/>
          </w:tcPr>
          <w:p w:rsidR="005F63D6" w:rsidRPr="005F63D6" w:rsidRDefault="005F63D6" w:rsidP="005F63D6">
            <w:pPr>
              <w:pStyle w:val="SingleTxtG"/>
              <w:spacing w:before="80" w:after="80" w:line="200" w:lineRule="exact"/>
              <w:ind w:left="0" w:right="113"/>
              <w:jc w:val="left"/>
              <w:rPr>
                <w:i/>
                <w:sz w:val="16"/>
                <w:lang w:val="es-UY"/>
              </w:rPr>
            </w:pPr>
            <w:r w:rsidRPr="005F63D6">
              <w:rPr>
                <w:i/>
                <w:sz w:val="16"/>
                <w:lang w:val="es-UY"/>
              </w:rPr>
              <w:t>Estados partes</w:t>
            </w:r>
          </w:p>
        </w:tc>
      </w:tr>
      <w:tr w:rsidR="005F63D6" w:rsidTr="005F63D6">
        <w:trPr>
          <w:trHeight w:hRule="exact" w:val="113"/>
          <w:tblHeader/>
        </w:trPr>
        <w:tc>
          <w:tcPr>
            <w:tcW w:w="1554" w:type="dxa"/>
            <w:tcBorders>
              <w:top w:val="single" w:sz="12" w:space="0" w:color="auto"/>
            </w:tcBorders>
            <w:shd w:val="clear" w:color="auto" w:fill="auto"/>
          </w:tcPr>
          <w:p w:rsidR="005F63D6" w:rsidRDefault="005F63D6" w:rsidP="005F63D6">
            <w:pPr>
              <w:pStyle w:val="SingleTxtG"/>
              <w:spacing w:before="40"/>
              <w:ind w:left="0" w:right="113"/>
              <w:jc w:val="left"/>
              <w:rPr>
                <w:lang w:val="es-UY"/>
              </w:rPr>
            </w:pPr>
          </w:p>
        </w:tc>
        <w:tc>
          <w:tcPr>
            <w:tcW w:w="5816" w:type="dxa"/>
            <w:tcBorders>
              <w:top w:val="single" w:sz="12" w:space="0" w:color="auto"/>
            </w:tcBorders>
            <w:shd w:val="clear" w:color="auto" w:fill="auto"/>
          </w:tcPr>
          <w:p w:rsidR="005F63D6" w:rsidRDefault="005F63D6" w:rsidP="005F63D6">
            <w:pPr>
              <w:pStyle w:val="SingleTxtG"/>
              <w:spacing w:before="40"/>
              <w:ind w:left="0" w:right="113"/>
              <w:jc w:val="left"/>
              <w:rPr>
                <w:lang w:val="es-UY"/>
              </w:rPr>
            </w:pPr>
          </w:p>
        </w:tc>
      </w:tr>
      <w:tr w:rsidR="005F63D6" w:rsidTr="005F63D6">
        <w:tc>
          <w:tcPr>
            <w:tcW w:w="1554" w:type="dxa"/>
            <w:shd w:val="clear" w:color="auto" w:fill="auto"/>
          </w:tcPr>
          <w:p w:rsidR="005F63D6" w:rsidRDefault="005F63D6" w:rsidP="005F63D6">
            <w:pPr>
              <w:pStyle w:val="SingleTxtG"/>
              <w:spacing w:before="40"/>
              <w:ind w:left="0" w:right="113"/>
              <w:jc w:val="left"/>
              <w:rPr>
                <w:lang w:val="es-UY"/>
              </w:rPr>
            </w:pPr>
            <w:r w:rsidRPr="005F63D6">
              <w:rPr>
                <w:lang w:val="es-UY"/>
              </w:rPr>
              <w:t>6</w:t>
            </w:r>
          </w:p>
        </w:tc>
        <w:tc>
          <w:tcPr>
            <w:tcW w:w="5816" w:type="dxa"/>
            <w:shd w:val="clear" w:color="auto" w:fill="auto"/>
          </w:tcPr>
          <w:p w:rsidR="005F63D6" w:rsidRDefault="005F63D6" w:rsidP="005F63D6">
            <w:pPr>
              <w:pStyle w:val="SingleTxtG"/>
              <w:spacing w:before="40"/>
              <w:ind w:left="0" w:right="113"/>
              <w:jc w:val="left"/>
              <w:rPr>
                <w:lang w:val="es-UY"/>
              </w:rPr>
            </w:pPr>
            <w:r w:rsidRPr="005F63D6">
              <w:rPr>
                <w:lang w:val="es-UY"/>
              </w:rPr>
              <w:t>Nicaragua (1 Estado parte)</w:t>
            </w:r>
          </w:p>
        </w:tc>
      </w:tr>
      <w:tr w:rsidR="005F63D6" w:rsidTr="005F63D6">
        <w:tc>
          <w:tcPr>
            <w:tcW w:w="1554" w:type="dxa"/>
            <w:shd w:val="clear" w:color="auto" w:fill="auto"/>
          </w:tcPr>
          <w:p w:rsidR="005F63D6" w:rsidRDefault="005F63D6" w:rsidP="005F63D6">
            <w:pPr>
              <w:pStyle w:val="SingleTxtG"/>
              <w:spacing w:before="40"/>
              <w:ind w:left="0" w:right="113"/>
              <w:jc w:val="left"/>
              <w:rPr>
                <w:lang w:val="es-UY"/>
              </w:rPr>
            </w:pPr>
            <w:r w:rsidRPr="005F63D6">
              <w:rPr>
                <w:lang w:val="es-UY"/>
              </w:rPr>
              <w:t>5</w:t>
            </w:r>
          </w:p>
        </w:tc>
        <w:tc>
          <w:tcPr>
            <w:tcW w:w="5816" w:type="dxa"/>
            <w:shd w:val="clear" w:color="auto" w:fill="auto"/>
          </w:tcPr>
          <w:p w:rsidR="005F63D6" w:rsidRDefault="005F63D6" w:rsidP="005F63D6">
            <w:pPr>
              <w:pStyle w:val="SingleTxtG"/>
              <w:spacing w:before="40"/>
              <w:ind w:left="0" w:right="113"/>
              <w:jc w:val="left"/>
              <w:rPr>
                <w:lang w:val="es-UY"/>
              </w:rPr>
            </w:pPr>
            <w:r w:rsidRPr="005F63D6">
              <w:rPr>
                <w:lang w:val="es-UY"/>
              </w:rPr>
              <w:t>Afganistán, Brasil, Libia, Mozambique, República Árabe Siria, Uganda (6 Estados partes)</w:t>
            </w:r>
          </w:p>
        </w:tc>
      </w:tr>
      <w:tr w:rsidR="005F63D6" w:rsidTr="005F63D6">
        <w:tc>
          <w:tcPr>
            <w:tcW w:w="1554" w:type="dxa"/>
            <w:shd w:val="clear" w:color="auto" w:fill="auto"/>
          </w:tcPr>
          <w:p w:rsidR="005F63D6" w:rsidRDefault="005F63D6" w:rsidP="005F63D6">
            <w:pPr>
              <w:pStyle w:val="SingleTxtG"/>
              <w:spacing w:before="40"/>
              <w:ind w:left="0" w:right="113"/>
              <w:jc w:val="left"/>
              <w:rPr>
                <w:lang w:val="es-UY"/>
              </w:rPr>
            </w:pPr>
            <w:r w:rsidRPr="005F63D6">
              <w:rPr>
                <w:lang w:val="es-UY"/>
              </w:rPr>
              <w:t>4</w:t>
            </w:r>
          </w:p>
        </w:tc>
        <w:tc>
          <w:tcPr>
            <w:tcW w:w="5816" w:type="dxa"/>
            <w:shd w:val="clear" w:color="auto" w:fill="auto"/>
          </w:tcPr>
          <w:p w:rsidR="005F63D6" w:rsidRDefault="005F63D6" w:rsidP="009505BC">
            <w:pPr>
              <w:pStyle w:val="SingleTxtG"/>
              <w:spacing w:before="40"/>
              <w:ind w:left="0" w:right="113"/>
              <w:jc w:val="left"/>
              <w:rPr>
                <w:lang w:val="es-UY"/>
              </w:rPr>
            </w:pPr>
            <w:r w:rsidRPr="005F63D6">
              <w:rPr>
                <w:lang w:val="es-UY"/>
              </w:rPr>
              <w:t>Bolivia (Estado Plurinacional de), Camboya, Chad, Djibouti, Etiopía, Guyana, Hungría, Indonesia, Malta, Nigeria, Panamá, Togo, Trinidad y Tabago, Zambia</w:t>
            </w:r>
            <w:r w:rsidR="009505BC">
              <w:rPr>
                <w:lang w:val="es-UY"/>
              </w:rPr>
              <w:t>,</w:t>
            </w:r>
            <w:r w:rsidRPr="005F63D6">
              <w:rPr>
                <w:lang w:val="es-UY"/>
              </w:rPr>
              <w:t xml:space="preserve"> Zimbabwe (15 Estados partes)</w:t>
            </w:r>
          </w:p>
        </w:tc>
      </w:tr>
      <w:tr w:rsidR="005F63D6" w:rsidTr="005F63D6">
        <w:tc>
          <w:tcPr>
            <w:tcW w:w="1554" w:type="dxa"/>
            <w:shd w:val="clear" w:color="auto" w:fill="auto"/>
          </w:tcPr>
          <w:p w:rsidR="005F63D6" w:rsidRDefault="005F63D6" w:rsidP="005F63D6">
            <w:pPr>
              <w:pStyle w:val="SingleTxtG"/>
              <w:spacing w:before="40"/>
              <w:ind w:left="0" w:right="113"/>
              <w:jc w:val="left"/>
              <w:rPr>
                <w:lang w:val="es-UY"/>
              </w:rPr>
            </w:pPr>
            <w:r w:rsidRPr="005F63D6">
              <w:rPr>
                <w:lang w:val="es-UY"/>
              </w:rPr>
              <w:t>3</w:t>
            </w:r>
          </w:p>
        </w:tc>
        <w:tc>
          <w:tcPr>
            <w:tcW w:w="5816" w:type="dxa"/>
            <w:shd w:val="clear" w:color="auto" w:fill="auto"/>
          </w:tcPr>
          <w:p w:rsidR="005F63D6" w:rsidRDefault="001610CE" w:rsidP="005F63D6">
            <w:pPr>
              <w:pStyle w:val="SingleTxtG"/>
              <w:spacing w:before="40"/>
              <w:ind w:left="0" w:right="113"/>
              <w:jc w:val="left"/>
              <w:rPr>
                <w:lang w:val="es-UY"/>
              </w:rPr>
            </w:pPr>
            <w:r w:rsidRPr="005F63D6">
              <w:rPr>
                <w:lang w:val="es-UY"/>
              </w:rPr>
              <w:t xml:space="preserve">Argelia, Barbados, Belice, Cuba, Egipto, Filipinas, Gabón, Gambia, Georgia, India, Islandia, Lesotho, Letonia, Luxemburgo, Madagascar, Malí, Marruecos, Papua Nueva Guinea, República Democrática del </w:t>
            </w:r>
            <w:r w:rsidRPr="005F63D6">
              <w:rPr>
                <w:lang w:val="es-UY"/>
              </w:rPr>
              <w:lastRenderedPageBreak/>
              <w:t>Congo, República Dominicana, República Unida de Tanzanía, Senegal, Túnez, Turquía, Yemen (25 Estados partes)</w:t>
            </w:r>
          </w:p>
        </w:tc>
      </w:tr>
      <w:tr w:rsidR="005F63D6" w:rsidTr="005F63D6">
        <w:tc>
          <w:tcPr>
            <w:tcW w:w="1554" w:type="dxa"/>
            <w:shd w:val="clear" w:color="auto" w:fill="auto"/>
          </w:tcPr>
          <w:p w:rsidR="005F63D6" w:rsidRDefault="001610CE" w:rsidP="005F63D6">
            <w:pPr>
              <w:pStyle w:val="SingleTxtG"/>
              <w:spacing w:before="40"/>
              <w:ind w:left="0" w:right="113"/>
              <w:jc w:val="left"/>
              <w:rPr>
                <w:lang w:val="es-UY"/>
              </w:rPr>
            </w:pPr>
            <w:r w:rsidRPr="005F63D6">
              <w:rPr>
                <w:lang w:val="es-UY"/>
              </w:rPr>
              <w:lastRenderedPageBreak/>
              <w:t>2</w:t>
            </w:r>
          </w:p>
        </w:tc>
        <w:tc>
          <w:tcPr>
            <w:tcW w:w="5816" w:type="dxa"/>
            <w:shd w:val="clear" w:color="auto" w:fill="auto"/>
          </w:tcPr>
          <w:p w:rsidR="005F63D6" w:rsidRDefault="001610CE" w:rsidP="005F63D6">
            <w:pPr>
              <w:pStyle w:val="SingleTxtG"/>
              <w:spacing w:before="40"/>
              <w:ind w:left="0" w:right="113"/>
              <w:jc w:val="left"/>
              <w:rPr>
                <w:lang w:val="es-UY"/>
              </w:rPr>
            </w:pPr>
            <w:r w:rsidRPr="005F63D6">
              <w:rPr>
                <w:lang w:val="es-UY"/>
              </w:rPr>
              <w:t>Albania, Andorra, Benin, Bosnia y Herzegovina, Burkina Faso, Burundi, Comoras, Congo, Côte d</w:t>
            </w:r>
            <w:r>
              <w:rPr>
                <w:lang w:val="es-UY"/>
              </w:rPr>
              <w:t>’</w:t>
            </w:r>
            <w:r w:rsidRPr="005F63D6">
              <w:rPr>
                <w:lang w:val="es-UY"/>
              </w:rPr>
              <w:t>Ivoire, Croacia, El Salvador, Estonia, Ghana, Granada, Grecia, Guinea Ecuatorial, Irán (República Islámica del), Islas Salomón, Jamaica, Kenya, Liechtenstein, Maldivas, Paraguay, República Centroafricana, República Popular Democrática de Corea, Saint Kitts y Nevis, San Marino, San Vicente y las Granadinas, Seychelles, Sierra Leona, Suiza, Swazilandia, Tailandia, Viet Nam (34 Estados partes)</w:t>
            </w:r>
          </w:p>
        </w:tc>
      </w:tr>
      <w:tr w:rsidR="005F63D6" w:rsidTr="005F63D6">
        <w:tc>
          <w:tcPr>
            <w:tcW w:w="1554" w:type="dxa"/>
            <w:tcBorders>
              <w:bottom w:val="single" w:sz="12" w:space="0" w:color="auto"/>
            </w:tcBorders>
            <w:shd w:val="clear" w:color="auto" w:fill="auto"/>
          </w:tcPr>
          <w:p w:rsidR="005F63D6" w:rsidRDefault="001610CE" w:rsidP="005F63D6">
            <w:pPr>
              <w:pStyle w:val="SingleTxtG"/>
              <w:spacing w:before="40"/>
              <w:ind w:left="0" w:right="113"/>
              <w:jc w:val="left"/>
              <w:rPr>
                <w:lang w:val="es-UY"/>
              </w:rPr>
            </w:pPr>
            <w:r w:rsidRPr="005F63D6">
              <w:rPr>
                <w:lang w:val="es-UY"/>
              </w:rPr>
              <w:t>1</w:t>
            </w:r>
          </w:p>
        </w:tc>
        <w:tc>
          <w:tcPr>
            <w:tcW w:w="5816" w:type="dxa"/>
            <w:tcBorders>
              <w:bottom w:val="single" w:sz="12" w:space="0" w:color="auto"/>
            </w:tcBorders>
            <w:shd w:val="clear" w:color="auto" w:fill="auto"/>
          </w:tcPr>
          <w:p w:rsidR="005F63D6" w:rsidRDefault="001610CE" w:rsidP="009505BC">
            <w:pPr>
              <w:pStyle w:val="SingleTxtG"/>
              <w:spacing w:before="40"/>
              <w:ind w:left="0" w:right="113"/>
              <w:jc w:val="left"/>
              <w:rPr>
                <w:lang w:val="es-UY"/>
              </w:rPr>
            </w:pPr>
            <w:r w:rsidRPr="005F63D6">
              <w:rPr>
                <w:lang w:val="es-UY"/>
              </w:rPr>
              <w:t>Antigua y Barbuda, Armenia, Austria, Bahamas, Bangladesh, Belarús, Bélgica, Botswana, Bulgaria, Cabo Verde, Camerún, Chile, Colombia, Costa Rica, Dominica, Ecuador, Eslovenia, Estados Unidos de América, ex República Yugoslava de Macedonia, Fiji, Finlandia, Francia, Guinea, Guinea-Bissau, Haití, Irlanda, Israel, Japón, Jordania, Kazajstán, Kirguistán, Kiribati, Malasia, Mauritania, Micronesia (Estados Federados de), Mónaco, Myanmar, Namibia, Nepal, Níger, Pakistán, Perú, Polonia, Portugal, República de Corea, República de Moldova, República Democrática Popular Lao, Rumania, Rwanda, Santa Lucía, Serbia, Somalia, Sri Lanka, Sudáfrica, Sudán, Suriname, Tayikistán, Tonga, Tuvalu, Venezuela (República Bolivariana de)</w:t>
            </w:r>
            <w:r w:rsidR="009505BC">
              <w:rPr>
                <w:lang w:val="es-UY"/>
              </w:rPr>
              <w:t>,</w:t>
            </w:r>
            <w:r w:rsidRPr="005F63D6">
              <w:rPr>
                <w:lang w:val="es-UY"/>
              </w:rPr>
              <w:t xml:space="preserve"> </w:t>
            </w:r>
            <w:r w:rsidR="009505BC" w:rsidRPr="005F63D6">
              <w:rPr>
                <w:lang w:val="es-UY"/>
              </w:rPr>
              <w:t xml:space="preserve">Santa Sede </w:t>
            </w:r>
            <w:r w:rsidRPr="005F63D6">
              <w:rPr>
                <w:lang w:val="es-UY"/>
              </w:rPr>
              <w:t>(61 Estados partes)</w:t>
            </w:r>
          </w:p>
        </w:tc>
      </w:tr>
    </w:tbl>
    <w:p w:rsidR="006766AC" w:rsidRPr="006766AC" w:rsidRDefault="001610CE" w:rsidP="009505BC">
      <w:pPr>
        <w:pStyle w:val="HChG"/>
        <w:rPr>
          <w:lang w:val="es-UY"/>
        </w:rPr>
      </w:pPr>
      <w:r>
        <w:tab/>
      </w:r>
      <w:r w:rsidR="006766AC" w:rsidRPr="006766AC">
        <w:t>IV.</w:t>
      </w:r>
      <w:r w:rsidR="006766AC" w:rsidRPr="006766AC">
        <w:tab/>
        <w:t>Situación relativa a la presentación de informes, por</w:t>
      </w:r>
      <w:r w:rsidR="009505BC">
        <w:t> </w:t>
      </w:r>
      <w:r w:rsidR="006766AC" w:rsidRPr="006766AC">
        <w:t>tratado,</w:t>
      </w:r>
      <w:r>
        <w:t> </w:t>
      </w:r>
      <w:r w:rsidR="006766AC" w:rsidRPr="006766AC">
        <w:t>al 31 de diciembre de 2017</w:t>
      </w:r>
    </w:p>
    <w:p w:rsidR="006766AC" w:rsidRPr="006766AC" w:rsidRDefault="006766AC" w:rsidP="001610CE">
      <w:pPr>
        <w:pStyle w:val="SingleTxtG"/>
        <w:rPr>
          <w:lang w:val="es-UY"/>
        </w:rPr>
      </w:pPr>
      <w:r w:rsidRPr="006766AC">
        <w:t>10.</w:t>
      </w:r>
      <w:r w:rsidRPr="006766AC">
        <w:tab/>
        <w:t>Al 31 de diciembre de 2017, había 575 informes atrasados (266 informes iniciales y 309 informes periódicos) de un total de</w:t>
      </w:r>
      <w:r w:rsidR="004A1DCB">
        <w:t xml:space="preserve"> </w:t>
      </w:r>
      <w:r w:rsidRPr="006766AC">
        <w:t>161 Estados partes. Los tratados con el mayor índice de incumplimiento o de demora en lo que se refiere a la obligación de los Estados partes de presentar informes oportunamente eran los siguientes: la Convención Internacional sobre la Eliminación de Todas las Formas de Discriminación Racial (51%); la Convención contra la Tortura y Otros Tratos o Penas Crueles, Inhumanos o Degradantes (43%) y el Pacto Internacional de Derechos Económicos, Sociales y Culturales (41%) (véase el cuadro 6).</w:t>
      </w:r>
    </w:p>
    <w:p w:rsidR="006766AC" w:rsidRPr="006766AC" w:rsidRDefault="006766AC" w:rsidP="001610CE">
      <w:pPr>
        <w:pStyle w:val="SingleTxtG"/>
        <w:rPr>
          <w:lang w:val="es-UY"/>
        </w:rPr>
      </w:pPr>
      <w:r w:rsidRPr="006766AC">
        <w:t>11.</w:t>
      </w:r>
      <w:r w:rsidRPr="006766AC">
        <w:tab/>
        <w:t xml:space="preserve">Por lo que respecta a los informes iniciales que los Estados partes deben presentar dentro del plazo de uno o dos años a contar de la fecha de entrada en vigor del tratado para ellos, estaban atrasados los correspondientes a los siguientes tratados: el Protocolo Facultativo de la Convención sobre los Derechos del Niño relativo a la venta de niños, la prostitución infantil y la utilización de niños en la pornografía (61), la Convención sobre los Derechos de las Personas con Discapacidad (52), el Protocolo Facultativo de la Convención sobre los Derechos del Niño relativo a la participación de niños en los conflictos armados (43), el Pacto Internacional de Derechos Económicos, Sociales y Culturales (27), la Convención contra la Tortura y Otros Tratos o Penas Crueles, Inhumanos o Degradantes (27), el Pacto Internacional de Derechos Civiles y Políticos (15), la Convención Internacional para la Protección de Todas las Personas contra las Desapariciones Forzadas (15), la Convención Internacional sobre la Eliminación de Todas las Formas de Discriminación Racial (14), la Convención Internacional sobre la Protección de los Derechos de Todos los Trabajadores Migratorios y de sus Familiares (4), la Convención sobre la Eliminación de Todas las Formas de Discriminación contra la Mujer (4) y la Convención sobre los Derechos del Niño (4) (véase el cuadro 6). </w:t>
      </w:r>
    </w:p>
    <w:p w:rsidR="006766AC" w:rsidRPr="006766AC" w:rsidRDefault="006766AC" w:rsidP="009505BC">
      <w:pPr>
        <w:pStyle w:val="SingleTxtG"/>
        <w:rPr>
          <w:lang w:val="es-UY"/>
        </w:rPr>
      </w:pPr>
      <w:r w:rsidRPr="006766AC">
        <w:lastRenderedPageBreak/>
        <w:t>12.</w:t>
      </w:r>
      <w:r w:rsidRPr="006766AC">
        <w:tab/>
        <w:t xml:space="preserve">Los tratados con el mayor índice de incumplimiento en cuanto a la obligación de los Estados partes de presentar informes (informes iniciales atrasados) eran los siguientes: el Protocolo Facultativo de la Convención sobre los Derechos del Niño relativo a la venta de niños, la prostitución infantil y la utilización de niños en la pornografía (35%), la Convención sobre los Derechos de las Personas con Discapacidad (29%), el Protocolo Facultativo de la Convención sobre los Derechos del Niño relativo a la participación de niños en los conflictos armados (26%) </w:t>
      </w:r>
      <w:r w:rsidR="009505BC">
        <w:t xml:space="preserve">y </w:t>
      </w:r>
      <w:r w:rsidRPr="006766AC">
        <w:t>la Convención Internacional para la Protección de Todas las Personas contra las Desapariciones Forzadas (26%) (véase el cuadro 6).</w:t>
      </w:r>
    </w:p>
    <w:p w:rsidR="006766AC" w:rsidRPr="006766AC" w:rsidRDefault="006766AC" w:rsidP="009505BC">
      <w:pPr>
        <w:pStyle w:val="SingleTxtG"/>
        <w:rPr>
          <w:lang w:val="es-UY"/>
        </w:rPr>
      </w:pPr>
      <w:r w:rsidRPr="006766AC">
        <w:t>13.</w:t>
      </w:r>
      <w:r w:rsidRPr="006766AC">
        <w:tab/>
        <w:t>Los tratados con el mayor número de informes periódicos atrasados eran los siguientes: la Convención Internacional sobre la Eliminación de Todas las Formas de Discriminación Racial (77)</w:t>
      </w:r>
      <w:r w:rsidR="009505BC">
        <w:t>,</w:t>
      </w:r>
      <w:r w:rsidRPr="006766AC">
        <w:t xml:space="preserve"> el Pacto Internacional de Derechos Civiles y Políticos (51) y la Convención sobre los Derechos del Niño (50) (véase el cuadro 6). </w:t>
      </w:r>
    </w:p>
    <w:p w:rsidR="006766AC" w:rsidRPr="006766AC" w:rsidRDefault="006766AC" w:rsidP="009505BC">
      <w:pPr>
        <w:pStyle w:val="SingleTxtG"/>
        <w:rPr>
          <w:lang w:val="es-UY"/>
        </w:rPr>
      </w:pPr>
      <w:r w:rsidRPr="006766AC">
        <w:t>14.</w:t>
      </w:r>
      <w:r w:rsidRPr="006766AC">
        <w:tab/>
        <w:t>Los tratados con el mayor índice de informes periódicos atrasados eran los siguientes: la Convención Internacional sobre la Eliminación de Todas las Formas de Discriminación Racial (43%)</w:t>
      </w:r>
      <w:r w:rsidR="009505BC">
        <w:t>,</w:t>
      </w:r>
      <w:r w:rsidRPr="006766AC">
        <w:t xml:space="preserve"> el Pacto Internacional de Derechos Civiles y Políticos (30%)</w:t>
      </w:r>
      <w:r w:rsidR="009505BC">
        <w:t>,</w:t>
      </w:r>
      <w:r w:rsidRPr="006766AC">
        <w:t xml:space="preserve"> y la Convención contra la Tortura y Otros Tratos o Penas Crueles, Inhumanos o Degradantes (26%) (véase el cuadro 6). </w:t>
      </w:r>
    </w:p>
    <w:p w:rsidR="006766AC" w:rsidRPr="006766AC" w:rsidRDefault="006766AC" w:rsidP="001610CE">
      <w:pPr>
        <w:pStyle w:val="Ttulo1"/>
        <w:rPr>
          <w:lang w:val="es-UY"/>
        </w:rPr>
      </w:pPr>
      <w:r w:rsidRPr="006766AC">
        <w:t>Cuadro 6</w:t>
      </w:r>
    </w:p>
    <w:p w:rsidR="006766AC" w:rsidRDefault="006766AC" w:rsidP="001610CE">
      <w:pPr>
        <w:pStyle w:val="SingleTxtG"/>
        <w:rPr>
          <w:b/>
          <w:bCs/>
        </w:rPr>
      </w:pPr>
      <w:r w:rsidRPr="001610CE">
        <w:rPr>
          <w:b/>
          <w:bCs/>
        </w:rPr>
        <w:t>Informes atrasados, por tratado, al 31 de diciembre de 2017</w:t>
      </w:r>
    </w:p>
    <w:tbl>
      <w:tblPr>
        <w:tblStyle w:val="Tablaconcuadrcula"/>
        <w:tblW w:w="739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784"/>
        <w:gridCol w:w="952"/>
        <w:gridCol w:w="924"/>
        <w:gridCol w:w="1007"/>
        <w:gridCol w:w="840"/>
        <w:gridCol w:w="1750"/>
      </w:tblGrid>
      <w:tr w:rsidR="005D3F57" w:rsidRPr="001610CE" w:rsidTr="009505BC">
        <w:tc>
          <w:tcPr>
            <w:tcW w:w="1134" w:type="dxa"/>
            <w:tcBorders>
              <w:top w:val="single" w:sz="4" w:space="0" w:color="auto"/>
            </w:tcBorders>
            <w:shd w:val="clear" w:color="auto" w:fill="auto"/>
            <w:vAlign w:val="bottom"/>
          </w:tcPr>
          <w:p w:rsidR="005D3F57" w:rsidRPr="001610CE" w:rsidRDefault="005D3F57" w:rsidP="001610CE">
            <w:pPr>
              <w:pStyle w:val="SingleTxtG"/>
              <w:spacing w:before="80" w:after="80" w:line="200" w:lineRule="exact"/>
              <w:ind w:left="0" w:right="0"/>
              <w:jc w:val="left"/>
              <w:rPr>
                <w:i/>
                <w:sz w:val="16"/>
              </w:rPr>
            </w:pPr>
          </w:p>
        </w:tc>
        <w:tc>
          <w:tcPr>
            <w:tcW w:w="784" w:type="dxa"/>
            <w:tcBorders>
              <w:top w:val="single" w:sz="4" w:space="0" w:color="auto"/>
            </w:tcBorders>
            <w:shd w:val="clear" w:color="auto" w:fill="auto"/>
            <w:vAlign w:val="bottom"/>
          </w:tcPr>
          <w:p w:rsidR="005D3F57" w:rsidRPr="001610CE" w:rsidRDefault="005D3F57" w:rsidP="001610CE">
            <w:pPr>
              <w:pStyle w:val="SingleTxtG"/>
              <w:spacing w:before="80" w:after="80" w:line="200" w:lineRule="exact"/>
              <w:ind w:left="0" w:right="0"/>
              <w:jc w:val="right"/>
              <w:rPr>
                <w:i/>
                <w:sz w:val="16"/>
              </w:rPr>
            </w:pPr>
          </w:p>
        </w:tc>
        <w:tc>
          <w:tcPr>
            <w:tcW w:w="1876" w:type="dxa"/>
            <w:gridSpan w:val="2"/>
            <w:tcBorders>
              <w:top w:val="single" w:sz="4" w:space="0" w:color="auto"/>
              <w:bottom w:val="single" w:sz="4" w:space="0" w:color="auto"/>
              <w:right w:val="single" w:sz="24" w:space="0" w:color="FFFFFF" w:themeColor="background1"/>
            </w:tcBorders>
            <w:shd w:val="clear" w:color="auto" w:fill="auto"/>
            <w:vAlign w:val="bottom"/>
          </w:tcPr>
          <w:p w:rsidR="005D3F57" w:rsidRPr="001610CE" w:rsidRDefault="005D3F57" w:rsidP="005D3F57">
            <w:pPr>
              <w:pStyle w:val="SingleTxtG"/>
              <w:spacing w:before="80" w:after="80" w:line="200" w:lineRule="exact"/>
              <w:ind w:left="0" w:right="0"/>
              <w:jc w:val="center"/>
              <w:rPr>
                <w:i/>
                <w:sz w:val="16"/>
              </w:rPr>
            </w:pPr>
            <w:r w:rsidRPr="001610CE">
              <w:rPr>
                <w:i/>
                <w:sz w:val="16"/>
              </w:rPr>
              <w:t>Informes iniciales atrasados</w:t>
            </w:r>
          </w:p>
        </w:tc>
        <w:tc>
          <w:tcPr>
            <w:tcW w:w="1847" w:type="dxa"/>
            <w:gridSpan w:val="2"/>
            <w:tcBorders>
              <w:top w:val="single" w:sz="4" w:space="0" w:color="auto"/>
              <w:left w:val="single" w:sz="24" w:space="0" w:color="FFFFFF" w:themeColor="background1"/>
              <w:bottom w:val="single" w:sz="4" w:space="0" w:color="auto"/>
            </w:tcBorders>
            <w:shd w:val="clear" w:color="auto" w:fill="auto"/>
            <w:vAlign w:val="bottom"/>
          </w:tcPr>
          <w:p w:rsidR="005D3F57" w:rsidRPr="001610CE" w:rsidRDefault="005D3F57" w:rsidP="005D3F57">
            <w:pPr>
              <w:pStyle w:val="SingleTxtG"/>
              <w:spacing w:before="80" w:after="80" w:line="200" w:lineRule="exact"/>
              <w:ind w:left="0" w:right="0"/>
              <w:jc w:val="center"/>
              <w:rPr>
                <w:i/>
                <w:sz w:val="16"/>
              </w:rPr>
            </w:pPr>
            <w:r w:rsidRPr="001610CE">
              <w:rPr>
                <w:i/>
                <w:sz w:val="16"/>
              </w:rPr>
              <w:t>Informes periódicos atrasados</w:t>
            </w:r>
          </w:p>
        </w:tc>
        <w:tc>
          <w:tcPr>
            <w:tcW w:w="1750" w:type="dxa"/>
            <w:tcBorders>
              <w:top w:val="single" w:sz="4" w:space="0" w:color="auto"/>
            </w:tcBorders>
            <w:shd w:val="clear" w:color="auto" w:fill="auto"/>
            <w:vAlign w:val="bottom"/>
          </w:tcPr>
          <w:p w:rsidR="005D3F57" w:rsidRPr="001610CE" w:rsidRDefault="005D3F57" w:rsidP="001610CE">
            <w:pPr>
              <w:pStyle w:val="SingleTxtG"/>
              <w:spacing w:before="80" w:after="80" w:line="200" w:lineRule="exact"/>
              <w:ind w:left="0" w:right="0"/>
              <w:jc w:val="right"/>
              <w:rPr>
                <w:i/>
                <w:sz w:val="16"/>
              </w:rPr>
            </w:pPr>
          </w:p>
        </w:tc>
      </w:tr>
      <w:tr w:rsidR="004A2659" w:rsidRPr="001610CE" w:rsidTr="009505BC">
        <w:tc>
          <w:tcPr>
            <w:tcW w:w="1134" w:type="dxa"/>
            <w:tcBorders>
              <w:bottom w:val="single" w:sz="12" w:space="0" w:color="auto"/>
            </w:tcBorders>
            <w:shd w:val="clear" w:color="auto" w:fill="auto"/>
            <w:vAlign w:val="bottom"/>
          </w:tcPr>
          <w:p w:rsidR="004A2659" w:rsidRPr="001610CE" w:rsidRDefault="004A2659" w:rsidP="004A2659">
            <w:pPr>
              <w:pStyle w:val="SingleTxtG"/>
              <w:spacing w:before="80" w:after="80" w:line="200" w:lineRule="exact"/>
              <w:ind w:left="0" w:right="0"/>
              <w:jc w:val="left"/>
              <w:rPr>
                <w:i/>
                <w:sz w:val="16"/>
              </w:rPr>
            </w:pPr>
            <w:r w:rsidRPr="001610CE">
              <w:rPr>
                <w:i/>
                <w:sz w:val="16"/>
              </w:rPr>
              <w:t>Tratado</w:t>
            </w:r>
          </w:p>
        </w:tc>
        <w:tc>
          <w:tcPr>
            <w:tcW w:w="784" w:type="dxa"/>
            <w:tcBorders>
              <w:bottom w:val="single" w:sz="12" w:space="0" w:color="auto"/>
            </w:tcBorders>
            <w:shd w:val="clear" w:color="auto" w:fill="auto"/>
            <w:vAlign w:val="bottom"/>
          </w:tcPr>
          <w:p w:rsidR="004A2659" w:rsidRPr="001610CE" w:rsidRDefault="004A2659" w:rsidP="004A2659">
            <w:pPr>
              <w:pStyle w:val="SingleTxtG"/>
              <w:spacing w:before="80" w:after="80" w:line="200" w:lineRule="exact"/>
              <w:ind w:left="0" w:right="0"/>
              <w:jc w:val="right"/>
              <w:rPr>
                <w:i/>
                <w:sz w:val="16"/>
              </w:rPr>
            </w:pPr>
            <w:r w:rsidRPr="001610CE">
              <w:rPr>
                <w:i/>
                <w:sz w:val="16"/>
              </w:rPr>
              <w:t>Número de Estados partes a)</w:t>
            </w:r>
          </w:p>
        </w:tc>
        <w:tc>
          <w:tcPr>
            <w:tcW w:w="952" w:type="dxa"/>
            <w:tcBorders>
              <w:top w:val="single" w:sz="4" w:space="0" w:color="auto"/>
              <w:bottom w:val="single" w:sz="12" w:space="0" w:color="auto"/>
            </w:tcBorders>
            <w:shd w:val="clear" w:color="auto" w:fill="auto"/>
            <w:vAlign w:val="bottom"/>
          </w:tcPr>
          <w:p w:rsidR="004A2659" w:rsidRPr="001610CE" w:rsidRDefault="004A2659" w:rsidP="004A2659">
            <w:pPr>
              <w:pStyle w:val="SingleTxtG"/>
              <w:spacing w:before="80" w:after="80" w:line="200" w:lineRule="exact"/>
              <w:ind w:left="0" w:right="0"/>
              <w:jc w:val="right"/>
              <w:rPr>
                <w:i/>
                <w:sz w:val="16"/>
              </w:rPr>
            </w:pPr>
            <w:r w:rsidRPr="001610CE">
              <w:rPr>
                <w:i/>
                <w:sz w:val="16"/>
              </w:rPr>
              <w:t>Número de informes atrasados b)</w:t>
            </w:r>
          </w:p>
        </w:tc>
        <w:tc>
          <w:tcPr>
            <w:tcW w:w="924" w:type="dxa"/>
            <w:tcBorders>
              <w:top w:val="single" w:sz="4" w:space="0" w:color="auto"/>
              <w:bottom w:val="single" w:sz="12" w:space="0" w:color="auto"/>
              <w:right w:val="single" w:sz="24" w:space="0" w:color="FFFFFF" w:themeColor="background1"/>
            </w:tcBorders>
            <w:shd w:val="clear" w:color="auto" w:fill="auto"/>
            <w:vAlign w:val="bottom"/>
          </w:tcPr>
          <w:p w:rsidR="004A2659" w:rsidRPr="001610CE" w:rsidRDefault="004A2659" w:rsidP="005D3F57">
            <w:pPr>
              <w:pStyle w:val="SingleTxtG"/>
              <w:spacing w:before="80" w:after="80" w:line="200" w:lineRule="exact"/>
              <w:ind w:left="0" w:right="57"/>
              <w:jc w:val="right"/>
              <w:rPr>
                <w:i/>
                <w:sz w:val="16"/>
              </w:rPr>
            </w:pPr>
            <w:r w:rsidRPr="001610CE">
              <w:rPr>
                <w:i/>
                <w:sz w:val="16"/>
              </w:rPr>
              <w:t>Porcentaje b)÷a)</w:t>
            </w:r>
          </w:p>
        </w:tc>
        <w:tc>
          <w:tcPr>
            <w:tcW w:w="1007" w:type="dxa"/>
            <w:tcBorders>
              <w:top w:val="single" w:sz="4" w:space="0" w:color="auto"/>
              <w:left w:val="single" w:sz="24" w:space="0" w:color="FFFFFF" w:themeColor="background1"/>
              <w:bottom w:val="single" w:sz="12" w:space="0" w:color="auto"/>
            </w:tcBorders>
            <w:shd w:val="clear" w:color="auto" w:fill="auto"/>
            <w:vAlign w:val="bottom"/>
          </w:tcPr>
          <w:p w:rsidR="004A2659" w:rsidRPr="001610CE" w:rsidRDefault="004A2659" w:rsidP="004A2659">
            <w:pPr>
              <w:pStyle w:val="SingleTxtG"/>
              <w:spacing w:before="80" w:after="80" w:line="200" w:lineRule="exact"/>
              <w:ind w:left="0" w:right="0"/>
              <w:jc w:val="right"/>
              <w:rPr>
                <w:i/>
                <w:sz w:val="16"/>
              </w:rPr>
            </w:pPr>
            <w:r w:rsidRPr="001610CE">
              <w:rPr>
                <w:i/>
                <w:sz w:val="16"/>
              </w:rPr>
              <w:t>Número de informes atrasados c)</w:t>
            </w:r>
          </w:p>
        </w:tc>
        <w:tc>
          <w:tcPr>
            <w:tcW w:w="840" w:type="dxa"/>
            <w:tcBorders>
              <w:top w:val="single" w:sz="4" w:space="0" w:color="auto"/>
              <w:bottom w:val="single" w:sz="12" w:space="0" w:color="auto"/>
            </w:tcBorders>
            <w:shd w:val="clear" w:color="auto" w:fill="auto"/>
            <w:vAlign w:val="bottom"/>
          </w:tcPr>
          <w:p w:rsidR="004A2659" w:rsidRPr="001610CE" w:rsidRDefault="004A2659" w:rsidP="004A2659">
            <w:pPr>
              <w:pStyle w:val="SingleTxtG"/>
              <w:spacing w:before="80" w:after="80" w:line="200" w:lineRule="exact"/>
              <w:ind w:left="0" w:right="0"/>
              <w:jc w:val="right"/>
              <w:rPr>
                <w:i/>
                <w:sz w:val="16"/>
              </w:rPr>
            </w:pPr>
            <w:r w:rsidRPr="001610CE">
              <w:rPr>
                <w:i/>
                <w:sz w:val="16"/>
              </w:rPr>
              <w:t xml:space="preserve">Porcentaje </w:t>
            </w:r>
            <w:r w:rsidR="009505BC">
              <w:rPr>
                <w:i/>
                <w:sz w:val="16"/>
              </w:rPr>
              <w:br/>
            </w:r>
            <w:r w:rsidRPr="001610CE">
              <w:rPr>
                <w:i/>
                <w:sz w:val="16"/>
              </w:rPr>
              <w:t>c)÷a)</w:t>
            </w:r>
          </w:p>
        </w:tc>
        <w:tc>
          <w:tcPr>
            <w:tcW w:w="1750" w:type="dxa"/>
            <w:tcBorders>
              <w:bottom w:val="single" w:sz="12" w:space="0" w:color="auto"/>
            </w:tcBorders>
            <w:shd w:val="clear" w:color="auto" w:fill="auto"/>
            <w:vAlign w:val="bottom"/>
          </w:tcPr>
          <w:p w:rsidR="004A2659" w:rsidRPr="001610CE" w:rsidRDefault="004A2659" w:rsidP="009505BC">
            <w:pPr>
              <w:pStyle w:val="SingleTxtG"/>
              <w:spacing w:before="80" w:after="80" w:line="200" w:lineRule="exact"/>
              <w:ind w:left="0" w:right="0"/>
              <w:jc w:val="right"/>
              <w:rPr>
                <w:i/>
                <w:sz w:val="16"/>
              </w:rPr>
            </w:pPr>
            <w:r w:rsidRPr="004A2659">
              <w:rPr>
                <w:i/>
                <w:sz w:val="16"/>
              </w:rPr>
              <w:t>Número total de</w:t>
            </w:r>
            <w:r w:rsidR="009505BC">
              <w:rPr>
                <w:i/>
                <w:sz w:val="16"/>
              </w:rPr>
              <w:t> </w:t>
            </w:r>
            <w:r w:rsidRPr="004A2659">
              <w:rPr>
                <w:i/>
                <w:sz w:val="16"/>
              </w:rPr>
              <w:t>informes atrasados/porcentaje</w:t>
            </w:r>
          </w:p>
        </w:tc>
      </w:tr>
      <w:tr w:rsidR="004A2659" w:rsidRPr="001610CE" w:rsidTr="009505BC">
        <w:tc>
          <w:tcPr>
            <w:tcW w:w="1134" w:type="dxa"/>
            <w:tcBorders>
              <w:top w:val="single" w:sz="12" w:space="0" w:color="auto"/>
            </w:tcBorders>
            <w:shd w:val="clear" w:color="auto" w:fill="auto"/>
          </w:tcPr>
          <w:p w:rsidR="004A2659" w:rsidRPr="001610CE" w:rsidRDefault="004A2659" w:rsidP="004A2659">
            <w:pPr>
              <w:spacing w:before="40" w:after="40" w:line="220" w:lineRule="exact"/>
              <w:rPr>
                <w:sz w:val="18"/>
                <w:lang w:val="en-GB"/>
              </w:rPr>
            </w:pPr>
            <w:r w:rsidRPr="001610CE">
              <w:rPr>
                <w:sz w:val="18"/>
              </w:rPr>
              <w:t xml:space="preserve">ICCPR </w:t>
            </w:r>
          </w:p>
        </w:tc>
        <w:tc>
          <w:tcPr>
            <w:tcW w:w="784" w:type="dxa"/>
            <w:tcBorders>
              <w:top w:val="single" w:sz="12"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169</w:t>
            </w:r>
          </w:p>
        </w:tc>
        <w:tc>
          <w:tcPr>
            <w:tcW w:w="952" w:type="dxa"/>
            <w:tcBorders>
              <w:top w:val="single" w:sz="12"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15</w:t>
            </w:r>
          </w:p>
        </w:tc>
        <w:tc>
          <w:tcPr>
            <w:tcW w:w="924" w:type="dxa"/>
            <w:tcBorders>
              <w:top w:val="single" w:sz="12" w:space="0" w:color="auto"/>
            </w:tcBorders>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9</w:t>
            </w:r>
          </w:p>
        </w:tc>
        <w:tc>
          <w:tcPr>
            <w:tcW w:w="1007" w:type="dxa"/>
            <w:tcBorders>
              <w:top w:val="single" w:sz="12"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51</w:t>
            </w:r>
          </w:p>
        </w:tc>
        <w:tc>
          <w:tcPr>
            <w:tcW w:w="840" w:type="dxa"/>
            <w:tcBorders>
              <w:top w:val="single" w:sz="12"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30</w:t>
            </w:r>
          </w:p>
        </w:tc>
        <w:tc>
          <w:tcPr>
            <w:tcW w:w="1750" w:type="dxa"/>
            <w:tcBorders>
              <w:top w:val="single" w:sz="12"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66 (39%)</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ICESCR</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166</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27</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16</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42</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25</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69 (41%)</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ICERD</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179</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14</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8</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77</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43</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91 (51%)</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CAT</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162</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27</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17</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43</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26</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70 (43%)</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CEDAW</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189</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2</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45</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24</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49 (26%)</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CRC</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196</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2</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50</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25</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54 (27%)</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OP-CRC-SC</w:t>
            </w:r>
            <w:r w:rsidRPr="004A2659">
              <w:rPr>
                <w:i/>
                <w:iCs/>
                <w:sz w:val="18"/>
                <w:vertAlign w:val="superscript"/>
              </w:rPr>
              <w:t>a</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174</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61</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35</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0</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0</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61 (35%)</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OP-CRC-AC</w:t>
            </w:r>
            <w:r w:rsidRPr="004A2659">
              <w:rPr>
                <w:i/>
                <w:iCs/>
                <w:sz w:val="18"/>
                <w:vertAlign w:val="superscript"/>
              </w:rPr>
              <w:t>a</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167</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43</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26</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0</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0</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43 (26%)</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ICRMW</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51</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4</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20</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14</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 (10%)</w:t>
            </w:r>
          </w:p>
        </w:tc>
      </w:tr>
      <w:tr w:rsidR="004A2659" w:rsidRPr="001610CE" w:rsidTr="009505BC">
        <w:tc>
          <w:tcPr>
            <w:tcW w:w="1134" w:type="dxa"/>
            <w:shd w:val="clear" w:color="auto" w:fill="auto"/>
          </w:tcPr>
          <w:p w:rsidR="004A2659" w:rsidRPr="001610CE" w:rsidRDefault="004A2659" w:rsidP="004A2659">
            <w:pPr>
              <w:spacing w:before="40" w:after="40" w:line="220" w:lineRule="exact"/>
              <w:rPr>
                <w:sz w:val="18"/>
                <w:lang w:val="en-GB"/>
              </w:rPr>
            </w:pPr>
            <w:r w:rsidRPr="001610CE">
              <w:rPr>
                <w:sz w:val="18"/>
              </w:rPr>
              <w:t>CRPD</w:t>
            </w:r>
          </w:p>
        </w:tc>
        <w:tc>
          <w:tcPr>
            <w:tcW w:w="784"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176</w:t>
            </w:r>
          </w:p>
        </w:tc>
        <w:tc>
          <w:tcPr>
            <w:tcW w:w="952"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52</w:t>
            </w:r>
          </w:p>
        </w:tc>
        <w:tc>
          <w:tcPr>
            <w:tcW w:w="924" w:type="dxa"/>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29</w:t>
            </w:r>
          </w:p>
        </w:tc>
        <w:tc>
          <w:tcPr>
            <w:tcW w:w="1007"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0</w:t>
            </w:r>
          </w:p>
        </w:tc>
        <w:tc>
          <w:tcPr>
            <w:tcW w:w="84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0</w:t>
            </w:r>
          </w:p>
        </w:tc>
        <w:tc>
          <w:tcPr>
            <w:tcW w:w="1750" w:type="dxa"/>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52 (29%)</w:t>
            </w:r>
          </w:p>
        </w:tc>
      </w:tr>
      <w:tr w:rsidR="004A2659" w:rsidRPr="001610CE" w:rsidTr="009505BC">
        <w:tc>
          <w:tcPr>
            <w:tcW w:w="1134" w:type="dxa"/>
            <w:tcBorders>
              <w:bottom w:val="single" w:sz="4" w:space="0" w:color="auto"/>
            </w:tcBorders>
            <w:shd w:val="clear" w:color="auto" w:fill="auto"/>
          </w:tcPr>
          <w:p w:rsidR="004A2659" w:rsidRPr="001610CE" w:rsidRDefault="004A2659" w:rsidP="004A2659">
            <w:pPr>
              <w:spacing w:before="40" w:after="40" w:line="220" w:lineRule="exact"/>
              <w:rPr>
                <w:sz w:val="18"/>
                <w:lang w:val="en-GB"/>
              </w:rPr>
            </w:pPr>
            <w:r w:rsidRPr="001610CE">
              <w:rPr>
                <w:sz w:val="18"/>
              </w:rPr>
              <w:t>ICPPED</w:t>
            </w:r>
            <w:r w:rsidRPr="004A2659">
              <w:rPr>
                <w:i/>
                <w:iCs/>
                <w:sz w:val="18"/>
                <w:vertAlign w:val="superscript"/>
              </w:rPr>
              <w:t>b</w:t>
            </w:r>
          </w:p>
        </w:tc>
        <w:tc>
          <w:tcPr>
            <w:tcW w:w="784" w:type="dxa"/>
            <w:tcBorders>
              <w:bottom w:val="single" w:sz="4"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58</w:t>
            </w:r>
          </w:p>
        </w:tc>
        <w:tc>
          <w:tcPr>
            <w:tcW w:w="952" w:type="dxa"/>
            <w:tcBorders>
              <w:bottom w:val="single" w:sz="4"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15</w:t>
            </w:r>
          </w:p>
        </w:tc>
        <w:tc>
          <w:tcPr>
            <w:tcW w:w="924" w:type="dxa"/>
            <w:tcBorders>
              <w:bottom w:val="single" w:sz="4" w:space="0" w:color="auto"/>
            </w:tcBorders>
            <w:shd w:val="clear" w:color="auto" w:fill="auto"/>
            <w:vAlign w:val="bottom"/>
          </w:tcPr>
          <w:p w:rsidR="004A2659" w:rsidRPr="001610CE" w:rsidRDefault="004A2659" w:rsidP="005D3F57">
            <w:pPr>
              <w:spacing w:before="40" w:after="40" w:line="220" w:lineRule="exact"/>
              <w:ind w:left="113" w:right="57"/>
              <w:jc w:val="right"/>
              <w:rPr>
                <w:sz w:val="18"/>
                <w:lang w:val="en-GB"/>
              </w:rPr>
            </w:pPr>
            <w:r w:rsidRPr="001610CE">
              <w:rPr>
                <w:sz w:val="18"/>
              </w:rPr>
              <w:t>26</w:t>
            </w:r>
          </w:p>
        </w:tc>
        <w:tc>
          <w:tcPr>
            <w:tcW w:w="1007" w:type="dxa"/>
            <w:tcBorders>
              <w:bottom w:val="single" w:sz="4" w:space="0" w:color="auto"/>
            </w:tcBorders>
            <w:shd w:val="clear" w:color="auto" w:fill="auto"/>
            <w:vAlign w:val="bottom"/>
          </w:tcPr>
          <w:p w:rsidR="004A2659" w:rsidRPr="001610CE" w:rsidRDefault="009505BC" w:rsidP="004A2659">
            <w:pPr>
              <w:spacing w:before="40" w:after="40" w:line="220" w:lineRule="exact"/>
              <w:ind w:left="113"/>
              <w:jc w:val="right"/>
              <w:rPr>
                <w:sz w:val="18"/>
                <w:lang w:val="en-GB"/>
              </w:rPr>
            </w:pPr>
            <w:r>
              <w:rPr>
                <w:sz w:val="18"/>
              </w:rPr>
              <w:t>N/A</w:t>
            </w:r>
          </w:p>
        </w:tc>
        <w:tc>
          <w:tcPr>
            <w:tcW w:w="840" w:type="dxa"/>
            <w:tcBorders>
              <w:bottom w:val="single" w:sz="4" w:space="0" w:color="auto"/>
            </w:tcBorders>
            <w:shd w:val="clear" w:color="auto" w:fill="auto"/>
            <w:vAlign w:val="bottom"/>
          </w:tcPr>
          <w:p w:rsidR="004A2659" w:rsidRPr="001610CE" w:rsidRDefault="009505BC" w:rsidP="004A2659">
            <w:pPr>
              <w:spacing w:before="40" w:after="40" w:line="220" w:lineRule="exact"/>
              <w:ind w:left="113"/>
              <w:jc w:val="right"/>
              <w:rPr>
                <w:sz w:val="18"/>
                <w:lang w:val="en-GB"/>
              </w:rPr>
            </w:pPr>
            <w:r>
              <w:rPr>
                <w:sz w:val="18"/>
              </w:rPr>
              <w:t>N/A</w:t>
            </w:r>
          </w:p>
        </w:tc>
        <w:tc>
          <w:tcPr>
            <w:tcW w:w="1750" w:type="dxa"/>
            <w:tcBorders>
              <w:bottom w:val="single" w:sz="4" w:space="0" w:color="auto"/>
            </w:tcBorders>
            <w:shd w:val="clear" w:color="auto" w:fill="auto"/>
            <w:vAlign w:val="bottom"/>
          </w:tcPr>
          <w:p w:rsidR="004A2659" w:rsidRPr="001610CE" w:rsidRDefault="004A2659" w:rsidP="004A2659">
            <w:pPr>
              <w:spacing w:before="40" w:after="40" w:line="220" w:lineRule="exact"/>
              <w:ind w:left="113"/>
              <w:jc w:val="right"/>
              <w:rPr>
                <w:sz w:val="18"/>
                <w:lang w:val="en-GB"/>
              </w:rPr>
            </w:pPr>
            <w:r w:rsidRPr="001610CE">
              <w:rPr>
                <w:sz w:val="18"/>
              </w:rPr>
              <w:t>15 (26%)</w:t>
            </w:r>
          </w:p>
        </w:tc>
      </w:tr>
      <w:tr w:rsidR="004A2659" w:rsidRPr="001610CE" w:rsidTr="009505BC">
        <w:tc>
          <w:tcPr>
            <w:tcW w:w="1134" w:type="dxa"/>
            <w:tcBorders>
              <w:top w:val="single" w:sz="4" w:space="0" w:color="auto"/>
              <w:bottom w:val="single" w:sz="12" w:space="0" w:color="auto"/>
            </w:tcBorders>
            <w:shd w:val="clear" w:color="auto" w:fill="auto"/>
          </w:tcPr>
          <w:p w:rsidR="004A2659" w:rsidRPr="004A2659" w:rsidRDefault="004A2659" w:rsidP="004A2659">
            <w:pPr>
              <w:spacing w:before="80" w:after="80" w:line="220" w:lineRule="exact"/>
              <w:ind w:left="284"/>
              <w:rPr>
                <w:b/>
                <w:sz w:val="18"/>
                <w:lang w:val="en-GB"/>
              </w:rPr>
            </w:pPr>
            <w:r w:rsidRPr="004A2659">
              <w:rPr>
                <w:b/>
                <w:sz w:val="18"/>
              </w:rPr>
              <w:t>Total</w:t>
            </w:r>
          </w:p>
        </w:tc>
        <w:tc>
          <w:tcPr>
            <w:tcW w:w="784" w:type="dxa"/>
            <w:tcBorders>
              <w:top w:val="single" w:sz="4" w:space="0" w:color="auto"/>
              <w:bottom w:val="single" w:sz="12" w:space="0" w:color="auto"/>
            </w:tcBorders>
            <w:shd w:val="clear" w:color="auto" w:fill="auto"/>
            <w:vAlign w:val="bottom"/>
          </w:tcPr>
          <w:p w:rsidR="004A2659" w:rsidRPr="004A2659" w:rsidRDefault="004A2659" w:rsidP="004A2659">
            <w:pPr>
              <w:spacing w:before="80" w:after="80" w:line="220" w:lineRule="exact"/>
              <w:ind w:left="113"/>
              <w:jc w:val="right"/>
              <w:rPr>
                <w:b/>
                <w:sz w:val="18"/>
                <w:lang w:val="en-GB"/>
              </w:rPr>
            </w:pPr>
            <w:r w:rsidRPr="004A2659">
              <w:rPr>
                <w:b/>
                <w:sz w:val="18"/>
                <w:lang w:val="en-GB"/>
              </w:rPr>
              <w:t xml:space="preserve"> </w:t>
            </w:r>
          </w:p>
        </w:tc>
        <w:tc>
          <w:tcPr>
            <w:tcW w:w="952" w:type="dxa"/>
            <w:tcBorders>
              <w:top w:val="single" w:sz="4" w:space="0" w:color="auto"/>
              <w:bottom w:val="single" w:sz="12" w:space="0" w:color="auto"/>
            </w:tcBorders>
            <w:shd w:val="clear" w:color="auto" w:fill="auto"/>
            <w:vAlign w:val="bottom"/>
          </w:tcPr>
          <w:p w:rsidR="004A2659" w:rsidRPr="004A2659" w:rsidRDefault="004A2659" w:rsidP="004A2659">
            <w:pPr>
              <w:spacing w:before="80" w:after="80" w:line="220" w:lineRule="exact"/>
              <w:ind w:left="113"/>
              <w:jc w:val="right"/>
              <w:rPr>
                <w:b/>
                <w:sz w:val="18"/>
                <w:lang w:val="en-GB"/>
              </w:rPr>
            </w:pPr>
            <w:r w:rsidRPr="004A2659">
              <w:rPr>
                <w:b/>
                <w:sz w:val="18"/>
              </w:rPr>
              <w:t>266</w:t>
            </w:r>
          </w:p>
        </w:tc>
        <w:tc>
          <w:tcPr>
            <w:tcW w:w="924" w:type="dxa"/>
            <w:tcBorders>
              <w:top w:val="single" w:sz="4" w:space="0" w:color="auto"/>
              <w:bottom w:val="single" w:sz="12" w:space="0" w:color="auto"/>
            </w:tcBorders>
            <w:shd w:val="clear" w:color="auto" w:fill="auto"/>
            <w:vAlign w:val="bottom"/>
          </w:tcPr>
          <w:p w:rsidR="004A2659" w:rsidRPr="004A2659" w:rsidRDefault="004A2659" w:rsidP="005D3F57">
            <w:pPr>
              <w:spacing w:before="80" w:after="80" w:line="220" w:lineRule="exact"/>
              <w:ind w:left="113" w:right="57"/>
              <w:jc w:val="right"/>
              <w:rPr>
                <w:b/>
                <w:sz w:val="18"/>
                <w:lang w:val="en-GB"/>
              </w:rPr>
            </w:pPr>
          </w:p>
        </w:tc>
        <w:tc>
          <w:tcPr>
            <w:tcW w:w="1007" w:type="dxa"/>
            <w:tcBorders>
              <w:top w:val="single" w:sz="4" w:space="0" w:color="auto"/>
              <w:bottom w:val="single" w:sz="12" w:space="0" w:color="auto"/>
            </w:tcBorders>
            <w:shd w:val="clear" w:color="auto" w:fill="auto"/>
            <w:vAlign w:val="bottom"/>
          </w:tcPr>
          <w:p w:rsidR="004A2659" w:rsidRPr="004A2659" w:rsidRDefault="004A2659" w:rsidP="004A2659">
            <w:pPr>
              <w:spacing w:before="80" w:after="80" w:line="220" w:lineRule="exact"/>
              <w:ind w:left="113"/>
              <w:jc w:val="right"/>
              <w:rPr>
                <w:b/>
                <w:sz w:val="18"/>
                <w:lang w:val="en-GB"/>
              </w:rPr>
            </w:pPr>
            <w:r w:rsidRPr="004A2659">
              <w:rPr>
                <w:b/>
                <w:sz w:val="18"/>
              </w:rPr>
              <w:t>309</w:t>
            </w:r>
          </w:p>
        </w:tc>
        <w:tc>
          <w:tcPr>
            <w:tcW w:w="840" w:type="dxa"/>
            <w:tcBorders>
              <w:top w:val="single" w:sz="4" w:space="0" w:color="auto"/>
              <w:bottom w:val="single" w:sz="12" w:space="0" w:color="auto"/>
            </w:tcBorders>
            <w:shd w:val="clear" w:color="auto" w:fill="auto"/>
            <w:vAlign w:val="bottom"/>
          </w:tcPr>
          <w:p w:rsidR="004A2659" w:rsidRPr="004A2659" w:rsidRDefault="004A2659" w:rsidP="004A2659">
            <w:pPr>
              <w:spacing w:before="80" w:after="80" w:line="220" w:lineRule="exact"/>
              <w:ind w:left="113"/>
              <w:jc w:val="right"/>
              <w:rPr>
                <w:b/>
                <w:sz w:val="18"/>
                <w:lang w:val="en-GB"/>
              </w:rPr>
            </w:pPr>
          </w:p>
        </w:tc>
        <w:tc>
          <w:tcPr>
            <w:tcW w:w="1750" w:type="dxa"/>
            <w:tcBorders>
              <w:top w:val="single" w:sz="4" w:space="0" w:color="auto"/>
              <w:bottom w:val="single" w:sz="12" w:space="0" w:color="auto"/>
            </w:tcBorders>
            <w:shd w:val="clear" w:color="auto" w:fill="auto"/>
            <w:vAlign w:val="bottom"/>
          </w:tcPr>
          <w:p w:rsidR="004A2659" w:rsidRPr="004A2659" w:rsidRDefault="004A2659" w:rsidP="004A2659">
            <w:pPr>
              <w:spacing w:before="80" w:after="80" w:line="220" w:lineRule="exact"/>
              <w:ind w:left="113"/>
              <w:jc w:val="right"/>
              <w:rPr>
                <w:b/>
                <w:sz w:val="18"/>
                <w:lang w:val="en-GB"/>
              </w:rPr>
            </w:pPr>
            <w:r w:rsidRPr="004A2659">
              <w:rPr>
                <w:b/>
                <w:sz w:val="18"/>
              </w:rPr>
              <w:t>575</w:t>
            </w:r>
          </w:p>
        </w:tc>
      </w:tr>
    </w:tbl>
    <w:p w:rsidR="006766AC" w:rsidRPr="005D3F57" w:rsidRDefault="006766AC" w:rsidP="005D3F57">
      <w:pPr>
        <w:pStyle w:val="SingleTxtG"/>
        <w:spacing w:before="120" w:after="0"/>
        <w:ind w:firstLine="170"/>
        <w:jc w:val="left"/>
        <w:rPr>
          <w:sz w:val="18"/>
          <w:szCs w:val="18"/>
          <w:lang w:val="es-UY"/>
        </w:rPr>
      </w:pPr>
      <w:r w:rsidRPr="005D3F57">
        <w:rPr>
          <w:i/>
          <w:iCs/>
          <w:sz w:val="18"/>
          <w:szCs w:val="18"/>
        </w:rPr>
        <w:t>Nota</w:t>
      </w:r>
      <w:r w:rsidRPr="009505BC">
        <w:rPr>
          <w:i/>
          <w:iCs/>
          <w:sz w:val="18"/>
          <w:szCs w:val="18"/>
        </w:rPr>
        <w:t>:</w:t>
      </w:r>
      <w:r w:rsidRPr="005D3F57">
        <w:rPr>
          <w:sz w:val="18"/>
          <w:szCs w:val="18"/>
        </w:rPr>
        <w:t xml:space="preserve"> Los datos del presente cuadro se basan en los plazos inicialmente establecidos. Sin embargo, a los Estados partes que han optado por utilizar el procedimiento simplificado de presentación de informes se les han dado nuevos plazos.</w:t>
      </w:r>
    </w:p>
    <w:p w:rsidR="006766AC" w:rsidRPr="005D3F57" w:rsidRDefault="006766AC" w:rsidP="005D3F57">
      <w:pPr>
        <w:pStyle w:val="SingleTxtG"/>
        <w:spacing w:after="0"/>
        <w:ind w:firstLine="170"/>
        <w:jc w:val="left"/>
        <w:rPr>
          <w:sz w:val="18"/>
          <w:szCs w:val="18"/>
          <w:lang w:val="es-UY"/>
        </w:rPr>
      </w:pPr>
      <w:r w:rsidRPr="005D3F57">
        <w:rPr>
          <w:i/>
          <w:sz w:val="18"/>
          <w:szCs w:val="18"/>
          <w:vertAlign w:val="superscript"/>
        </w:rPr>
        <w:t>a</w:t>
      </w:r>
      <w:r w:rsidRPr="005D3F57">
        <w:rPr>
          <w:sz w:val="18"/>
          <w:szCs w:val="18"/>
        </w:rPr>
        <w:t xml:space="preserve"> </w:t>
      </w:r>
      <w:r w:rsidR="005D3F57">
        <w:rPr>
          <w:sz w:val="18"/>
          <w:szCs w:val="18"/>
        </w:rPr>
        <w:t xml:space="preserve"> </w:t>
      </w:r>
      <w:r w:rsidRPr="005D3F57">
        <w:rPr>
          <w:sz w:val="18"/>
          <w:szCs w:val="18"/>
        </w:rPr>
        <w:t>De conformidad con el artículo 12, párrafo 2, del Protocolo Facultativo de la Convención sobre los Derechos del Niño relativo a la venta de niños, la prostitución infantil y la utilización de niños en la pornografía y con el artículo 8, párrafo 2, del Protocolo Facultativo de la Convención sobre los Derechos del Niño relativo a la participación de niños en los conflictos armados, después de la presentación del informe general inicial, cada Estado parte incluirá en los informes periódicos presentados al Comité de los Derechos del Niño de conformidad con el artículo 44 de la Convención sobre los Derechos del Niño la información adicional de que disponga sobre la aplicación del protocolo correspondiente; esta norma no se aplica si un Estado parte en uno o más de los Protocolos Facultativos no ha ratificado la Convención.</w:t>
      </w:r>
    </w:p>
    <w:p w:rsidR="006766AC" w:rsidRPr="005D3F57" w:rsidRDefault="006766AC" w:rsidP="00312450">
      <w:pPr>
        <w:pStyle w:val="SingleTxtG"/>
        <w:spacing w:after="240"/>
        <w:ind w:firstLine="170"/>
        <w:jc w:val="left"/>
        <w:rPr>
          <w:sz w:val="18"/>
          <w:szCs w:val="18"/>
          <w:lang w:val="es-UY"/>
        </w:rPr>
      </w:pPr>
      <w:r w:rsidRPr="005D3F57">
        <w:rPr>
          <w:i/>
          <w:sz w:val="18"/>
          <w:szCs w:val="18"/>
          <w:vertAlign w:val="superscript"/>
          <w:lang w:val="es-UY"/>
        </w:rPr>
        <w:t>b</w:t>
      </w:r>
      <w:r w:rsidRPr="005D3F57">
        <w:rPr>
          <w:sz w:val="18"/>
          <w:szCs w:val="18"/>
          <w:lang w:val="es-UY"/>
        </w:rPr>
        <w:t xml:space="preserve"> </w:t>
      </w:r>
      <w:r w:rsidR="005D3F57">
        <w:rPr>
          <w:sz w:val="18"/>
          <w:szCs w:val="18"/>
          <w:lang w:val="es-UY"/>
        </w:rPr>
        <w:t xml:space="preserve"> </w:t>
      </w:r>
      <w:r w:rsidRPr="005D3F57">
        <w:rPr>
          <w:sz w:val="18"/>
          <w:szCs w:val="18"/>
        </w:rPr>
        <w:t>Si bien la Convención Internacional para la Protección de Todas las Personas contra las Desapariciones Forzadas no contiene ninguna disposición relativa a los informes periódicos, en virtud de su artículo 29, párrafo 4, el Comité contra la Desaparición Forzada puede pedir a los Estados partes informaciones complementarias sobre la aplicación de la Convención.</w:t>
      </w:r>
    </w:p>
    <w:p w:rsidR="006766AC" w:rsidRPr="006766AC" w:rsidRDefault="006766AC" w:rsidP="005D3F57">
      <w:pPr>
        <w:pStyle w:val="SingleTxtG"/>
        <w:rPr>
          <w:lang w:val="es-UY"/>
        </w:rPr>
      </w:pPr>
      <w:r w:rsidRPr="006766AC">
        <w:lastRenderedPageBreak/>
        <w:t>15.</w:t>
      </w:r>
      <w:r w:rsidRPr="006766AC">
        <w:tab/>
        <w:t>De los 266 informes iniciales atrasados, 113 (42%) tenían menos de 5 años de retraso, 50 informes (19%) tenían entre 5 y 10 años de retraso y 103 informes (39%) tenían más de 10 años de retraso. En los siguientes tratados, más del 50% de los informes iniciales atrasados tenían un retraso de más de 10 años: la Convención Internacional sobre la Eliminación de Todas las Formas de Discriminación Racial (78%), la Convención sobre la Eliminación de Todas las Formas de Discriminación contra la Mujer (75%), el Pacto Internacional de Derechos Económicos, Sociales y Culturales (67%), el Pacto Internacional de Derechos Civiles y Políticos (60%) y la Convención contra la Tortura y Otros Tratos o Penas Crueles, Inhumanos o Degradantes (59%) (véase el cuadro 7).</w:t>
      </w:r>
    </w:p>
    <w:p w:rsidR="006766AC" w:rsidRPr="006766AC" w:rsidRDefault="006766AC" w:rsidP="005D3F57">
      <w:pPr>
        <w:pStyle w:val="Ttulo1"/>
        <w:rPr>
          <w:lang w:val="es-UY"/>
        </w:rPr>
      </w:pPr>
      <w:r w:rsidRPr="006766AC">
        <w:t>Cuadro 7</w:t>
      </w:r>
    </w:p>
    <w:p w:rsidR="006766AC" w:rsidRPr="005D3F57" w:rsidRDefault="006766AC" w:rsidP="005D4E27">
      <w:pPr>
        <w:pStyle w:val="SingleTxtG"/>
        <w:jc w:val="left"/>
        <w:rPr>
          <w:b/>
          <w:bCs/>
        </w:rPr>
      </w:pPr>
      <w:r w:rsidRPr="005D3F57">
        <w:rPr>
          <w:b/>
          <w:bCs/>
        </w:rPr>
        <w:t>Informes iniciales atrasados, por tiempo de demora y tratado, al 31 de diciembre de</w:t>
      </w:r>
      <w:r w:rsidR="005D4E27">
        <w:rPr>
          <w:b/>
          <w:bCs/>
        </w:rPr>
        <w:t> </w:t>
      </w:r>
      <w:r w:rsidRPr="005D3F57">
        <w:rPr>
          <w:b/>
          <w:bCs/>
        </w:rPr>
        <w:t>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8"/>
        <w:gridCol w:w="1358"/>
        <w:gridCol w:w="1792"/>
        <w:gridCol w:w="1569"/>
        <w:gridCol w:w="1573"/>
      </w:tblGrid>
      <w:tr w:rsidR="009C57C2" w:rsidRPr="009C57C2" w:rsidTr="009C57C2">
        <w:tc>
          <w:tcPr>
            <w:tcW w:w="1078" w:type="dxa"/>
            <w:tcBorders>
              <w:top w:val="single" w:sz="4" w:space="0" w:color="auto"/>
            </w:tcBorders>
            <w:shd w:val="clear" w:color="auto" w:fill="auto"/>
            <w:vAlign w:val="bottom"/>
          </w:tcPr>
          <w:p w:rsidR="009C57C2" w:rsidRPr="009C57C2" w:rsidRDefault="009C57C2" w:rsidP="009C57C2">
            <w:pPr>
              <w:pStyle w:val="SingleTxtG"/>
              <w:spacing w:before="80" w:after="80" w:line="200" w:lineRule="exact"/>
              <w:ind w:left="0" w:right="0"/>
              <w:jc w:val="left"/>
              <w:rPr>
                <w:i/>
                <w:sz w:val="16"/>
                <w:lang w:val="es-UY"/>
              </w:rPr>
            </w:pPr>
          </w:p>
        </w:tc>
        <w:tc>
          <w:tcPr>
            <w:tcW w:w="1358" w:type="dxa"/>
            <w:tcBorders>
              <w:top w:val="single" w:sz="4"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p>
        </w:tc>
        <w:tc>
          <w:tcPr>
            <w:tcW w:w="4934" w:type="dxa"/>
            <w:gridSpan w:val="3"/>
            <w:tcBorders>
              <w:top w:val="single" w:sz="4" w:space="0" w:color="auto"/>
              <w:bottom w:val="single" w:sz="4" w:space="0" w:color="auto"/>
            </w:tcBorders>
            <w:shd w:val="clear" w:color="auto" w:fill="auto"/>
            <w:vAlign w:val="bottom"/>
          </w:tcPr>
          <w:p w:rsidR="009C57C2" w:rsidRPr="009C57C2" w:rsidRDefault="009C57C2" w:rsidP="009C57C2">
            <w:pPr>
              <w:pStyle w:val="SingleTxtG"/>
              <w:spacing w:before="80" w:after="80" w:line="200" w:lineRule="exact"/>
              <w:ind w:left="0" w:right="0"/>
              <w:jc w:val="center"/>
              <w:rPr>
                <w:i/>
                <w:sz w:val="16"/>
                <w:lang w:val="es-UY"/>
              </w:rPr>
            </w:pPr>
            <w:r w:rsidRPr="009C57C2">
              <w:rPr>
                <w:i/>
                <w:sz w:val="16"/>
                <w:lang w:val="es-UY"/>
              </w:rPr>
              <w:t>Tiempo de demora</w:t>
            </w:r>
          </w:p>
        </w:tc>
      </w:tr>
      <w:tr w:rsidR="009C57C2" w:rsidRPr="009C57C2" w:rsidTr="009C57C2">
        <w:tc>
          <w:tcPr>
            <w:tcW w:w="1078" w:type="dxa"/>
            <w:tcBorders>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left"/>
              <w:rPr>
                <w:i/>
                <w:sz w:val="16"/>
                <w:lang w:val="es-UY"/>
              </w:rPr>
            </w:pPr>
            <w:r w:rsidRPr="009C57C2">
              <w:rPr>
                <w:i/>
                <w:sz w:val="16"/>
                <w:lang w:val="es-UY"/>
              </w:rPr>
              <w:t>Tratado</w:t>
            </w:r>
          </w:p>
        </w:tc>
        <w:tc>
          <w:tcPr>
            <w:tcW w:w="1358" w:type="dxa"/>
            <w:tcBorders>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Número de informes iniciales atrasados</w:t>
            </w:r>
          </w:p>
        </w:tc>
        <w:tc>
          <w:tcPr>
            <w:tcW w:w="1792"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Número de informes con menos de 5 años de retraso/porcentaje</w:t>
            </w:r>
          </w:p>
        </w:tc>
        <w:tc>
          <w:tcPr>
            <w:tcW w:w="1569"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Número de informes con 5 a 10 años de retraso/porcentaje</w:t>
            </w:r>
          </w:p>
        </w:tc>
        <w:tc>
          <w:tcPr>
            <w:tcW w:w="1573"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Número de informes con más de 10 años de retraso/porcentaje</w:t>
            </w:r>
          </w:p>
        </w:tc>
      </w:tr>
      <w:tr w:rsidR="009C57C2" w:rsidRPr="009C57C2" w:rsidTr="009C57C2">
        <w:tc>
          <w:tcPr>
            <w:tcW w:w="1078" w:type="dxa"/>
            <w:tcBorders>
              <w:top w:val="single" w:sz="12" w:space="0" w:color="auto"/>
            </w:tcBorders>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ICCPR</w:t>
            </w:r>
          </w:p>
        </w:tc>
        <w:tc>
          <w:tcPr>
            <w:tcW w:w="1358"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15</w:t>
            </w:r>
          </w:p>
        </w:tc>
        <w:tc>
          <w:tcPr>
            <w:tcW w:w="1792"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 (7%)</w:t>
            </w:r>
          </w:p>
        </w:tc>
        <w:tc>
          <w:tcPr>
            <w:tcW w:w="1569"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5 (33%)</w:t>
            </w:r>
          </w:p>
        </w:tc>
        <w:tc>
          <w:tcPr>
            <w:tcW w:w="1573"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9 (60%)</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ICESCR</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27</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 (15%)</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5 (18%)</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18 (67%)</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ICERD</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14</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 (14%)</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 (7%)</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11 (78%)</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CAT</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27</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10 (37%)</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 (4%)</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16 (59%)</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CEDAW</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 (25%)</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 xml:space="preserve">0 </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3 (75%)</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CRC</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 xml:space="preserve">3 (75%) </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 (25%)</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OP-CRC-SC</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61</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20 (33%)</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15 (24%)</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26 (43%)</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OP-CRC-AC</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43</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18 (42%)</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6 (14%)</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19 (44%)</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ICRMW</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 (100%)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r>
      <w:tr w:rsidR="009C57C2" w:rsidRPr="009C57C2" w:rsidTr="009C57C2">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CRPD</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52</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35 (67%)</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17 (33%)</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r>
      <w:tr w:rsidR="009C57C2" w:rsidRPr="009C57C2" w:rsidTr="009C57C2">
        <w:tc>
          <w:tcPr>
            <w:tcW w:w="1078" w:type="dxa"/>
            <w:tcBorders>
              <w:bottom w:val="single" w:sz="4" w:space="0" w:color="auto"/>
            </w:tcBorders>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ICPPED</w:t>
            </w:r>
          </w:p>
        </w:tc>
        <w:tc>
          <w:tcPr>
            <w:tcW w:w="1358"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15</w:t>
            </w:r>
          </w:p>
        </w:tc>
        <w:tc>
          <w:tcPr>
            <w:tcW w:w="1792"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15 (100%)</w:t>
            </w:r>
          </w:p>
        </w:tc>
        <w:tc>
          <w:tcPr>
            <w:tcW w:w="1569"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73"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r>
      <w:tr w:rsidR="009C57C2" w:rsidRPr="009C57C2" w:rsidTr="009C57C2">
        <w:tc>
          <w:tcPr>
            <w:tcW w:w="1078"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284" w:right="0"/>
              <w:jc w:val="left"/>
              <w:rPr>
                <w:b/>
                <w:bCs/>
                <w:sz w:val="18"/>
                <w:lang w:val="es-UY"/>
              </w:rPr>
            </w:pPr>
            <w:r w:rsidRPr="009C57C2">
              <w:rPr>
                <w:b/>
                <w:bCs/>
                <w:sz w:val="18"/>
                <w:lang w:val="es-UY"/>
              </w:rPr>
              <w:t>Total</w:t>
            </w:r>
          </w:p>
        </w:tc>
        <w:tc>
          <w:tcPr>
            <w:tcW w:w="1358"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266</w:t>
            </w:r>
          </w:p>
        </w:tc>
        <w:tc>
          <w:tcPr>
            <w:tcW w:w="1792"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113</w:t>
            </w:r>
          </w:p>
        </w:tc>
        <w:tc>
          <w:tcPr>
            <w:tcW w:w="1569"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50</w:t>
            </w:r>
          </w:p>
        </w:tc>
        <w:tc>
          <w:tcPr>
            <w:tcW w:w="1573"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103</w:t>
            </w:r>
          </w:p>
        </w:tc>
      </w:tr>
    </w:tbl>
    <w:p w:rsidR="006766AC" w:rsidRPr="006766AC" w:rsidRDefault="006766AC" w:rsidP="009C57C2">
      <w:pPr>
        <w:pStyle w:val="SingleTxtG"/>
        <w:spacing w:before="240"/>
        <w:rPr>
          <w:lang w:val="es-UY"/>
        </w:rPr>
      </w:pPr>
      <w:r w:rsidRPr="006766AC">
        <w:t>16.</w:t>
      </w:r>
      <w:r w:rsidRPr="006766AC">
        <w:tab/>
        <w:t>De los 309 informes periódicos atrasados, 167 (54%) tenían menos de 5 años de retraso, 73 informes (24%) tenían entre 5 y 10 años de retraso y 69 informes (22%) tenían más de 10 años de retraso. La Convención Internacional sobre la Eliminación de Todas las Formas de Discriminación Racial era el instrumento con el mayor porcentaje de informes periódicos con más de 10 años de retraso (36%), seguida del Pacto Internacional de Derechos Civiles y Políticos (31%) y el Pacto Internacional de Derechos Económicos, Sociales y Culturales (31%) (véase el cuadro 8).</w:t>
      </w:r>
    </w:p>
    <w:p w:rsidR="006766AC" w:rsidRPr="006766AC" w:rsidRDefault="006766AC" w:rsidP="009C57C2">
      <w:pPr>
        <w:pStyle w:val="Ttulo1"/>
        <w:rPr>
          <w:lang w:val="es-UY"/>
        </w:rPr>
      </w:pPr>
      <w:r w:rsidRPr="006766AC">
        <w:t>Cuadro 8</w:t>
      </w:r>
    </w:p>
    <w:p w:rsidR="006766AC" w:rsidRDefault="006766AC" w:rsidP="009C57C2">
      <w:pPr>
        <w:pStyle w:val="SingleTxtG"/>
        <w:jc w:val="left"/>
        <w:rPr>
          <w:b/>
          <w:bCs/>
        </w:rPr>
      </w:pPr>
      <w:r w:rsidRPr="009C57C2">
        <w:rPr>
          <w:b/>
          <w:bCs/>
        </w:rPr>
        <w:t>Informes periódicos atrasados, por tiempo de demora y tratado, al 31 de diciembre de</w:t>
      </w:r>
      <w:r w:rsidR="009C57C2">
        <w:rPr>
          <w:b/>
          <w:bCs/>
        </w:rPr>
        <w:t> </w:t>
      </w:r>
      <w:r w:rsidRPr="009C57C2">
        <w:rPr>
          <w:b/>
          <w:bCs/>
        </w:rPr>
        <w:t>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8"/>
        <w:gridCol w:w="1358"/>
        <w:gridCol w:w="1792"/>
        <w:gridCol w:w="1569"/>
        <w:gridCol w:w="1573"/>
      </w:tblGrid>
      <w:tr w:rsidR="009C57C2" w:rsidRPr="009C57C2" w:rsidTr="009C57C2">
        <w:trPr>
          <w:tblHeader/>
        </w:trPr>
        <w:tc>
          <w:tcPr>
            <w:tcW w:w="1078" w:type="dxa"/>
            <w:tcBorders>
              <w:top w:val="single" w:sz="4" w:space="0" w:color="auto"/>
            </w:tcBorders>
            <w:shd w:val="clear" w:color="auto" w:fill="auto"/>
            <w:vAlign w:val="bottom"/>
          </w:tcPr>
          <w:p w:rsidR="009C57C2" w:rsidRPr="009C57C2" w:rsidRDefault="009C57C2" w:rsidP="004A1DCB">
            <w:pPr>
              <w:pStyle w:val="SingleTxtG"/>
              <w:spacing w:before="80" w:after="80" w:line="200" w:lineRule="exact"/>
              <w:ind w:left="0" w:right="0"/>
              <w:jc w:val="left"/>
              <w:rPr>
                <w:i/>
                <w:sz w:val="16"/>
                <w:lang w:val="es-UY"/>
              </w:rPr>
            </w:pPr>
          </w:p>
        </w:tc>
        <w:tc>
          <w:tcPr>
            <w:tcW w:w="1358" w:type="dxa"/>
            <w:tcBorders>
              <w:top w:val="single" w:sz="4" w:space="0" w:color="auto"/>
            </w:tcBorders>
            <w:shd w:val="clear" w:color="auto" w:fill="auto"/>
            <w:vAlign w:val="bottom"/>
          </w:tcPr>
          <w:p w:rsidR="009C57C2" w:rsidRPr="009C57C2" w:rsidRDefault="009C57C2" w:rsidP="004A1DCB">
            <w:pPr>
              <w:pStyle w:val="SingleTxtG"/>
              <w:spacing w:before="80" w:after="80" w:line="200" w:lineRule="exact"/>
              <w:ind w:left="0" w:right="0"/>
              <w:jc w:val="right"/>
              <w:rPr>
                <w:i/>
                <w:sz w:val="16"/>
                <w:lang w:val="es-UY"/>
              </w:rPr>
            </w:pPr>
          </w:p>
        </w:tc>
        <w:tc>
          <w:tcPr>
            <w:tcW w:w="4934" w:type="dxa"/>
            <w:gridSpan w:val="3"/>
            <w:tcBorders>
              <w:top w:val="single" w:sz="4" w:space="0" w:color="auto"/>
              <w:bottom w:val="single" w:sz="4" w:space="0" w:color="auto"/>
            </w:tcBorders>
            <w:shd w:val="clear" w:color="auto" w:fill="auto"/>
            <w:vAlign w:val="bottom"/>
          </w:tcPr>
          <w:p w:rsidR="009C57C2" w:rsidRPr="009C57C2" w:rsidRDefault="009C57C2" w:rsidP="004A1DCB">
            <w:pPr>
              <w:pStyle w:val="SingleTxtG"/>
              <w:spacing w:before="80" w:after="80" w:line="200" w:lineRule="exact"/>
              <w:ind w:left="0" w:right="0"/>
              <w:jc w:val="center"/>
              <w:rPr>
                <w:i/>
                <w:sz w:val="16"/>
                <w:lang w:val="es-UY"/>
              </w:rPr>
            </w:pPr>
            <w:r w:rsidRPr="009C57C2">
              <w:rPr>
                <w:i/>
                <w:sz w:val="16"/>
                <w:lang w:val="es-UY"/>
              </w:rPr>
              <w:t>Tiempo de demora</w:t>
            </w:r>
          </w:p>
        </w:tc>
      </w:tr>
      <w:tr w:rsidR="009C57C2" w:rsidRPr="009C57C2" w:rsidTr="009C57C2">
        <w:trPr>
          <w:tblHeader/>
        </w:trPr>
        <w:tc>
          <w:tcPr>
            <w:tcW w:w="1078" w:type="dxa"/>
            <w:tcBorders>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left"/>
              <w:rPr>
                <w:i/>
                <w:sz w:val="16"/>
                <w:lang w:val="es-UY"/>
              </w:rPr>
            </w:pPr>
            <w:r w:rsidRPr="009C57C2">
              <w:rPr>
                <w:i/>
                <w:sz w:val="16"/>
                <w:lang w:val="es-UY"/>
              </w:rPr>
              <w:t>Tratado</w:t>
            </w:r>
          </w:p>
        </w:tc>
        <w:tc>
          <w:tcPr>
            <w:tcW w:w="1358" w:type="dxa"/>
            <w:tcBorders>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Número de informes periódicos atrasados</w:t>
            </w:r>
          </w:p>
        </w:tc>
        <w:tc>
          <w:tcPr>
            <w:tcW w:w="1792"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Número de informes con menos de 5 años de retraso/porcentaje</w:t>
            </w:r>
          </w:p>
        </w:tc>
        <w:tc>
          <w:tcPr>
            <w:tcW w:w="1569"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 xml:space="preserve">Número de informes con 5 a 10 años de retraso/porcentaje </w:t>
            </w:r>
          </w:p>
        </w:tc>
        <w:tc>
          <w:tcPr>
            <w:tcW w:w="1573"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00" w:lineRule="exact"/>
              <w:ind w:left="0" w:right="0"/>
              <w:jc w:val="right"/>
              <w:rPr>
                <w:i/>
                <w:sz w:val="16"/>
                <w:lang w:val="es-UY"/>
              </w:rPr>
            </w:pPr>
            <w:r w:rsidRPr="009C57C2">
              <w:rPr>
                <w:i/>
                <w:sz w:val="16"/>
                <w:lang w:val="es-UY"/>
              </w:rPr>
              <w:t>Número de informes con más de 10 años de retraso/porcentaje</w:t>
            </w:r>
          </w:p>
        </w:tc>
      </w:tr>
      <w:tr w:rsidR="009C57C2" w:rsidRPr="009C57C2" w:rsidTr="004A1DCB">
        <w:tc>
          <w:tcPr>
            <w:tcW w:w="1078" w:type="dxa"/>
            <w:tcBorders>
              <w:top w:val="single" w:sz="12" w:space="0" w:color="auto"/>
            </w:tcBorders>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ICCPR</w:t>
            </w:r>
          </w:p>
        </w:tc>
        <w:tc>
          <w:tcPr>
            <w:tcW w:w="1358"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51</w:t>
            </w:r>
          </w:p>
        </w:tc>
        <w:tc>
          <w:tcPr>
            <w:tcW w:w="1792"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23 (45%)</w:t>
            </w:r>
          </w:p>
        </w:tc>
        <w:tc>
          <w:tcPr>
            <w:tcW w:w="1569"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12 (23%)</w:t>
            </w:r>
          </w:p>
        </w:tc>
        <w:tc>
          <w:tcPr>
            <w:tcW w:w="1573" w:type="dxa"/>
            <w:tcBorders>
              <w:top w:val="single" w:sz="12"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16 (31%)</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ICESCR</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42</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17 (40%)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12 (28%)</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13 (31%)</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ICERD</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77</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31 (40%)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18 (23%)</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28 (36%)</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CAT</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43</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26 (60%)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12 (28%)</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5 (12%)</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CEDAW</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45</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40 (89%)</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3 (7%)</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2 (4%)</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CRC</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50</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30 (60%)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15 (30%)</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5 (10%)</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OP-CRC-AC</w:t>
            </w:r>
            <w:r w:rsidRPr="009C57C2">
              <w:rPr>
                <w:i/>
                <w:iCs/>
                <w:sz w:val="18"/>
                <w:vertAlign w:val="superscript"/>
                <w:lang w:val="es-UY"/>
              </w:rPr>
              <w:t>a</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lastRenderedPageBreak/>
              <w:t>OP-CRC-SC</w:t>
            </w:r>
            <w:r w:rsidRPr="009C57C2">
              <w:rPr>
                <w:i/>
                <w:iCs/>
                <w:sz w:val="18"/>
                <w:vertAlign w:val="superscript"/>
                <w:lang w:val="es-UY"/>
              </w:rPr>
              <w:t>a</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ICRMW</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1 (100%)</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r>
      <w:tr w:rsidR="009C57C2" w:rsidRPr="009C57C2" w:rsidTr="004A1DCB">
        <w:tc>
          <w:tcPr>
            <w:tcW w:w="1078" w:type="dxa"/>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CRPD</w:t>
            </w:r>
          </w:p>
        </w:tc>
        <w:tc>
          <w:tcPr>
            <w:tcW w:w="1358"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792"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69"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c>
          <w:tcPr>
            <w:tcW w:w="1573" w:type="dxa"/>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0</w:t>
            </w:r>
          </w:p>
        </w:tc>
      </w:tr>
      <w:tr w:rsidR="009C57C2" w:rsidRPr="009C57C2" w:rsidTr="004A1DCB">
        <w:tc>
          <w:tcPr>
            <w:tcW w:w="1078" w:type="dxa"/>
            <w:tcBorders>
              <w:bottom w:val="single" w:sz="4" w:space="0" w:color="auto"/>
            </w:tcBorders>
            <w:shd w:val="clear" w:color="auto" w:fill="auto"/>
          </w:tcPr>
          <w:p w:rsidR="009C57C2" w:rsidRPr="009C57C2" w:rsidRDefault="009C57C2" w:rsidP="009C57C2">
            <w:pPr>
              <w:pStyle w:val="SingleTxtG"/>
              <w:spacing w:before="40" w:after="40" w:line="220" w:lineRule="exact"/>
              <w:ind w:left="0" w:right="0"/>
              <w:jc w:val="left"/>
              <w:rPr>
                <w:sz w:val="18"/>
                <w:lang w:val="es-UY"/>
              </w:rPr>
            </w:pPr>
            <w:r w:rsidRPr="009C57C2">
              <w:rPr>
                <w:sz w:val="18"/>
                <w:lang w:val="es-UY"/>
              </w:rPr>
              <w:t>ICPPED</w:t>
            </w:r>
            <w:r w:rsidRPr="00312450">
              <w:rPr>
                <w:i/>
                <w:iCs/>
                <w:sz w:val="18"/>
                <w:vertAlign w:val="superscript"/>
                <w:lang w:val="es-UY"/>
              </w:rPr>
              <w:t>b</w:t>
            </w:r>
          </w:p>
        </w:tc>
        <w:tc>
          <w:tcPr>
            <w:tcW w:w="1358"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N/A</w:t>
            </w:r>
          </w:p>
        </w:tc>
        <w:tc>
          <w:tcPr>
            <w:tcW w:w="1792"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N/A</w:t>
            </w:r>
          </w:p>
        </w:tc>
        <w:tc>
          <w:tcPr>
            <w:tcW w:w="1569"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N/A</w:t>
            </w:r>
          </w:p>
        </w:tc>
        <w:tc>
          <w:tcPr>
            <w:tcW w:w="1573" w:type="dxa"/>
            <w:tcBorders>
              <w:bottom w:val="single" w:sz="4" w:space="0" w:color="auto"/>
            </w:tcBorders>
            <w:shd w:val="clear" w:color="auto" w:fill="auto"/>
            <w:vAlign w:val="bottom"/>
          </w:tcPr>
          <w:p w:rsidR="009C57C2" w:rsidRPr="009C57C2" w:rsidRDefault="009C57C2" w:rsidP="009C57C2">
            <w:pPr>
              <w:pStyle w:val="SingleTxtG"/>
              <w:spacing w:before="40" w:after="40" w:line="220" w:lineRule="exact"/>
              <w:ind w:left="0" w:right="0"/>
              <w:jc w:val="right"/>
              <w:rPr>
                <w:sz w:val="18"/>
                <w:lang w:val="es-UY"/>
              </w:rPr>
            </w:pPr>
            <w:r w:rsidRPr="009C57C2">
              <w:rPr>
                <w:sz w:val="18"/>
                <w:lang w:val="es-UY"/>
              </w:rPr>
              <w:t>N/A</w:t>
            </w:r>
          </w:p>
        </w:tc>
      </w:tr>
      <w:tr w:rsidR="009C57C2" w:rsidRPr="009C57C2" w:rsidTr="004A1DCB">
        <w:tc>
          <w:tcPr>
            <w:tcW w:w="1078" w:type="dxa"/>
            <w:tcBorders>
              <w:top w:val="single" w:sz="4" w:space="0" w:color="auto"/>
              <w:bottom w:val="single" w:sz="12" w:space="0" w:color="auto"/>
            </w:tcBorders>
            <w:shd w:val="clear" w:color="auto" w:fill="auto"/>
          </w:tcPr>
          <w:p w:rsidR="009C57C2" w:rsidRPr="009C57C2" w:rsidRDefault="009C57C2" w:rsidP="009C57C2">
            <w:pPr>
              <w:pStyle w:val="SingleTxtG"/>
              <w:spacing w:before="80" w:after="80" w:line="220" w:lineRule="exact"/>
              <w:ind w:left="284" w:right="0"/>
              <w:jc w:val="left"/>
              <w:rPr>
                <w:b/>
                <w:bCs/>
                <w:sz w:val="18"/>
                <w:lang w:val="es-UY"/>
              </w:rPr>
            </w:pPr>
            <w:r w:rsidRPr="009C57C2">
              <w:rPr>
                <w:b/>
                <w:bCs/>
                <w:sz w:val="18"/>
                <w:lang w:val="es-UY"/>
              </w:rPr>
              <w:t>Total</w:t>
            </w:r>
          </w:p>
        </w:tc>
        <w:tc>
          <w:tcPr>
            <w:tcW w:w="1358"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309</w:t>
            </w:r>
          </w:p>
        </w:tc>
        <w:tc>
          <w:tcPr>
            <w:tcW w:w="1792"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167</w:t>
            </w:r>
          </w:p>
        </w:tc>
        <w:tc>
          <w:tcPr>
            <w:tcW w:w="1569"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73</w:t>
            </w:r>
          </w:p>
        </w:tc>
        <w:tc>
          <w:tcPr>
            <w:tcW w:w="1573" w:type="dxa"/>
            <w:tcBorders>
              <w:top w:val="single" w:sz="4" w:space="0" w:color="auto"/>
              <w:bottom w:val="single" w:sz="12" w:space="0" w:color="auto"/>
            </w:tcBorders>
            <w:shd w:val="clear" w:color="auto" w:fill="auto"/>
            <w:vAlign w:val="bottom"/>
          </w:tcPr>
          <w:p w:rsidR="009C57C2" w:rsidRPr="009C57C2" w:rsidRDefault="009C57C2" w:rsidP="009C57C2">
            <w:pPr>
              <w:pStyle w:val="SingleTxtG"/>
              <w:spacing w:before="80" w:after="80" w:line="220" w:lineRule="exact"/>
              <w:ind w:left="0" w:right="0"/>
              <w:jc w:val="right"/>
              <w:rPr>
                <w:b/>
                <w:bCs/>
                <w:sz w:val="18"/>
                <w:lang w:val="es-UY"/>
              </w:rPr>
            </w:pPr>
            <w:r w:rsidRPr="009C57C2">
              <w:rPr>
                <w:b/>
                <w:bCs/>
                <w:sz w:val="18"/>
                <w:lang w:val="es-UY"/>
              </w:rPr>
              <w:t>69</w:t>
            </w:r>
          </w:p>
        </w:tc>
      </w:tr>
    </w:tbl>
    <w:p w:rsidR="006766AC" w:rsidRPr="009C57C2" w:rsidRDefault="006766AC" w:rsidP="009C57C2">
      <w:pPr>
        <w:pStyle w:val="SingleTxtG"/>
        <w:spacing w:before="120" w:after="0"/>
        <w:ind w:firstLine="170"/>
        <w:jc w:val="left"/>
        <w:rPr>
          <w:sz w:val="18"/>
          <w:szCs w:val="18"/>
          <w:lang w:val="es-UY"/>
        </w:rPr>
      </w:pPr>
      <w:r w:rsidRPr="009C57C2">
        <w:rPr>
          <w:i/>
          <w:sz w:val="18"/>
          <w:szCs w:val="18"/>
          <w:vertAlign w:val="superscript"/>
        </w:rPr>
        <w:t>a</w:t>
      </w:r>
      <w:r w:rsidRPr="009C57C2">
        <w:rPr>
          <w:sz w:val="18"/>
          <w:szCs w:val="18"/>
        </w:rPr>
        <w:t xml:space="preserve"> </w:t>
      </w:r>
      <w:r w:rsidR="009C57C2">
        <w:rPr>
          <w:sz w:val="18"/>
          <w:szCs w:val="18"/>
        </w:rPr>
        <w:t xml:space="preserve"> </w:t>
      </w:r>
      <w:r w:rsidRPr="009C57C2">
        <w:rPr>
          <w:sz w:val="18"/>
          <w:szCs w:val="18"/>
        </w:rPr>
        <w:t>De conformidad con el artículo 12, párrafo 2, del Protocolo Facultativo de la Convención sobre los Derechos del Niño relativo a la venta de niños, la prostitución infantil y la utilización de niños en la pornografía y con el artículo 8, párrafo 2, del Protocolo Facultativo de la Convención sobre los Derechos del Niño relativo a la participación de niños en los conflictos armados, después de la presentación del informe general inicial, cada Estado parte incluirá en los informes periódicos presentados al Comité de los Derechos del Niño de conformidad con el artículo 44 de la Convención sobre los Derechos del Niño la información adicional de que disponga sobre la aplicación del protocolo correspondiente; esta norma no se aplica si un Estado parte en uno o más de los Protocolos Facultativos no ha ratificado la Convención.</w:t>
      </w:r>
    </w:p>
    <w:p w:rsidR="006766AC" w:rsidRPr="009C57C2" w:rsidRDefault="006766AC" w:rsidP="009C57C2">
      <w:pPr>
        <w:pStyle w:val="SingleTxtG"/>
        <w:ind w:firstLine="170"/>
        <w:jc w:val="left"/>
        <w:rPr>
          <w:sz w:val="18"/>
          <w:szCs w:val="18"/>
          <w:lang w:val="es-UY"/>
        </w:rPr>
      </w:pPr>
      <w:r w:rsidRPr="009C57C2">
        <w:rPr>
          <w:i/>
          <w:sz w:val="18"/>
          <w:szCs w:val="18"/>
          <w:vertAlign w:val="superscript"/>
        </w:rPr>
        <w:t>b</w:t>
      </w:r>
      <w:r w:rsidRPr="009C57C2">
        <w:rPr>
          <w:sz w:val="18"/>
          <w:szCs w:val="18"/>
        </w:rPr>
        <w:t xml:space="preserve"> </w:t>
      </w:r>
      <w:r w:rsidR="009C57C2">
        <w:rPr>
          <w:sz w:val="18"/>
          <w:szCs w:val="18"/>
        </w:rPr>
        <w:t xml:space="preserve"> </w:t>
      </w:r>
      <w:r w:rsidRPr="009C57C2">
        <w:rPr>
          <w:sz w:val="18"/>
          <w:szCs w:val="18"/>
        </w:rPr>
        <w:t xml:space="preserve">Si bien la Convención Internacional para la Protección de Todas las Personas contra las Desapariciones Forzadas no contiene ninguna disposición relativa a los informes periódicos, en virtud de su artículo 29, párrafo 4, el Comité contra la Desaparición Forzada puede pedir a los Estados partes informaciones complementarias sobre la aplicación de la Convención. </w:t>
      </w:r>
    </w:p>
    <w:p w:rsidR="006F35EE" w:rsidRPr="009C57C2" w:rsidRDefault="009C57C2" w:rsidP="009C57C2">
      <w:pPr>
        <w:pStyle w:val="SingleTxtG"/>
        <w:suppressAutoHyphens/>
        <w:spacing w:before="240" w:after="0"/>
        <w:jc w:val="center"/>
        <w:rPr>
          <w:u w:val="single"/>
        </w:rPr>
      </w:pPr>
      <w:r>
        <w:rPr>
          <w:u w:val="single"/>
        </w:rPr>
        <w:tab/>
      </w:r>
      <w:r>
        <w:rPr>
          <w:u w:val="single"/>
        </w:rPr>
        <w:tab/>
      </w:r>
      <w:r>
        <w:rPr>
          <w:u w:val="single"/>
        </w:rPr>
        <w:tab/>
      </w:r>
    </w:p>
    <w:sectPr w:rsidR="006F35EE" w:rsidRPr="009C57C2" w:rsidSect="006766A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DCB" w:rsidRPr="00AC76E8" w:rsidRDefault="004A1DCB" w:rsidP="00AC76E8">
      <w:pPr>
        <w:pStyle w:val="Piedepgina"/>
      </w:pPr>
    </w:p>
  </w:endnote>
  <w:endnote w:type="continuationSeparator" w:id="0">
    <w:p w:rsidR="004A1DCB" w:rsidRPr="00AC76E8" w:rsidRDefault="004A1DCB"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DCB" w:rsidRPr="006766AC" w:rsidRDefault="004A1DCB" w:rsidP="006766AC">
    <w:pPr>
      <w:pStyle w:val="Piedepgina"/>
      <w:tabs>
        <w:tab w:val="right" w:pos="9638"/>
      </w:tabs>
    </w:pPr>
    <w:r w:rsidRPr="006766AC">
      <w:rPr>
        <w:b/>
        <w:sz w:val="18"/>
      </w:rPr>
      <w:fldChar w:fldCharType="begin"/>
    </w:r>
    <w:r w:rsidRPr="006766AC">
      <w:rPr>
        <w:b/>
        <w:sz w:val="18"/>
      </w:rPr>
      <w:instrText xml:space="preserve"> PAGE  \* MERGEFORMAT </w:instrText>
    </w:r>
    <w:r w:rsidRPr="006766AC">
      <w:rPr>
        <w:b/>
        <w:sz w:val="18"/>
      </w:rPr>
      <w:fldChar w:fldCharType="separate"/>
    </w:r>
    <w:r w:rsidR="00B03188">
      <w:rPr>
        <w:b/>
        <w:noProof/>
        <w:sz w:val="18"/>
      </w:rPr>
      <w:t>10</w:t>
    </w:r>
    <w:r w:rsidRPr="006766AC">
      <w:rPr>
        <w:b/>
        <w:sz w:val="18"/>
      </w:rPr>
      <w:fldChar w:fldCharType="end"/>
    </w:r>
    <w:r>
      <w:rPr>
        <w:b/>
        <w:sz w:val="18"/>
      </w:rPr>
      <w:tab/>
    </w:r>
    <w:r>
      <w:t>GE.18-04538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DCB" w:rsidRPr="006766AC" w:rsidRDefault="004A1DCB" w:rsidP="006766AC">
    <w:pPr>
      <w:pStyle w:val="Piedepgina"/>
      <w:tabs>
        <w:tab w:val="right" w:pos="9638"/>
      </w:tabs>
      <w:rPr>
        <w:b/>
        <w:sz w:val="18"/>
      </w:rPr>
    </w:pPr>
    <w:r>
      <w:t>GE.18-04538</w:t>
    </w:r>
    <w:r>
      <w:tab/>
    </w:r>
    <w:r w:rsidRPr="006766AC">
      <w:rPr>
        <w:b/>
        <w:sz w:val="18"/>
      </w:rPr>
      <w:fldChar w:fldCharType="begin"/>
    </w:r>
    <w:r w:rsidRPr="006766AC">
      <w:rPr>
        <w:b/>
        <w:sz w:val="18"/>
      </w:rPr>
      <w:instrText xml:space="preserve"> PAGE  \* MERGEFORMAT </w:instrText>
    </w:r>
    <w:r w:rsidRPr="006766AC">
      <w:rPr>
        <w:b/>
        <w:sz w:val="18"/>
      </w:rPr>
      <w:fldChar w:fldCharType="separate"/>
    </w:r>
    <w:r w:rsidR="00B03188">
      <w:rPr>
        <w:b/>
        <w:noProof/>
        <w:sz w:val="18"/>
      </w:rPr>
      <w:t>11</w:t>
    </w:r>
    <w:r w:rsidRPr="006766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DCB" w:rsidRPr="006766AC" w:rsidRDefault="004A1DCB" w:rsidP="00312450">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11151E35" wp14:editId="723487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18-04538  (S)    100418    1</w:t>
    </w:r>
    <w:r w:rsidR="00312450">
      <w:rPr>
        <w:sz w:val="20"/>
      </w:rPr>
      <w:t>1</w:t>
    </w:r>
    <w:r>
      <w:rPr>
        <w:sz w:val="20"/>
      </w:rPr>
      <w:t>0418</w:t>
    </w:r>
    <w:r>
      <w:rPr>
        <w:sz w:val="20"/>
      </w:rPr>
      <w:br/>
    </w:r>
    <w:r w:rsidRPr="006766AC">
      <w:rPr>
        <w:rFonts w:ascii="C39T30Lfz" w:hAnsi="C39T30Lfz"/>
        <w:sz w:val="56"/>
      </w:rPr>
      <w:t></w:t>
    </w:r>
    <w:r w:rsidRPr="006766AC">
      <w:rPr>
        <w:rFonts w:ascii="C39T30Lfz" w:hAnsi="C39T30Lfz"/>
        <w:sz w:val="56"/>
      </w:rPr>
      <w:t></w:t>
    </w:r>
    <w:r w:rsidRPr="006766AC">
      <w:rPr>
        <w:rFonts w:ascii="C39T30Lfz" w:hAnsi="C39T30Lfz"/>
        <w:sz w:val="56"/>
      </w:rPr>
      <w:t></w:t>
    </w:r>
    <w:r w:rsidRPr="006766AC">
      <w:rPr>
        <w:rFonts w:ascii="C39T30Lfz" w:hAnsi="C39T30Lfz"/>
        <w:sz w:val="56"/>
      </w:rPr>
      <w:t></w:t>
    </w:r>
    <w:r w:rsidRPr="006766AC">
      <w:rPr>
        <w:rFonts w:ascii="C39T30Lfz" w:hAnsi="C39T30Lfz"/>
        <w:sz w:val="56"/>
      </w:rPr>
      <w:t></w:t>
    </w:r>
    <w:r w:rsidRPr="006766AC">
      <w:rPr>
        <w:rFonts w:ascii="C39T30Lfz" w:hAnsi="C39T30Lfz"/>
        <w:sz w:val="56"/>
      </w:rPr>
      <w:t></w:t>
    </w:r>
    <w:r w:rsidRPr="006766AC">
      <w:rPr>
        <w:rFonts w:ascii="C39T30Lfz" w:hAnsi="C39T30Lfz"/>
        <w:sz w:val="56"/>
      </w:rPr>
      <w:t></w:t>
    </w:r>
    <w:r w:rsidRPr="006766AC">
      <w:rPr>
        <w:rFonts w:ascii="C39T30Lfz" w:hAnsi="C39T30Lfz"/>
        <w:sz w:val="56"/>
      </w:rPr>
      <w:t></w:t>
    </w:r>
    <w:r w:rsidRPr="006766A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HRI/MC/2018/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DCB" w:rsidRPr="001075E9" w:rsidRDefault="004A1DCB" w:rsidP="001075E9">
      <w:pPr>
        <w:tabs>
          <w:tab w:val="right" w:pos="2155"/>
        </w:tabs>
        <w:spacing w:after="80" w:line="240" w:lineRule="auto"/>
        <w:ind w:left="680"/>
        <w:rPr>
          <w:u w:val="single"/>
        </w:rPr>
      </w:pPr>
      <w:r>
        <w:rPr>
          <w:u w:val="single"/>
        </w:rPr>
        <w:tab/>
      </w:r>
    </w:p>
  </w:footnote>
  <w:footnote w:type="continuationSeparator" w:id="0">
    <w:p w:rsidR="004A1DCB" w:rsidRDefault="004A1DCB" w:rsidP="00AC76E8">
      <w:pPr>
        <w:tabs>
          <w:tab w:val="right" w:pos="2155"/>
        </w:tabs>
        <w:spacing w:after="80" w:line="240" w:lineRule="auto"/>
        <w:ind w:left="680"/>
        <w:rPr>
          <w:u w:val="single"/>
        </w:rPr>
      </w:pPr>
      <w:r>
        <w:rPr>
          <w:u w:val="single"/>
        </w:rPr>
        <w:tab/>
      </w:r>
    </w:p>
  </w:footnote>
  <w:footnote w:id="1">
    <w:p w:rsidR="004A1DCB" w:rsidRDefault="004A1DCB" w:rsidP="006766AC">
      <w:pPr>
        <w:pStyle w:val="Textonotapie"/>
        <w:widowControl w:val="0"/>
        <w:tabs>
          <w:tab w:val="clear" w:pos="1021"/>
          <w:tab w:val="right" w:pos="1020"/>
        </w:tabs>
        <w:suppressAutoHyphens/>
      </w:pPr>
      <w:r>
        <w:tab/>
      </w:r>
      <w:r>
        <w:rPr>
          <w:rStyle w:val="Refdenotaalpie"/>
        </w:rPr>
        <w:footnoteRef/>
      </w:r>
      <w:r>
        <w:tab/>
      </w:r>
      <w:r w:rsidRPr="006766AC">
        <w:rPr>
          <w:lang w:val="es-UY"/>
        </w:rPr>
        <w:t>Se evalúa el cumplimiento de la presentación de informes al 31 de diciembre de 2017 para ajustar el período de referencia del presente informe al período que se abarca en el segundo informe del Secretario General sobre el estado del sistema de los órganos creados en virtud tratados, que se presentará de conformidad con lo dispuesto en la resolución 68/268 de la Asamblea General.</w:t>
      </w:r>
    </w:p>
  </w:footnote>
  <w:footnote w:id="2">
    <w:p w:rsidR="004A1DCB" w:rsidRPr="006766AC" w:rsidRDefault="004A1DCB" w:rsidP="006766AC">
      <w:pPr>
        <w:pStyle w:val="Textonotapie"/>
        <w:widowControl w:val="0"/>
        <w:tabs>
          <w:tab w:val="clear" w:pos="1021"/>
          <w:tab w:val="right" w:pos="1020"/>
        </w:tabs>
        <w:suppressAutoHyphens/>
        <w:rPr>
          <w:lang w:val="es-UY"/>
        </w:rPr>
      </w:pPr>
      <w:r>
        <w:tab/>
      </w:r>
      <w:r>
        <w:rPr>
          <w:rStyle w:val="Refdenotaalpie"/>
        </w:rPr>
        <w:footnoteRef/>
      </w:r>
      <w:r>
        <w:tab/>
      </w:r>
      <w:r w:rsidRPr="006766AC">
        <w:t xml:space="preserve">En los cuadros, se han utilizado las siguientes siglas: </w:t>
      </w:r>
    </w:p>
    <w:p w:rsidR="004A1DCB" w:rsidRPr="006766AC" w:rsidRDefault="004A1DCB" w:rsidP="006766AC">
      <w:pPr>
        <w:pStyle w:val="Textonotapie"/>
        <w:tabs>
          <w:tab w:val="clear" w:pos="1021"/>
          <w:tab w:val="right" w:pos="1020"/>
        </w:tabs>
        <w:spacing w:line="240" w:lineRule="auto"/>
        <w:ind w:left="2268"/>
        <w:rPr>
          <w:lang w:val="es-UY"/>
        </w:rPr>
      </w:pPr>
      <w:r w:rsidRPr="006766AC">
        <w:t>ICERD</w:t>
      </w:r>
      <w:r w:rsidRPr="006766AC">
        <w:tab/>
      </w:r>
      <w:r w:rsidRPr="006766AC">
        <w:tab/>
        <w:t>Convención Internacional sobre la Eliminación de Todas las Formas de Discriminación Racial</w:t>
      </w:r>
    </w:p>
    <w:p w:rsidR="004A1DCB" w:rsidRPr="006766AC" w:rsidRDefault="004A1DCB" w:rsidP="006766AC">
      <w:pPr>
        <w:pStyle w:val="Textonotapie"/>
        <w:tabs>
          <w:tab w:val="clear" w:pos="1021"/>
          <w:tab w:val="right" w:pos="1020"/>
        </w:tabs>
        <w:spacing w:line="240" w:lineRule="auto"/>
        <w:ind w:left="2268"/>
      </w:pPr>
      <w:r w:rsidRPr="006766AC">
        <w:t>ICESCR</w:t>
      </w:r>
      <w:r w:rsidRPr="006766AC">
        <w:tab/>
        <w:t>Pacto Internacional de Derechos Económicos, Sociales y Culturales</w:t>
      </w:r>
    </w:p>
    <w:p w:rsidR="004A1DCB" w:rsidRPr="006766AC" w:rsidRDefault="004A1DCB" w:rsidP="006766AC">
      <w:pPr>
        <w:pStyle w:val="Textonotapie"/>
        <w:tabs>
          <w:tab w:val="clear" w:pos="1021"/>
          <w:tab w:val="right" w:pos="1020"/>
        </w:tabs>
        <w:spacing w:line="240" w:lineRule="auto"/>
        <w:ind w:left="2268"/>
      </w:pPr>
      <w:r w:rsidRPr="006766AC">
        <w:t>ICCPR</w:t>
      </w:r>
      <w:r w:rsidRPr="006766AC">
        <w:tab/>
        <w:t>Pacto Internacional de Derechos Civiles y Políticos</w:t>
      </w:r>
    </w:p>
    <w:p w:rsidR="004A1DCB" w:rsidRPr="006766AC" w:rsidRDefault="004A1DCB" w:rsidP="009505BC">
      <w:pPr>
        <w:pStyle w:val="Textonotapie"/>
        <w:tabs>
          <w:tab w:val="clear" w:pos="1021"/>
          <w:tab w:val="right" w:pos="1020"/>
        </w:tabs>
        <w:spacing w:line="240" w:lineRule="auto"/>
        <w:ind w:left="2268"/>
      </w:pPr>
      <w:r w:rsidRPr="006766AC">
        <w:t>CEDAW</w:t>
      </w:r>
      <w:r w:rsidRPr="006766AC">
        <w:tab/>
        <w:t>Convención sobre la Eliminación de Todas las Formas de Discriminación contra la</w:t>
      </w:r>
      <w:r w:rsidR="009505BC">
        <w:t> </w:t>
      </w:r>
      <w:r w:rsidRPr="006766AC">
        <w:t>Mujer</w:t>
      </w:r>
    </w:p>
    <w:p w:rsidR="004A1DCB" w:rsidRPr="006766AC" w:rsidRDefault="004A1DCB" w:rsidP="006766AC">
      <w:pPr>
        <w:pStyle w:val="Textonotapie"/>
        <w:tabs>
          <w:tab w:val="clear" w:pos="1021"/>
          <w:tab w:val="right" w:pos="1020"/>
        </w:tabs>
        <w:spacing w:line="240" w:lineRule="auto"/>
        <w:ind w:left="2268"/>
      </w:pPr>
      <w:r w:rsidRPr="006766AC">
        <w:t>CAT</w:t>
      </w:r>
      <w:r w:rsidRPr="006766AC">
        <w:tab/>
        <w:t>Convención contra la Tortura y Otros Tratos o Penas Crueles, Inhumanos o Degradantes</w:t>
      </w:r>
    </w:p>
    <w:p w:rsidR="004A1DCB" w:rsidRPr="006766AC" w:rsidRDefault="004A1DCB" w:rsidP="006766AC">
      <w:pPr>
        <w:pStyle w:val="Textonotapie"/>
        <w:tabs>
          <w:tab w:val="clear" w:pos="1021"/>
          <w:tab w:val="right" w:pos="1020"/>
        </w:tabs>
        <w:spacing w:line="240" w:lineRule="auto"/>
        <w:ind w:left="2268"/>
      </w:pPr>
      <w:r w:rsidRPr="006766AC">
        <w:t>CRC</w:t>
      </w:r>
      <w:r w:rsidRPr="006766AC">
        <w:tab/>
        <w:t>Convención sobre los Derechos del Niño</w:t>
      </w:r>
    </w:p>
    <w:p w:rsidR="004A1DCB" w:rsidRPr="006766AC" w:rsidRDefault="004A1DCB" w:rsidP="006766AC">
      <w:pPr>
        <w:pStyle w:val="Textonotapie"/>
        <w:tabs>
          <w:tab w:val="clear" w:pos="1021"/>
          <w:tab w:val="right" w:pos="1020"/>
        </w:tabs>
        <w:spacing w:line="240" w:lineRule="auto"/>
        <w:ind w:left="2268"/>
      </w:pPr>
      <w:r w:rsidRPr="006766AC">
        <w:t>OP-CRC-SC</w:t>
      </w:r>
      <w:r w:rsidRPr="006766AC">
        <w:tab/>
        <w:t>Protocolo Facultativo de la Convención sobre los Derechos del Niño relativo a la venta de niños, la prostitución infantil y la utilización de niños en la pornografía</w:t>
      </w:r>
    </w:p>
    <w:p w:rsidR="004A1DCB" w:rsidRPr="006766AC" w:rsidRDefault="004A1DCB" w:rsidP="006766AC">
      <w:pPr>
        <w:pStyle w:val="Textonotapie"/>
        <w:tabs>
          <w:tab w:val="clear" w:pos="1021"/>
          <w:tab w:val="right" w:pos="1020"/>
        </w:tabs>
        <w:spacing w:line="240" w:lineRule="auto"/>
        <w:ind w:left="2268"/>
      </w:pPr>
      <w:r w:rsidRPr="006766AC">
        <w:t>OP-CRC-AC</w:t>
      </w:r>
      <w:r w:rsidRPr="006766AC">
        <w:tab/>
        <w:t>Protocolo Facultativo de la Convención sobre los Derechos del Niño relativo a la participación de niños en los conflictos armados</w:t>
      </w:r>
    </w:p>
    <w:p w:rsidR="004A1DCB" w:rsidRPr="006766AC" w:rsidRDefault="004A1DCB" w:rsidP="006766AC">
      <w:pPr>
        <w:pStyle w:val="Textonotapie"/>
        <w:tabs>
          <w:tab w:val="clear" w:pos="1021"/>
          <w:tab w:val="right" w:pos="1020"/>
        </w:tabs>
        <w:spacing w:line="240" w:lineRule="auto"/>
        <w:ind w:left="2268"/>
      </w:pPr>
      <w:r w:rsidRPr="006766AC">
        <w:t>ICRMW</w:t>
      </w:r>
      <w:r w:rsidRPr="006766AC">
        <w:tab/>
        <w:t>Convención Internacional sobre la Protección de los Derechos de Todos los Trabajadores Migratorios y de sus Familiares</w:t>
      </w:r>
    </w:p>
    <w:p w:rsidR="004A1DCB" w:rsidRPr="006766AC" w:rsidRDefault="004A1DCB" w:rsidP="006766AC">
      <w:pPr>
        <w:pStyle w:val="Textonotapie"/>
        <w:tabs>
          <w:tab w:val="clear" w:pos="1021"/>
          <w:tab w:val="right" w:pos="1020"/>
        </w:tabs>
        <w:spacing w:line="240" w:lineRule="auto"/>
        <w:ind w:left="2268"/>
      </w:pPr>
      <w:r w:rsidRPr="006766AC">
        <w:t>CRPD</w:t>
      </w:r>
      <w:r w:rsidRPr="006766AC">
        <w:tab/>
        <w:t>Convención sobre los Derechos de las Personas con Discapacidad</w:t>
      </w:r>
    </w:p>
    <w:p w:rsidR="004A1DCB" w:rsidRDefault="004A1DCB" w:rsidP="006766AC">
      <w:pPr>
        <w:pStyle w:val="Textonotapie"/>
        <w:tabs>
          <w:tab w:val="clear" w:pos="1021"/>
          <w:tab w:val="right" w:pos="1020"/>
        </w:tabs>
        <w:spacing w:line="240" w:lineRule="auto"/>
        <w:ind w:left="2268"/>
      </w:pPr>
      <w:r w:rsidRPr="006766AC">
        <w:t>ICPPED</w:t>
      </w:r>
      <w:r w:rsidRPr="006766AC">
        <w:tab/>
        <w:t>Convención Internacional para la Protección de Todas las Personas contra las Desapariciones Forzadas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DCB" w:rsidRPr="006766AC" w:rsidRDefault="004E3D75">
    <w:pPr>
      <w:pStyle w:val="Encabezado"/>
    </w:pPr>
    <w:fldSimple w:instr=" TITLE  \* MERGEFORMAT ">
      <w:r w:rsidR="00B03188">
        <w:t>HRI/MC/2018/2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DCB" w:rsidRPr="006766AC" w:rsidRDefault="004E3D75" w:rsidP="006766AC">
    <w:pPr>
      <w:pStyle w:val="Encabezado"/>
      <w:jc w:val="right"/>
    </w:pPr>
    <w:fldSimple w:instr=" TITLE  \* MERGEFORMAT ">
      <w:r w:rsidR="00B03188">
        <w:t>HRI/MC/2018/2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EFD"/>
    <w:rsid w:val="00000238"/>
    <w:rsid w:val="00033EE1"/>
    <w:rsid w:val="00056C8D"/>
    <w:rsid w:val="00091941"/>
    <w:rsid w:val="000B57E7"/>
    <w:rsid w:val="000F09DF"/>
    <w:rsid w:val="000F61B2"/>
    <w:rsid w:val="00102828"/>
    <w:rsid w:val="001075E9"/>
    <w:rsid w:val="001256EA"/>
    <w:rsid w:val="0014607C"/>
    <w:rsid w:val="001560AB"/>
    <w:rsid w:val="001610CE"/>
    <w:rsid w:val="001611AC"/>
    <w:rsid w:val="0017589D"/>
    <w:rsid w:val="00180183"/>
    <w:rsid w:val="00181AFB"/>
    <w:rsid w:val="0018649F"/>
    <w:rsid w:val="00196389"/>
    <w:rsid w:val="001C7A89"/>
    <w:rsid w:val="002A2EFC"/>
    <w:rsid w:val="002B0F41"/>
    <w:rsid w:val="002C0E18"/>
    <w:rsid w:val="002D5AAC"/>
    <w:rsid w:val="00301299"/>
    <w:rsid w:val="00302D2B"/>
    <w:rsid w:val="00304577"/>
    <w:rsid w:val="00312450"/>
    <w:rsid w:val="00317208"/>
    <w:rsid w:val="003207A2"/>
    <w:rsid w:val="00322004"/>
    <w:rsid w:val="00322AE5"/>
    <w:rsid w:val="003402C2"/>
    <w:rsid w:val="00363DFA"/>
    <w:rsid w:val="0036600C"/>
    <w:rsid w:val="00381C24"/>
    <w:rsid w:val="003958D0"/>
    <w:rsid w:val="003B00E5"/>
    <w:rsid w:val="003F07D6"/>
    <w:rsid w:val="004136F5"/>
    <w:rsid w:val="00414A16"/>
    <w:rsid w:val="00427F10"/>
    <w:rsid w:val="00454E07"/>
    <w:rsid w:val="00465412"/>
    <w:rsid w:val="004705A5"/>
    <w:rsid w:val="004A1DCB"/>
    <w:rsid w:val="004A2659"/>
    <w:rsid w:val="004C662A"/>
    <w:rsid w:val="004D3D0B"/>
    <w:rsid w:val="004D45DB"/>
    <w:rsid w:val="004E3D75"/>
    <w:rsid w:val="0050108D"/>
    <w:rsid w:val="00501F38"/>
    <w:rsid w:val="00515B0A"/>
    <w:rsid w:val="00523FAB"/>
    <w:rsid w:val="005332CE"/>
    <w:rsid w:val="00557AA7"/>
    <w:rsid w:val="00572E19"/>
    <w:rsid w:val="005A1AA8"/>
    <w:rsid w:val="005C43E4"/>
    <w:rsid w:val="005D3F57"/>
    <w:rsid w:val="005D4E27"/>
    <w:rsid w:val="005F0B42"/>
    <w:rsid w:val="005F63D6"/>
    <w:rsid w:val="00666938"/>
    <w:rsid w:val="006766AC"/>
    <w:rsid w:val="006B10C5"/>
    <w:rsid w:val="006C1EF8"/>
    <w:rsid w:val="006E69AB"/>
    <w:rsid w:val="006F35EE"/>
    <w:rsid w:val="007021FF"/>
    <w:rsid w:val="00725DB7"/>
    <w:rsid w:val="007358B2"/>
    <w:rsid w:val="00757357"/>
    <w:rsid w:val="00764249"/>
    <w:rsid w:val="007972A8"/>
    <w:rsid w:val="0082699E"/>
    <w:rsid w:val="00834B71"/>
    <w:rsid w:val="008504FF"/>
    <w:rsid w:val="00853903"/>
    <w:rsid w:val="0086445C"/>
    <w:rsid w:val="008A08D7"/>
    <w:rsid w:val="008C1073"/>
    <w:rsid w:val="00901CD5"/>
    <w:rsid w:val="00906890"/>
    <w:rsid w:val="00932CF7"/>
    <w:rsid w:val="009505BC"/>
    <w:rsid w:val="00951972"/>
    <w:rsid w:val="0095700F"/>
    <w:rsid w:val="0096216B"/>
    <w:rsid w:val="00996BF2"/>
    <w:rsid w:val="009A1D2E"/>
    <w:rsid w:val="009C57C2"/>
    <w:rsid w:val="00A917B3"/>
    <w:rsid w:val="00AB4B51"/>
    <w:rsid w:val="00AC76E8"/>
    <w:rsid w:val="00B03188"/>
    <w:rsid w:val="00B10CC7"/>
    <w:rsid w:val="00B31513"/>
    <w:rsid w:val="00B43F85"/>
    <w:rsid w:val="00B460DE"/>
    <w:rsid w:val="00B4783F"/>
    <w:rsid w:val="00B62458"/>
    <w:rsid w:val="00BA56B6"/>
    <w:rsid w:val="00BB6203"/>
    <w:rsid w:val="00BD33EE"/>
    <w:rsid w:val="00C057D5"/>
    <w:rsid w:val="00C57E42"/>
    <w:rsid w:val="00C60F0C"/>
    <w:rsid w:val="00C805C9"/>
    <w:rsid w:val="00C946A9"/>
    <w:rsid w:val="00CA1679"/>
    <w:rsid w:val="00CC4349"/>
    <w:rsid w:val="00D05606"/>
    <w:rsid w:val="00D326CB"/>
    <w:rsid w:val="00D33D63"/>
    <w:rsid w:val="00D4001E"/>
    <w:rsid w:val="00D82CF9"/>
    <w:rsid w:val="00D90138"/>
    <w:rsid w:val="00DB6076"/>
    <w:rsid w:val="00DC036C"/>
    <w:rsid w:val="00DC68BD"/>
    <w:rsid w:val="00DD7B82"/>
    <w:rsid w:val="00E17493"/>
    <w:rsid w:val="00E2391B"/>
    <w:rsid w:val="00E374B1"/>
    <w:rsid w:val="00E60314"/>
    <w:rsid w:val="00E73F76"/>
    <w:rsid w:val="00E87EFD"/>
    <w:rsid w:val="00EC2B77"/>
    <w:rsid w:val="00EF1360"/>
    <w:rsid w:val="00EF3220"/>
    <w:rsid w:val="00F2520F"/>
    <w:rsid w:val="00F578AE"/>
    <w:rsid w:val="00F80811"/>
    <w:rsid w:val="00F94155"/>
    <w:rsid w:val="00FD2EF7"/>
    <w:rsid w:val="00FE71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857C0AF-88EC-4341-BE30-4E67ED610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character" w:customStyle="1" w:styleId="SingleTxtGChar">
    <w:name w:val="_ Single Txt_G Char"/>
    <w:link w:val="SingleTxtG"/>
    <w:rsid w:val="006766AC"/>
    <w:rPr>
      <w:lang w:val="es-ES" w:eastAsia="es-ES"/>
    </w:rPr>
  </w:style>
  <w:style w:type="character" w:customStyle="1" w:styleId="TextonotapieCar">
    <w:name w:val="Texto nota pie Car"/>
    <w:aliases w:val="5_G Car"/>
    <w:link w:val="Textonotapie"/>
    <w:rsid w:val="006766AC"/>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7619D-B1DE-4A7F-9AEB-F07FDE03E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11</Pages>
  <Words>4206</Words>
  <Characters>23139</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HRI/MC/2018/2</vt:lpstr>
    </vt:vector>
  </TitlesOfParts>
  <Company/>
  <LinksUpToDate>false</LinksUpToDate>
  <CharactersWithSpaces>27291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HRI/MC/2018/2</dc:title>
  <dc:subject/>
  <dc:creator>Luz Maria URQUIZU MARROQUIN</dc:creator>
  <cp:keywords/>
  <cp:lastModifiedBy>Maria De La Plaza</cp:lastModifiedBy>
  <cp:revision>3</cp:revision>
  <cp:lastPrinted>2018-04-11T14:04:00Z</cp:lastPrinted>
  <dcterms:created xsi:type="dcterms:W3CDTF">2018-04-11T14:04:00Z</dcterms:created>
  <dcterms:modified xsi:type="dcterms:W3CDTF">2018-04-11T14:05:00Z</dcterms:modified>
</cp:coreProperties>
</file>