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26A" w:rsidRPr="0095664E" w:rsidRDefault="0052526A" w:rsidP="0052526A">
      <w:pPr>
        <w:spacing w:line="240" w:lineRule="auto"/>
        <w:rPr>
          <w:sz w:val="6"/>
        </w:rPr>
        <w:sectPr w:rsidR="0052526A" w:rsidRPr="0095664E" w:rsidSect="0034246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5664E">
        <w:rPr>
          <w:rStyle w:val="CommentReference"/>
        </w:rPr>
        <w:commentReference w:id="0"/>
      </w:r>
    </w:p>
    <w:p w:rsidR="0052526A" w:rsidRPr="0095664E" w:rsidRDefault="0052526A" w:rsidP="0052526A">
      <w:pPr>
        <w:pStyle w:val="H1"/>
      </w:pPr>
      <w:r w:rsidRPr="0095664E">
        <w:t>Comité para la Eliminación de la Discriminación</w:t>
      </w:r>
      <w:r w:rsidRPr="0095664E">
        <w:br/>
        <w:t>contra la Mujer</w:t>
      </w:r>
    </w:p>
    <w:p w:rsidR="0052526A" w:rsidRPr="0095664E" w:rsidRDefault="0095664E" w:rsidP="0052526A">
      <w:pPr>
        <w:pStyle w:val="H23"/>
      </w:pPr>
      <w:r>
        <w:t>36°</w:t>
      </w:r>
      <w:r w:rsidR="0052526A" w:rsidRPr="0095664E">
        <w:t xml:space="preserve"> período de sesiones</w:t>
      </w:r>
    </w:p>
    <w:p w:rsidR="0052526A" w:rsidRPr="0095664E" w:rsidRDefault="0052526A" w:rsidP="0052526A">
      <w:pPr>
        <w:spacing w:line="240" w:lineRule="auto"/>
        <w:rPr>
          <w:sz w:val="12"/>
        </w:rPr>
      </w:pPr>
    </w:p>
    <w:p w:rsidR="0052526A" w:rsidRPr="0095664E" w:rsidRDefault="0052526A" w:rsidP="0052526A">
      <w:pPr>
        <w:pStyle w:val="H23"/>
      </w:pPr>
      <w:r w:rsidRPr="0095664E">
        <w:t>Acta resumida de la 753ª sesión</w:t>
      </w:r>
    </w:p>
    <w:p w:rsidR="0052526A" w:rsidRPr="0095664E" w:rsidRDefault="0052526A" w:rsidP="0052526A">
      <w:r w:rsidRPr="0095664E">
        <w:t xml:space="preserve">Celebrada en la Sede, Nueva York, el </w:t>
      </w:r>
      <w:r w:rsidR="0095664E">
        <w:t>viernes 18 de agosto de 2006, a las 10.00 horas</w:t>
      </w:r>
    </w:p>
    <w:p w:rsidR="0052526A" w:rsidRPr="0095664E" w:rsidRDefault="0052526A" w:rsidP="0052526A">
      <w:pPr>
        <w:spacing w:line="120" w:lineRule="exact"/>
        <w:rPr>
          <w:sz w:val="10"/>
        </w:rPr>
      </w:pPr>
    </w:p>
    <w:p w:rsidR="0052526A" w:rsidRPr="0095664E" w:rsidRDefault="0052526A" w:rsidP="0052526A">
      <w:pPr>
        <w:tabs>
          <w:tab w:val="right" w:pos="950"/>
          <w:tab w:val="left" w:pos="1267"/>
          <w:tab w:val="right" w:leader="dot" w:pos="8568"/>
        </w:tabs>
        <w:ind w:right="1267"/>
      </w:pPr>
      <w:r w:rsidRPr="0095664E">
        <w:rPr>
          <w:i/>
        </w:rPr>
        <w:t>Presidente:</w:t>
      </w:r>
      <w:r w:rsidRPr="0095664E">
        <w:tab/>
      </w:r>
      <w:r w:rsidR="0095664E">
        <w:t>Sra. Belmihoub-Zerdani (Vicepresidenta)</w:t>
      </w:r>
    </w:p>
    <w:p w:rsidR="0052526A" w:rsidRPr="0095664E" w:rsidRDefault="0052526A" w:rsidP="0052526A">
      <w:pPr>
        <w:tabs>
          <w:tab w:val="right" w:pos="950"/>
          <w:tab w:val="left" w:pos="1267"/>
          <w:tab w:val="right" w:leader="dot" w:pos="8568"/>
        </w:tabs>
        <w:spacing w:line="120" w:lineRule="exact"/>
        <w:ind w:right="1267"/>
        <w:rPr>
          <w:sz w:val="10"/>
        </w:rPr>
      </w:pPr>
    </w:p>
    <w:p w:rsidR="0052526A" w:rsidRPr="0095664E" w:rsidRDefault="0052526A" w:rsidP="0052526A">
      <w:pPr>
        <w:tabs>
          <w:tab w:val="right" w:pos="950"/>
          <w:tab w:val="left" w:pos="1267"/>
          <w:tab w:val="right" w:leader="dot" w:pos="8568"/>
        </w:tabs>
        <w:spacing w:line="120" w:lineRule="exact"/>
        <w:ind w:right="1267"/>
        <w:rPr>
          <w:sz w:val="10"/>
        </w:rPr>
      </w:pPr>
    </w:p>
    <w:p w:rsidR="0052526A" w:rsidRPr="0095664E" w:rsidRDefault="0052526A" w:rsidP="0052526A">
      <w:pPr>
        <w:tabs>
          <w:tab w:val="right" w:pos="950"/>
          <w:tab w:val="left" w:pos="1267"/>
          <w:tab w:val="right" w:leader="dot" w:pos="8568"/>
        </w:tabs>
        <w:spacing w:line="120" w:lineRule="exact"/>
        <w:ind w:right="1267"/>
        <w:rPr>
          <w:sz w:val="10"/>
        </w:rPr>
      </w:pPr>
    </w:p>
    <w:p w:rsidR="0052526A" w:rsidRPr="0095664E" w:rsidRDefault="0052526A" w:rsidP="0052526A">
      <w:pPr>
        <w:pStyle w:val="HCh"/>
        <w:rPr>
          <w:b w:val="0"/>
        </w:rPr>
      </w:pPr>
      <w:r w:rsidRPr="0095664E">
        <w:rPr>
          <w:b w:val="0"/>
        </w:rPr>
        <w:t>Sumario</w:t>
      </w:r>
    </w:p>
    <w:p w:rsidR="0052526A" w:rsidRPr="0095664E" w:rsidRDefault="0052526A" w:rsidP="0052526A">
      <w:pPr>
        <w:pStyle w:val="HCh"/>
        <w:spacing w:line="240" w:lineRule="auto"/>
        <w:rPr>
          <w:b w:val="0"/>
          <w:sz w:val="12"/>
        </w:rPr>
      </w:pPr>
    </w:p>
    <w:p w:rsidR="0095664E" w:rsidRDefault="0095664E" w:rsidP="0095664E">
      <w:pPr>
        <w:pStyle w:val="SingleTxt"/>
        <w:suppressAutoHyphens/>
        <w:jc w:val="left"/>
      </w:pPr>
      <w:r>
        <w:t>Homenaje a la memoria de las víctimas del atentado con bomba perpetrado contra las oficinas de las Naciones Unidas en Bagdad el 19 de agosto de 2003.</w:t>
      </w:r>
    </w:p>
    <w:p w:rsidR="0095664E" w:rsidRDefault="0095664E" w:rsidP="0095664E">
      <w:pPr>
        <w:pStyle w:val="SingleTxt"/>
        <w:suppressAutoHyphens/>
        <w:jc w:val="left"/>
      </w:pPr>
      <w:r>
        <w:t>Examen de los informes presentados por los Estados partes en virtud del artículo 18 de la Convención (</w:t>
      </w:r>
      <w:r>
        <w:rPr>
          <w:i/>
        </w:rPr>
        <w:t>continuación</w:t>
      </w:r>
      <w:r>
        <w:t>)</w:t>
      </w:r>
    </w:p>
    <w:p w:rsidR="000A1971" w:rsidRDefault="0095664E" w:rsidP="0095664E">
      <w:pPr>
        <w:pStyle w:val="SingleTxt"/>
        <w:suppressAutoHyphens/>
        <w:ind w:left="1742" w:hanging="475"/>
        <w:jc w:val="left"/>
        <w:rPr>
          <w:i/>
        </w:rPr>
      </w:pPr>
      <w:r>
        <w:tab/>
      </w:r>
      <w:r>
        <w:rPr>
          <w:i/>
        </w:rPr>
        <w:t>Informes periódicos inicial, segundo, tercero, cuarto, quinto y sexto combinados de Cabo Verde (continuación)</w:t>
      </w:r>
    </w:p>
    <w:p w:rsidR="0095664E" w:rsidRDefault="0095664E" w:rsidP="0095664E">
      <w:pPr>
        <w:pStyle w:val="SingleTxt"/>
        <w:suppressAutoHyphens/>
        <w:jc w:val="left"/>
        <w:rPr>
          <w:i/>
        </w:rPr>
      </w:pPr>
    </w:p>
    <w:p w:rsidR="0095664E" w:rsidRPr="0095664E" w:rsidRDefault="0095664E" w:rsidP="0095664E">
      <w:pPr>
        <w:pStyle w:val="SingleTxt"/>
        <w:suppressAutoHyphens/>
        <w:spacing w:after="0" w:line="240" w:lineRule="auto"/>
        <w:jc w:val="left"/>
        <w:rPr>
          <w:i/>
          <w:sz w:val="2"/>
        </w:rPr>
        <w:sectPr w:rsidR="0095664E" w:rsidRPr="0095664E" w:rsidSect="0034246D">
          <w:endnotePr>
            <w:numFmt w:val="decimal"/>
          </w:endnotePr>
          <w:type w:val="continuous"/>
          <w:pgSz w:w="12240" w:h="15840" w:code="1"/>
          <w:pgMar w:top="1742" w:right="1195" w:bottom="1898" w:left="1195" w:header="576" w:footer="1030" w:gutter="0"/>
          <w:cols w:space="708"/>
          <w:noEndnote/>
          <w:docGrid w:linePitch="360"/>
        </w:sectPr>
      </w:pPr>
      <w:r>
        <w:rPr>
          <w:i/>
        </w:rPr>
        <w:br w:type="page"/>
      </w:r>
    </w:p>
    <w:p w:rsidR="0095664E" w:rsidRDefault="0095664E" w:rsidP="0095664E">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horas</w:t>
      </w:r>
    </w:p>
    <w:p w:rsidR="0095664E" w:rsidRDefault="0095664E" w:rsidP="0095664E">
      <w:pPr>
        <w:pStyle w:val="DualTxt"/>
        <w:spacing w:after="0" w:line="120" w:lineRule="exact"/>
        <w:rPr>
          <w:sz w:val="10"/>
        </w:rPr>
      </w:pPr>
    </w:p>
    <w:p w:rsidR="0095664E" w:rsidRDefault="0095664E" w:rsidP="0095664E">
      <w:pPr>
        <w:pStyle w:val="DualTxt"/>
        <w:spacing w:after="0" w:line="120" w:lineRule="exact"/>
        <w:rPr>
          <w:sz w:val="10"/>
        </w:rPr>
      </w:pPr>
    </w:p>
    <w:p w:rsidR="0095664E" w:rsidRDefault="0095664E" w:rsidP="0095664E">
      <w:pPr>
        <w:pStyle w:val="DualTxt"/>
        <w:spacing w:after="0" w:line="120" w:lineRule="exact"/>
        <w:rPr>
          <w:sz w:val="10"/>
        </w:rPr>
      </w:pPr>
    </w:p>
    <w:p w:rsidR="0095664E" w:rsidRDefault="0095664E" w:rsidP="0095664E">
      <w:pPr>
        <w:pStyle w:val="H23"/>
        <w:tabs>
          <w:tab w:val="right" w:pos="360"/>
          <w:tab w:val="left" w:pos="475"/>
          <w:tab w:val="left" w:pos="965"/>
          <w:tab w:val="left" w:pos="1440"/>
          <w:tab w:val="left" w:pos="1915"/>
          <w:tab w:val="left" w:pos="2405"/>
          <w:tab w:val="left" w:pos="2880"/>
          <w:tab w:val="left" w:pos="3355"/>
        </w:tabs>
      </w:pPr>
      <w:r>
        <w:t>Homenaje a la memoria de las víctimas del atentado con bomba perpetrado contra las oficinas de las Naciones Unidas en Bagdad el 19 de agosto de 2003</w:t>
      </w:r>
    </w:p>
    <w:p w:rsidR="0095664E" w:rsidRDefault="0095664E" w:rsidP="0095664E">
      <w:pPr>
        <w:pStyle w:val="DualTxt"/>
        <w:spacing w:after="0" w:line="120" w:lineRule="exact"/>
        <w:rPr>
          <w:sz w:val="10"/>
        </w:rPr>
      </w:pP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rPr>
          <w:i/>
        </w:rPr>
      </w:pPr>
      <w:r>
        <w:rPr>
          <w:i/>
        </w:rPr>
        <w:t>Por invitación de la Presidenta, los participantes guardan un minuto de silencio en homenaje a la mem</w:t>
      </w:r>
      <w:r>
        <w:rPr>
          <w:i/>
        </w:rPr>
        <w:t>o</w:t>
      </w:r>
      <w:r>
        <w:rPr>
          <w:i/>
        </w:rPr>
        <w:t>ria del Alto Comisionado de las Naciones Unidas para los Derechos Humanos y Representante Especial del Secretario General en el Iraq, Sr. Sergio Vieira de M</w:t>
      </w:r>
      <w:r>
        <w:rPr>
          <w:i/>
        </w:rPr>
        <w:t>e</w:t>
      </w:r>
      <w:r>
        <w:rPr>
          <w:i/>
        </w:rPr>
        <w:t>llo, y de las demás víctimas del atentado con bomba perpetrado contra las oficinas de las Naciones Unidas en Bagdad el 19 de agosto de 2003.</w:t>
      </w:r>
    </w:p>
    <w:p w:rsidR="0095664E" w:rsidRDefault="0095664E" w:rsidP="0095664E">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p>
    <w:p w:rsidR="0095664E" w:rsidRDefault="0095664E" w:rsidP="0095664E">
      <w:pPr>
        <w:pStyle w:val="DualTxt"/>
        <w:spacing w:after="0" w:line="120" w:lineRule="exact"/>
        <w:rPr>
          <w:sz w:val="10"/>
        </w:rPr>
      </w:pPr>
    </w:p>
    <w:p w:rsidR="0095664E" w:rsidRDefault="0095664E" w:rsidP="0095664E">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Informes periódicos inicial, segundo, tercero, cuarto, quinto y sexto combinados de Cabo Verde </w:t>
      </w:r>
      <w:r>
        <w:rPr>
          <w:i w:val="0"/>
        </w:rPr>
        <w:t>(CEDAW/C/CPV/1-6, CEDAW/C/CPV/Q/6 y CEDAW/C/CPV/Q/6/Add.1)</w:t>
      </w:r>
    </w:p>
    <w:p w:rsidR="0095664E" w:rsidRDefault="0095664E" w:rsidP="0095664E">
      <w:pPr>
        <w:pStyle w:val="DualTxt"/>
        <w:spacing w:after="0" w:line="120" w:lineRule="exact"/>
        <w:rPr>
          <w:sz w:val="10"/>
        </w:rPr>
      </w:pP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rPr>
          <w:i/>
        </w:rPr>
      </w:pPr>
      <w:r>
        <w:rPr>
          <w:i/>
        </w:rPr>
        <w:t>Por invitación de la Presidenta, los miembros de la delegación de Cabo Verde toman asiento a la Mesa del Comité.</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Lima</w:t>
      </w:r>
      <w:r>
        <w:t xml:space="preserve"> (Cabo Verde), presentando los i</w:t>
      </w:r>
      <w:r>
        <w:t>n</w:t>
      </w:r>
      <w:r>
        <w:t>formes periódicos inicial, segundo, tercero, cuarto, quinto y sexto combinados de Cabo Verde (CEDAW/C/CPV/1-6), dice que aunque Cabo Verde ha presentado con retraso el informe, las numerosas med</w:t>
      </w:r>
      <w:r>
        <w:t>i</w:t>
      </w:r>
      <w:r>
        <w:t>das de amplio alcance adoptadas desde que ratificara la Convención en diciembre de 1980 dan fe de su genuino compromiso con ese instrumento. Desde que Cabo Verde obtuvo su independencia, en 1975, la promoción de los derechos de la mujer ha sido uno de los eleme</w:t>
      </w:r>
      <w:r>
        <w:t>n</w:t>
      </w:r>
      <w:r>
        <w:t>tos centrales del programa político nacional. Sin e</w:t>
      </w:r>
      <w:r>
        <w:t>m</w:t>
      </w:r>
      <w:r>
        <w:t>bargo, aunque se han alcanzado grandes progresos con respecto a la condición jurídica y social de la mujer, aún no se ha logrado una plena igualdad entre los gén</w:t>
      </w:r>
      <w:r>
        <w:t>e</w:t>
      </w:r>
      <w:r>
        <w:t>ros. Cabo Verde está firmemente decidido a sup</w:t>
      </w:r>
      <w:r>
        <w:t>e</w:t>
      </w:r>
      <w:r>
        <w:t>rar las dificultades que aún subsisten en esa esfera.</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Bajo el régimen totalitario anterior a la indepe</w:t>
      </w:r>
      <w:r>
        <w:t>n</w:t>
      </w:r>
      <w:r>
        <w:t>dencia, la mujer de Cabo Verde no sólo no disfrutaba de sus derechos, incluidos el derecho al voto y a la r</w:t>
      </w:r>
      <w:r>
        <w:t>e</w:t>
      </w:r>
      <w:r>
        <w:t>producción, sino que tampoco tenía acceso a la educ</w:t>
      </w:r>
      <w:r>
        <w:t>a</w:t>
      </w:r>
      <w:r>
        <w:t>ción en pie de igualdad con el hombre, a ciertas prof</w:t>
      </w:r>
      <w:r>
        <w:t>e</w:t>
      </w:r>
      <w:r>
        <w:t>siones y a los préstamos y créditos. Entre 1975 y 1990, el país siguió un sendero de desarrollo basado en los principios democráticos y el respeto de los derechos humanos. El proceso de la transición democrática se aceleró con la introducción de un sistema de partidos múltiples en febrero de 1990 y las primeras elecciones democráticas celebradas en 1991, en las que una a</w:t>
      </w:r>
      <w:r>
        <w:t>m</w:t>
      </w:r>
      <w:r>
        <w:t>plia participación pública demostró claramente que el país optaba por el imperio de la democracia y la de</w:t>
      </w:r>
      <w:r>
        <w:t>s</w:t>
      </w:r>
      <w:r>
        <w:t>centralización del poder. La Constitución, aprobada en 1992, prevé una amplia gama de derechos, libertades y garantías para los ciudadanos de Cabo Verde, cons</w:t>
      </w:r>
      <w:r>
        <w:t>a</w:t>
      </w:r>
      <w:r>
        <w:t>grando la dignidad de la persona como valor a</w:t>
      </w:r>
      <w:r>
        <w:t>b</w:t>
      </w:r>
      <w:r>
        <w:t>soluto.</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La economía se ha ido abriendo lentamente a la inversión extranjera. El turismo y la industria ligera han empezado a florecer y los indicadores sociales y económicos han mejorado. La mejora del índice de d</w:t>
      </w:r>
      <w:r>
        <w:t>e</w:t>
      </w:r>
      <w:r>
        <w:t>sarrollo humano correspondiente a Cabo Verde refleja acontecimientos positivos con respecto a los derechos económicos y sociales.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El mayor obstáculo para el adelanto de la mujer ha sido el predominio de un sistema sociocultural de tipo patriarcal. A pesar de las claras repercusiones de la inversión en educación sobre la condición jurídica y social de la mujer en varios sectores, en otros se apr</w:t>
      </w:r>
      <w:r>
        <w:t>e</w:t>
      </w:r>
      <w:r>
        <w:t>cia una evidente resistencia al cambio.</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La participación de la mujer en la política y en la adopción de decisiones, aunque es de larga data, ha v</w:t>
      </w:r>
      <w:r>
        <w:t>a</w:t>
      </w:r>
      <w:r>
        <w:t>riado grandemente en grado y forma con el correr de los años. Por ejemplo, el número de diputadas en la Asamblea Nacional ha fluctuado muchísimo. Actua</w:t>
      </w:r>
      <w:r>
        <w:t>l</w:t>
      </w:r>
      <w:r>
        <w:t>mente la mujer representa el 15% de los diputados del Parlamento, y su representación es incluso más baja en la legislatura y en la rama ejecutiva municipal. Aunque el número de mujeres en el gobierno central es inferior al del hombre, su participación va en aumento con cada proceso electoral. Sin embargo, su participación en ese nivel ha sido muy reducida. El Gobierno reconoce la necesidad de alentar la participación de la mujer en t</w:t>
      </w:r>
      <w:r>
        <w:t>o</w:t>
      </w:r>
      <w:r>
        <w:t>dos los niveles, tanto en la política como en otras esf</w:t>
      </w:r>
      <w:r>
        <w:t>e</w:t>
      </w:r>
      <w:r>
        <w:t>ras de la vida pública, para eliminar las ideas tradici</w:t>
      </w:r>
      <w:r>
        <w:t>o</w:t>
      </w:r>
      <w:r>
        <w:t>nalistas que contribuyen a la marginación de la mujer.</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Entre 1990 y 2000 se registró un aumento general en la tasa de empleo de la población como resultado d</w:t>
      </w:r>
      <w:r>
        <w:t>i</w:t>
      </w:r>
      <w:r>
        <w:t>recto de un aumento en la actividad económica fem</w:t>
      </w:r>
      <w:r>
        <w:t>e</w:t>
      </w:r>
      <w:r>
        <w:t>nina, que pasó del 25 al 38,6%, en comparación con una disminución en la actividad económica masculina, que bajó del 47,8% al 42,3%. Un análisis de la pobl</w:t>
      </w:r>
      <w:r>
        <w:t>a</w:t>
      </w:r>
      <w:r>
        <w:t>ción económicamente activa por categorías subprof</w:t>
      </w:r>
      <w:r>
        <w:t>e</w:t>
      </w:r>
      <w:r>
        <w:t>sionales reveló que la mujer representa el 0,6% de los técnicos superiores, el 4,9% de los especialistas y el 4,3% de los técnicos profesionales y profesionales de categoría intermedia. Los trabajadores no especializ</w:t>
      </w:r>
      <w:r>
        <w:t>a</w:t>
      </w:r>
      <w:r>
        <w:t>dos constituyen el mayor porcentaje de la población (26,8%), y la mayoría son mujeres. En el año 2000, el 47,8% de las mujeres desempeñaba actividades que exigían un bajo nivel de formación o educación, pero generaban ingresos más bajos para la mujer que para el hombre. La mujer suele estar relegada a las tareas d</w:t>
      </w:r>
      <w:r>
        <w:t>o</w:t>
      </w:r>
      <w:r>
        <w:t>mésticas y los miembros de la familia impiden que r</w:t>
      </w:r>
      <w:r>
        <w:t>e</w:t>
      </w:r>
      <w:r>
        <w:t>ciba educación. Para tratar de reducir el alto nivel de desempleo de la mujer en los sectores más pobres de la sociedad, el Gobierno está promoviendo la formación profesional y el acceso a actividades lucrativas y m</w:t>
      </w:r>
      <w:r>
        <w:t>i</w:t>
      </w:r>
      <w:r>
        <w:t>crocréditos para la mujer a plazo inmediato, y está efectuando inversiones a largo plazo para promover el acceso a la educación en todos los niveles, facilita</w:t>
      </w:r>
      <w:r>
        <w:t>n</w:t>
      </w:r>
      <w:r>
        <w:t>do así la posibilidad de acceder a profesiones mejor remuneradas.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Hay una amplia variedad de organizaciones de la sociedad civil y ONG que realizan una activa labor en las esferas de los derechos humanos y el desarrollo de la democracia en Cabo Verde. Esas organizaciones han hecho grandes aportes a la organización y movilización de la sociedad civil y al adelanto del programa de la mujer mediante iniciativas encaminadas, entre otras cosas, a reducir el analfabetismo, particularmente entre las mujeres de las zonas rurales, a crear jardines de la infancia, a introducir políticas de planificación de la familia, a promover la participación de la mujer en el desarrollo, a ayudar a formular legislación relativa a cuestiones de género y a facilitar el acceso de la mujer a microcréditos y préstamos.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 xml:space="preserve">En 1994 el Gobierno estableció el Instituto de la Condición Femenina, al que recientemente se dio el nuevo nombre de Instituto de Cabo Verde para la </w:t>
      </w:r>
      <w:r w:rsidRPr="0095664E">
        <w:rPr>
          <w:spacing w:val="2"/>
        </w:rPr>
        <w:t>Igualdad y Equidad entre los Géneros, cuyo propósito es crear las condiciones y los mecanismos institucion</w:t>
      </w:r>
      <w:r w:rsidRPr="0095664E">
        <w:rPr>
          <w:spacing w:val="2"/>
        </w:rPr>
        <w:t>a</w:t>
      </w:r>
      <w:r w:rsidRPr="0095664E">
        <w:rPr>
          <w:spacing w:val="2"/>
        </w:rPr>
        <w:t>les necesarios para la promoción y la aplicación de p</w:t>
      </w:r>
      <w:r w:rsidRPr="0095664E">
        <w:rPr>
          <w:spacing w:val="2"/>
        </w:rPr>
        <w:t>o</w:t>
      </w:r>
      <w:r w:rsidRPr="0095664E">
        <w:rPr>
          <w:spacing w:val="2"/>
        </w:rPr>
        <w:t>líticas públicas para el mejorar la igualdad de género, la equidad y paridad y el empoderamiento de la mujer. Con esos fines, el Instituto ha establecido as</w:t>
      </w:r>
      <w:r w:rsidRPr="0095664E">
        <w:rPr>
          <w:spacing w:val="2"/>
        </w:rPr>
        <w:t>o</w:t>
      </w:r>
      <w:r w:rsidRPr="0095664E">
        <w:rPr>
          <w:spacing w:val="2"/>
        </w:rPr>
        <w:t>ciaciones con organizaciones de la sociedad civil que trabajan en esferas como la salud</w:t>
      </w:r>
      <w:r>
        <w:t>, la educación, la promoción de la familia, la generación de ingresos y la prevención de la violencia contra la mujer, a la vez que centra su ate</w:t>
      </w:r>
      <w:r>
        <w:t>n</w:t>
      </w:r>
      <w:r>
        <w:t>ción en las mujeres de los grupos más vulnerables, f</w:t>
      </w:r>
      <w:r>
        <w:t>a</w:t>
      </w:r>
      <w:r>
        <w:t xml:space="preserve">cilitando así un considerable progreso en la </w:t>
      </w:r>
      <w:r w:rsidRPr="0095664E">
        <w:rPr>
          <w:spacing w:val="2"/>
        </w:rPr>
        <w:t>promoción de los derechos de la mujer. Para llevar a cabo activ</w:t>
      </w:r>
      <w:r w:rsidRPr="0095664E">
        <w:rPr>
          <w:spacing w:val="2"/>
        </w:rPr>
        <w:t>i</w:t>
      </w:r>
      <w:r w:rsidRPr="0095664E">
        <w:rPr>
          <w:spacing w:val="2"/>
        </w:rPr>
        <w:t>dades más concertadas con las organizaciones del se</w:t>
      </w:r>
      <w:r w:rsidRPr="0095664E">
        <w:rPr>
          <w:spacing w:val="2"/>
        </w:rPr>
        <w:t>c</w:t>
      </w:r>
      <w:r w:rsidRPr="0095664E">
        <w:rPr>
          <w:spacing w:val="2"/>
        </w:rPr>
        <w:t>tor público y de la sociedad civil, y de conformidad con las directrices de la Declaración y Plataforma de Acción de Beijing, ha elaborado un p</w:t>
      </w:r>
      <w:r>
        <w:t>lan n</w:t>
      </w:r>
      <w:r>
        <w:t>a</w:t>
      </w:r>
      <w:r>
        <w:t>cional para la igualdad y equidad entre los géneros que abarca el período 2005-2009, por el que se rigen las políticas gubernamentales conexas. Sus principales d</w:t>
      </w:r>
      <w:r>
        <w:t>e</w:t>
      </w:r>
      <w:r>
        <w:t>safíos consisten en combatir la violencia contra la mujer, as</w:t>
      </w:r>
      <w:r>
        <w:t>e</w:t>
      </w:r>
      <w:r>
        <w:t>gurar la igualdad de oportunidades económicas y la igualdad en la representación de hombres y muj</w:t>
      </w:r>
      <w:r>
        <w:t>e</w:t>
      </w:r>
      <w:r>
        <w:t>res en los cargos con funciones normativas.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A pesar del progreso económico, algunos grupos, incluidos los de mujeres, permanecen en condiciones de exclusión social y pobreza. El desempleo es mayor entre las personas de edades comprendidas entre los 15 y los 24 años, pero en general es más elevado entre los hombres (55,9%) que entre las mujeres (42,3%). Sin embargo, son más numerosas las mujeres que los ho</w:t>
      </w:r>
      <w:r>
        <w:t>m</w:t>
      </w:r>
      <w:r>
        <w:t>bres que viven en la pobreza. Se aprecia una tendencia inversa en los grupos de edades de 25 a 49 años, en los cuales el analfabetismo es mayor entre las mujeres, lo que indica una relación directa entre el nivel de educ</w:t>
      </w:r>
      <w:r>
        <w:t>a</w:t>
      </w:r>
      <w:r>
        <w:t>ción y el acceso al empleo. En respuesta a esa situ</w:t>
      </w:r>
      <w:r>
        <w:t>a</w:t>
      </w:r>
      <w:r>
        <w:t>ción, en 2003 se introdujo un programa nacional de alivio de la pobreza con el propósito, entre otros, de eliminar la exclusión social mediante la educación, la formación profesional y el desarrollo de infraestruct</w:t>
      </w:r>
      <w:r>
        <w:t>u</w:t>
      </w:r>
      <w:r>
        <w:t>ra. La Dirección General de Alfabetización y Educ</w:t>
      </w:r>
      <w:r>
        <w:t>a</w:t>
      </w:r>
      <w:r>
        <w:t>ción de Adultos, el Instituto de Empleo y Formación Profesional y el Ministerio de Agricultura, Medio A</w:t>
      </w:r>
      <w:r>
        <w:t>m</w:t>
      </w:r>
      <w:r>
        <w:t>biente y Pesca realizan actividades semejantes y han hecho un importante aporte para mejorar la situación económica y la inclusión de la mujer, particularmente en las zonas rurales, para lo cual, entre otras cosas, han facilitado microcréditos. El Plan Nacional de Desarr</w:t>
      </w:r>
      <w:r>
        <w:t>o</w:t>
      </w:r>
      <w:r>
        <w:t>llo para 2002-2005 y la Estrategia de Crecimiento y Reducción de la Pobreza contienen estrategias para erradicar la pobreza, determinar las esferas de inte</w:t>
      </w:r>
      <w:r>
        <w:t>r</w:t>
      </w:r>
      <w:r>
        <w:t>vención tales como empleo, salud, educación, vivienda y pobreza urbana y rural, a la vez que centran su int</w:t>
      </w:r>
      <w:r>
        <w:t>e</w:t>
      </w:r>
      <w:r>
        <w:t>rés en las necesidades específicas de los grupos soci</w:t>
      </w:r>
      <w:r>
        <w:t>a</w:t>
      </w:r>
      <w:r>
        <w:t xml:space="preserve">les vulnerables. Se han tomado medidas para proteger a las mujeres particularmente vulnerables, como las que no perciben ingresos o desarrollan actividad de baja remuneración. </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La educación indudablemente es uno de los in</w:t>
      </w:r>
      <w:r>
        <w:t>s</w:t>
      </w:r>
      <w:r>
        <w:t>trumentos más eficaces para promover la condición j</w:t>
      </w:r>
      <w:r>
        <w:t>u</w:t>
      </w:r>
      <w:r>
        <w:t xml:space="preserve">rídica y social de la mujer y su desarrollo profesional </w:t>
      </w:r>
      <w:r w:rsidRPr="0095664E">
        <w:rPr>
          <w:spacing w:val="2"/>
        </w:rPr>
        <w:t>y económico, pero sobre todo su autonomía moral.  La demanda social de educación ha aumentado con el c</w:t>
      </w:r>
      <w:r w:rsidRPr="0095664E">
        <w:rPr>
          <w:spacing w:val="2"/>
        </w:rPr>
        <w:t>o</w:t>
      </w:r>
      <w:r w:rsidRPr="0095664E">
        <w:rPr>
          <w:spacing w:val="2"/>
        </w:rPr>
        <w:t>rrer de los años, y existe una fuerte tendencia en las familias a garantizar las mismas oportunidades de ed</w:t>
      </w:r>
      <w:r w:rsidRPr="0095664E">
        <w:rPr>
          <w:spacing w:val="2"/>
        </w:rPr>
        <w:t>u</w:t>
      </w:r>
      <w:r w:rsidRPr="0095664E">
        <w:rPr>
          <w:spacing w:val="2"/>
        </w:rPr>
        <w:t>cación para niñas y niños. Como resultado de la polít</w:t>
      </w:r>
      <w:r w:rsidRPr="0095664E">
        <w:rPr>
          <w:spacing w:val="2"/>
        </w:rPr>
        <w:t>i</w:t>
      </w:r>
      <w:r w:rsidRPr="0095664E">
        <w:rPr>
          <w:spacing w:val="2"/>
        </w:rPr>
        <w:t>ca del Gobierno de “educación para todos”, casi todas las personas tienen acceso a la educación primaria, y se</w:t>
      </w:r>
      <w:r>
        <w:t xml:space="preserve"> </w:t>
      </w:r>
      <w:r w:rsidRPr="0095664E">
        <w:rPr>
          <w:spacing w:val="2"/>
        </w:rPr>
        <w:t>ha alcanzado la paridad entre los géneros con respecto al acceso a la educación primaria y secundaria. La tasa de matrícula en la escuela primaria es del 95,9% para las niñas y del 94,3% para los niños; las cifras corre</w:t>
      </w:r>
      <w:r w:rsidRPr="0095664E">
        <w:rPr>
          <w:spacing w:val="2"/>
        </w:rPr>
        <w:t>s</w:t>
      </w:r>
      <w:r w:rsidRPr="0095664E">
        <w:rPr>
          <w:spacing w:val="2"/>
        </w:rPr>
        <w:t>pondientes a la matrícula en la escuela secundaria son del 58,8% y el 53,3%, respectivamente. Es mayor el número de niñas que finaliza la educación primaria y secundaria, ya que un gran número de niños abandona la escuela primaria. En el nivel de educación secund</w:t>
      </w:r>
      <w:r w:rsidRPr="0095664E">
        <w:rPr>
          <w:spacing w:val="2"/>
        </w:rPr>
        <w:t>a</w:t>
      </w:r>
      <w:r w:rsidRPr="0095664E">
        <w:rPr>
          <w:spacing w:val="2"/>
        </w:rPr>
        <w:t>ria, son más numerosas las niñas que repiten el año.</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A pesar de que hay un mayor número de mujeres que se desempeñan como profesoras de escuela (65,3%), la mayoría de los profesores en los niveles de educación superior son hombres. Los puestos admini</w:t>
      </w:r>
      <w:r>
        <w:t>s</w:t>
      </w:r>
      <w:r>
        <w:t>trativos en las escuelas primarias están ocupados pri</w:t>
      </w:r>
      <w:r>
        <w:t>n</w:t>
      </w:r>
      <w:r>
        <w:t>cipalmente por hombres, pero existe una distribución equitativa entre hombres y mujeres en todo el sistema educacional.</w:t>
      </w:r>
    </w:p>
    <w:p w:rsidR="0095664E" w:rsidRP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rPr>
          <w:spacing w:val="2"/>
        </w:rPr>
      </w:pPr>
      <w:r w:rsidRPr="0095664E">
        <w:rPr>
          <w:spacing w:val="2"/>
        </w:rPr>
        <w:t>Debido a que el censo de 2000 indicó que el ana</w:t>
      </w:r>
      <w:r w:rsidRPr="0095664E">
        <w:rPr>
          <w:spacing w:val="2"/>
        </w:rPr>
        <w:t>l</w:t>
      </w:r>
      <w:r w:rsidRPr="0095664E">
        <w:rPr>
          <w:spacing w:val="2"/>
        </w:rPr>
        <w:t>fabetismo era mayor entre las mujeres, salvo en el gr</w:t>
      </w:r>
      <w:r w:rsidRPr="0095664E">
        <w:rPr>
          <w:spacing w:val="2"/>
        </w:rPr>
        <w:t>u</w:t>
      </w:r>
      <w:r w:rsidRPr="0095664E">
        <w:rPr>
          <w:spacing w:val="2"/>
        </w:rPr>
        <w:t>po de edad de 15 a 24 años, los programas de alfabet</w:t>
      </w:r>
      <w:r w:rsidRPr="0095664E">
        <w:rPr>
          <w:spacing w:val="2"/>
        </w:rPr>
        <w:t>i</w:t>
      </w:r>
      <w:r w:rsidRPr="0095664E">
        <w:rPr>
          <w:spacing w:val="2"/>
        </w:rPr>
        <w:t>zación de adultos se centran principalmente en ese gr</w:t>
      </w:r>
      <w:r w:rsidRPr="0095664E">
        <w:rPr>
          <w:spacing w:val="2"/>
        </w:rPr>
        <w:t>u</w:t>
      </w:r>
      <w:r w:rsidRPr="0095664E">
        <w:rPr>
          <w:spacing w:val="2"/>
        </w:rPr>
        <w:t>po social, que se considera el más vulnerable, y han dado como resultado una notable disminución de la t</w:t>
      </w:r>
      <w:r w:rsidRPr="0095664E">
        <w:rPr>
          <w:spacing w:val="2"/>
        </w:rPr>
        <w:t>a</w:t>
      </w:r>
      <w:r w:rsidRPr="0095664E">
        <w:rPr>
          <w:spacing w:val="2"/>
        </w:rPr>
        <w:t>sa de analfabetismo entre las mujeres, particularmente aquellas cuyas edades fluctúan entre los 35 y los 49 años.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Se han alcanzado notables progresos en la int</w:t>
      </w:r>
      <w:r>
        <w:t>e</w:t>
      </w:r>
      <w:r>
        <w:t>gración de la perspectiva de género en los servicios de salud, que tiene en cuenta las necesidades específicas de la mujer; el pleno acceso a los servicios de atención de la salud es uno de los objetivos a mayor plazo para ayudar a la mujer que vive en la pobreza. En 1977 se inició un programa de planificación de la familia y pr</w:t>
      </w:r>
      <w:r>
        <w:t>o</w:t>
      </w:r>
      <w:r>
        <w:t>tección de la madre y el niño, que en 2001 fue ree</w:t>
      </w:r>
      <w:r>
        <w:t>m</w:t>
      </w:r>
      <w:r>
        <w:t>plazado por un programa nacional de salud reproduct</w:t>
      </w:r>
      <w:r>
        <w:t>i</w:t>
      </w:r>
      <w:r>
        <w:t>va con un enfoque más amplio y equilibrado en función de los géneros, de conformidad con las recomendaci</w:t>
      </w:r>
      <w:r>
        <w:t>o</w:t>
      </w:r>
      <w:r>
        <w:t>nes contenidas en el Programa de Acción de la Conf</w:t>
      </w:r>
      <w:r>
        <w:t>e</w:t>
      </w:r>
      <w:r>
        <w:t>rencia Internacional sobre Población y Desarrollo cel</w:t>
      </w:r>
      <w:r>
        <w:t>e</w:t>
      </w:r>
      <w:r>
        <w:t>brada en El Cairo en 1994. El sistema de atención m</w:t>
      </w:r>
      <w:r>
        <w:t>é</w:t>
      </w:r>
      <w:r>
        <w:t>dica se ha fortalecido, y ahora hay un m</w:t>
      </w:r>
      <w:r>
        <w:t>a</w:t>
      </w:r>
      <w:r>
        <w:t>yor número de servicios relacionados con la planificación de la fam</w:t>
      </w:r>
      <w:r>
        <w:t>i</w:t>
      </w:r>
      <w:r>
        <w:t>lia, la atención materno-infantil, el control de las infe</w:t>
      </w:r>
      <w:r>
        <w:t>c</w:t>
      </w:r>
      <w:r>
        <w:t>ciones de transmisión sexual y la atención prenatal y postnatal. Las campañas de inmuniz</w:t>
      </w:r>
      <w:r>
        <w:t>a</w:t>
      </w:r>
      <w:r>
        <w:t>ción han dado buenos resultados, como lo demuestra la notable di</w:t>
      </w:r>
      <w:r>
        <w:t>s</w:t>
      </w:r>
      <w:r>
        <w:t>minución de la mortalidad materna e infantil, y se ha empezado a aplicar una política para lograr una mayor sensibilización en relación con el uso de anticoncept</w:t>
      </w:r>
      <w:r>
        <w:t>i</w:t>
      </w:r>
      <w:r>
        <w:t>vos, para lo cual se cuenta con la ayuda de los centros de salud reproductiva y de las ONG. El VIH/SIDA es uno de los principales motivos de pre</w:t>
      </w:r>
      <w:r>
        <w:t>o</w:t>
      </w:r>
      <w:r>
        <w:t>cupación de las autoridades nacionales de salud. No se dispone aún de estadísticas sobre exámenes e incide</w:t>
      </w:r>
      <w:r>
        <w:t>n</w:t>
      </w:r>
      <w:r>
        <w:t>cia del cáncer del útero, de mama o de próstata.</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Los medios de comunicación desempeñan una función clave para crear una mayor sensibilización en relación con las cuestiones de género, ayudando a fo</w:t>
      </w:r>
      <w:r>
        <w:t>r</w:t>
      </w:r>
      <w:r>
        <w:t>mar la opinión pública y difundir el mensaje de la igualdad entre los géneros, lo que a su vez contribuye a modificar actitudes y conductas muy arraigadas. En ese espíritu, se han llevado a cabo campañas de sensibil</w:t>
      </w:r>
      <w:r>
        <w:t>i</w:t>
      </w:r>
      <w:r>
        <w:t>zación orientadas a los profesionales de los medios de comunicación, quienes han recibido formación sobre cuestiones de género. La Red de Periodistas para la Población, como asociada del Gobierno, ha alcanz</w:t>
      </w:r>
      <w:r>
        <w:t>a</w:t>
      </w:r>
      <w:r>
        <w:t>do resultados muy positivos en ese ámbito, incluida la reducción de los avisos publicitarios con contenido sexista.</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condena enérgicamente la violencia de género, que básicamente se dirige contra la mujer, y está decidido a erradicarla. El Instituto para la Igualdad y Equidad entre los Géneros está elaborando una estr</w:t>
      </w:r>
      <w:r>
        <w:t>a</w:t>
      </w:r>
      <w:r>
        <w:t>tegia nacional para dar una respuesta rápida a situaci</w:t>
      </w:r>
      <w:r>
        <w:t>o</w:t>
      </w:r>
      <w:r>
        <w:t>nes de emergencia a través de redes interinstituci</w:t>
      </w:r>
      <w:r>
        <w:t>o</w:t>
      </w:r>
      <w:r>
        <w:t>nales que prestan diversos servicios gratuitos, particularme</w:t>
      </w:r>
      <w:r>
        <w:t>n</w:t>
      </w:r>
      <w:r>
        <w:t>te si las víctimas son personas de bajos recursos o de otro modo vulnerables. También ayuda a financiar ce</w:t>
      </w:r>
      <w:r>
        <w:t>n</w:t>
      </w:r>
      <w:r>
        <w:t>tros de recepción de víctimas. Reconociendo la neces</w:t>
      </w:r>
      <w:r>
        <w:t>i</w:t>
      </w:r>
      <w:r>
        <w:t>dad de ampliar esas medidas al plano nacional, el Inst</w:t>
      </w:r>
      <w:r>
        <w:t>i</w:t>
      </w:r>
      <w:r>
        <w:t>tuto está trabajando con el Ministerio de Justicia para elaborar un plan nacional de lucha contra la violencia de género, que se encaminará a modificar las actitudes y conductas sociales.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La Comisión Nacional para los Derechos Hum</w:t>
      </w:r>
      <w:r>
        <w:t>a</w:t>
      </w:r>
      <w:r>
        <w:t>nos y la Ciudadanía se ocupa de supervisar la aplic</w:t>
      </w:r>
      <w:r>
        <w:t>a</w:t>
      </w:r>
      <w:r>
        <w:t>ción de la Convención y desempeñó un importante p</w:t>
      </w:r>
      <w:r>
        <w:t>a</w:t>
      </w:r>
      <w:r>
        <w:t>pel en la elaboración del informe del Estado parte. E</w:t>
      </w:r>
      <w:r>
        <w:t>n</w:t>
      </w:r>
      <w:r>
        <w:t>tre sus funciones figuran la promoción de la igualdad entre los géneros, la inclusión de la mujer y otros gr</w:t>
      </w:r>
      <w:r>
        <w:t>u</w:t>
      </w:r>
      <w:r>
        <w:t>pos vulnerables, la vigilancia del respeto de los der</w:t>
      </w:r>
      <w:r>
        <w:t>e</w:t>
      </w:r>
      <w:r>
        <w:t>chos humanos y la formulación de políticas relativas a la mujer. También realiza labor de asesoramiento, funciona como sistema de alerta temprana y lleva a c</w:t>
      </w:r>
      <w:r>
        <w:t>a</w:t>
      </w:r>
      <w:r>
        <w:t>bo actividades de vigilancia e investigación en el ámb</w:t>
      </w:r>
      <w:r>
        <w:t>i</w:t>
      </w:r>
      <w:r>
        <w:t>to de los derechos humanos y el derecho internaci</w:t>
      </w:r>
      <w:r>
        <w:t>o</w:t>
      </w:r>
      <w:r>
        <w:t>nal humanitario. Sus 28 miembros incluyen represe</w:t>
      </w:r>
      <w:r>
        <w:t>n</w:t>
      </w:r>
      <w:r>
        <w:t>tantes de la sociedad civil y las entidades públicas, y partic</w:t>
      </w:r>
      <w:r>
        <w:t>i</w:t>
      </w:r>
      <w:r>
        <w:t>pan también como observadores los representantes de instituciones cuya labor está directamente relacionada con las cuestiones de la mujer.</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de Cabo Verde ha cumplido las r</w:t>
      </w:r>
      <w:r>
        <w:t>e</w:t>
      </w:r>
      <w:r>
        <w:t>comendaciones de las conferencias regionales e inte</w:t>
      </w:r>
      <w:r>
        <w:t>r</w:t>
      </w:r>
      <w:r>
        <w:t>nacionales y de los organismos pertinentes de las N</w:t>
      </w:r>
      <w:r>
        <w:t>a</w:t>
      </w:r>
      <w:r>
        <w:t>ciones Unidas con respecto a los derechos de la mujer, y con las disposiciones de los instrumentos internaci</w:t>
      </w:r>
      <w:r>
        <w:t>o</w:t>
      </w:r>
      <w:r>
        <w:t>nales pertinentes, que sirven de base para sus doc</w:t>
      </w:r>
      <w:r>
        <w:t>u</w:t>
      </w:r>
      <w:r>
        <w:t>mentos de estrategia y como orientaciones para la adopción y aplicación de sus políticas.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Cabo Verde está convencido de que, aunque es mucho lo que queda por hacer, los derechos de la mujer consagrados en la Convención serán una realidad en el país. Tiene un firme compromiso con el logro de una auténtica igualdad entre sus hombres y mujeres, y asigna gran importancia a las contribuciones del Com</w:t>
      </w:r>
      <w:r>
        <w:t>i</w:t>
      </w:r>
      <w:r>
        <w:t>té para alcanzar ese objetivo.</w:t>
      </w:r>
    </w:p>
    <w:p w:rsidR="0095664E" w:rsidRPr="0095664E" w:rsidRDefault="0095664E" w:rsidP="0095664E">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95664E" w:rsidRDefault="0095664E" w:rsidP="0095664E">
      <w:pPr>
        <w:pStyle w:val="H4"/>
        <w:tabs>
          <w:tab w:val="right" w:pos="360"/>
          <w:tab w:val="left" w:pos="475"/>
          <w:tab w:val="left" w:pos="965"/>
          <w:tab w:val="left" w:pos="1440"/>
          <w:tab w:val="left" w:pos="1915"/>
          <w:tab w:val="left" w:pos="2405"/>
          <w:tab w:val="left" w:pos="2880"/>
          <w:tab w:val="left" w:pos="3355"/>
        </w:tabs>
        <w:ind w:left="475" w:hanging="475"/>
      </w:pPr>
      <w:r>
        <w:t>Artículos 1 y 2</w:t>
      </w:r>
    </w:p>
    <w:p w:rsidR="0095664E" w:rsidRDefault="0095664E" w:rsidP="0095664E">
      <w:pPr>
        <w:pStyle w:val="DualTxt"/>
        <w:spacing w:after="0" w:line="120" w:lineRule="exact"/>
        <w:rPr>
          <w:sz w:val="10"/>
        </w:rPr>
      </w:pP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sidRPr="0095664E">
        <w:rPr>
          <w:b/>
          <w:spacing w:val="0"/>
        </w:rPr>
        <w:t>El Sr. Flinterman</w:t>
      </w:r>
      <w:r w:rsidRPr="0095664E">
        <w:rPr>
          <w:spacing w:val="0"/>
        </w:rPr>
        <w:t xml:space="preserve"> dice que las respuestas del E</w:t>
      </w:r>
      <w:r w:rsidRPr="0095664E">
        <w:rPr>
          <w:spacing w:val="0"/>
        </w:rPr>
        <w:t>s</w:t>
      </w:r>
      <w:r w:rsidRPr="0095664E">
        <w:rPr>
          <w:spacing w:val="0"/>
        </w:rPr>
        <w:t>tado parte a las cuestiones y preguntas del Comité (CEDAW/C/CPV/Q/6/Add.1) indican que la Conve</w:t>
      </w:r>
      <w:r w:rsidRPr="0095664E">
        <w:rPr>
          <w:spacing w:val="0"/>
        </w:rPr>
        <w:t>n</w:t>
      </w:r>
      <w:r w:rsidRPr="0095664E">
        <w:rPr>
          <w:spacing w:val="0"/>
        </w:rPr>
        <w:t>ción no fue invocada</w:t>
      </w:r>
      <w:r>
        <w:t xml:space="preserve"> en ninguna de las causas prese</w:t>
      </w:r>
      <w:r>
        <w:t>n</w:t>
      </w:r>
      <w:r>
        <w:t>tadas ante los tribunales. Se pregunta si ello obedece al desconocimiento de la existencia de la Convención por parte de los miembros del poder judicial y de la prof</w:t>
      </w:r>
      <w:r>
        <w:t>e</w:t>
      </w:r>
      <w:r>
        <w:t>sión jurídica. En ese sentido, en sus observaciones i</w:t>
      </w:r>
      <w:r>
        <w:t>n</w:t>
      </w:r>
      <w:r>
        <w:t>troductorias, la delegación aludió a campañas de i</w:t>
      </w:r>
      <w:r>
        <w:t>n</w:t>
      </w:r>
      <w:r>
        <w:t>formación y sensibilización, por lo que desearía tener más información sobre el carácter de esas campañas. Una de las razones por las cuales la Convención no se ha aplicado directamente en los casos presentados ante los tribunales podría ser que las actuaciones judiciales en general son bastante lentas y costosas. Desea saber si los ciudadanos de Cabo Verde tienen acceso a cua</w:t>
      </w:r>
      <w:r>
        <w:t>l</w:t>
      </w:r>
      <w:r>
        <w:t>quier tipo de reparación legal distinta a la que se puede obtener en los tribunales. También pregunta qué fu</w:t>
      </w:r>
      <w:r>
        <w:t>n</w:t>
      </w:r>
      <w:r>
        <w:t>ción desempeña la Comisión Nacional para los Der</w:t>
      </w:r>
      <w:r>
        <w:t>e</w:t>
      </w:r>
      <w:r>
        <w:t>chos Humanos y la Ciudadanía en ese sentido. Por ejemplo, ¿recibe denuncias sobre casos de violación de los derechos humanos de la mujer? En caso afirmativo, ¿puede la Comisión hacerse cargo de un caso y prese</w:t>
      </w:r>
      <w:r>
        <w:t>n</w:t>
      </w:r>
      <w:r>
        <w:t>tarlo ante los tribunales?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El informe menciona un plan de asistencia juríd</w:t>
      </w:r>
      <w:r>
        <w:t>i</w:t>
      </w:r>
      <w:r>
        <w:t>ca a disposición de la mujer. Desea información sobre el número de mujeres que han hecho uso de ese recurso y sobre el número de mujeres cuyas solicitudes de asi</w:t>
      </w:r>
      <w:r>
        <w:t>s</w:t>
      </w:r>
      <w:r>
        <w:t>tencia jurídica han sido denegadas. Por último, alienta firmemente al Estado parte a ratificar el Protocolo F</w:t>
      </w:r>
      <w:r>
        <w:t>a</w:t>
      </w:r>
      <w:r>
        <w:t>cultativo para fortalecer la protección de los derechos de la mujer caboverdiana.</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Shin</w:t>
      </w:r>
      <w:r>
        <w:t xml:space="preserve"> acoge con agrado el informe pr</w:t>
      </w:r>
      <w:r>
        <w:t>e</w:t>
      </w:r>
      <w:r>
        <w:t>sentado por Cabo Verde y espera que el Comité pueda recibir los futuros informes periódicos con mayor pu</w:t>
      </w:r>
      <w:r>
        <w:t>n</w:t>
      </w:r>
      <w:r>
        <w:t>tualidad. Refiriéndose a la respuesta dada por el Estado parte a la pregunta 2 formulada por el Comité en la li</w:t>
      </w:r>
      <w:r>
        <w:t>s</w:t>
      </w:r>
      <w:r>
        <w:t>ta de cuestiones y preguntas (CEDAW/C/CPV/Q/6/Add.1), pregunta si el concepto de discriminación como se define en la Constitución de Cabo Verde abarca la discriminación indirecta, de co</w:t>
      </w:r>
      <w:r>
        <w:t>n</w:t>
      </w:r>
      <w:r>
        <w:t>formidad con el contenido del artículo 1 de la Conve</w:t>
      </w:r>
      <w:r>
        <w:t>n</w:t>
      </w:r>
      <w:r>
        <w:t>ción. Se pregunta si los miembros de la judicatura y los encargados de la formulación de políticas tienen ente</w:t>
      </w:r>
      <w:r>
        <w:t>n</w:t>
      </w:r>
      <w:r>
        <w:t>dido que el asegurar la igualdad entre los géneros si</w:t>
      </w:r>
      <w:r>
        <w:t>g</w:t>
      </w:r>
      <w:r>
        <w:t>nifica eliminar tanto la discriminación directa como i</w:t>
      </w:r>
      <w:r>
        <w:t>n</w:t>
      </w:r>
      <w:r>
        <w:t>directa contra la mujer.</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Al igual que el orador que le precedió en el uso de la palabra, desea saber si la Comisión Nacional para los Derechos Humanos y la Ciudadanía recibe las d</w:t>
      </w:r>
      <w:r>
        <w:t>e</w:t>
      </w:r>
      <w:r>
        <w:t>nuncias sobre discriminación directamente de las muj</w:t>
      </w:r>
      <w:r>
        <w:t>e</w:t>
      </w:r>
      <w:r>
        <w:t>res y, en caso de ser así, cuántas denuncias de ese tipo se han presentado hasta el momento. También desea saber cuántos de los 28 miembros de la Comisión son mujeres. Confía, también, que el Estado parte rat</w:t>
      </w:r>
      <w:r>
        <w:t>i</w:t>
      </w:r>
      <w:r>
        <w:t xml:space="preserve">ficará pronto el Protocolo Facultativo, y lo exhorta </w:t>
      </w:r>
      <w:r>
        <w:rPr>
          <w:w w:val="100"/>
        </w:rPr>
        <w:t xml:space="preserve">además a aceptar, sin demora, la enmienda del párrafo 1 </w:t>
      </w:r>
      <w:r>
        <w:t>del art</w:t>
      </w:r>
      <w:r>
        <w:t>í</w:t>
      </w:r>
      <w:r>
        <w:t>culo 20 de la Convención.</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Ŝimonović</w:t>
      </w:r>
      <w:r>
        <w:t xml:space="preserve"> señala que la respuesta del Estado parte a la pregunta 26 de la lista de cuestiones y preguntas (CEDAW/C/CPV/Q/6/Add.1), dice que la d</w:t>
      </w:r>
      <w:r>
        <w:t>i</w:t>
      </w:r>
      <w:r>
        <w:t>fusión de la Convención en el país está mejorando “p</w:t>
      </w:r>
      <w:r>
        <w:t>o</w:t>
      </w:r>
      <w:r>
        <w:t>co a poco”. Alienta al Gobierno a intensificar sus e</w:t>
      </w:r>
      <w:r>
        <w:t>s</w:t>
      </w:r>
      <w:r>
        <w:t>fuerzos para educar a los jueces, los funcionarios e</w:t>
      </w:r>
      <w:r>
        <w:t>n</w:t>
      </w:r>
      <w:r>
        <w:t>cargados de hacer cumplir las leyes, las ONG de muj</w:t>
      </w:r>
      <w:r>
        <w:t>e</w:t>
      </w:r>
      <w:r>
        <w:t>res y el público en general en relación con la Conve</w:t>
      </w:r>
      <w:r>
        <w:t>n</w:t>
      </w:r>
      <w:r>
        <w:t>ción y los posibles medios de evitar la violación de los derechos humanos de la mujer en el país. A la luz de la respuesta a la pregunta 27, desea conocer las opiniones de la delegación sobre las posibilidades de ratificación del Protocolo Facultativo.</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Morvai</w:t>
      </w:r>
      <w:r>
        <w:t xml:space="preserve"> pregunta si la delegación puede proporcionar información sobre la jurisprudencia rel</w:t>
      </w:r>
      <w:r>
        <w:t>a</w:t>
      </w:r>
      <w:r>
        <w:t>tiva a la igualdad de género en Cabo Verde. Tiene e</w:t>
      </w:r>
      <w:r>
        <w:t>n</w:t>
      </w:r>
      <w:r>
        <w:t>tendido que no se dispone de información sobre casos en que se haya invocado la Convención ante los trib</w:t>
      </w:r>
      <w:r>
        <w:t>u</w:t>
      </w:r>
      <w:r>
        <w:t>nales, pero se pregunta si se han presentado casos de discriminación sexual, en la esfera laboral, por eje</w:t>
      </w:r>
      <w:r>
        <w:t>m</w:t>
      </w:r>
      <w:r>
        <w:t>plo, que se hayan resuelto en el contexto de la legisl</w:t>
      </w:r>
      <w:r>
        <w:t>a</w:t>
      </w:r>
      <w:r>
        <w:t>ción nacional. Agradecería recibir información sobre el número de esos casos en los últimos años y sobre el c</w:t>
      </w:r>
      <w:r>
        <w:t>a</w:t>
      </w:r>
      <w:r>
        <w:t>rácter y resultado de los mismos.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También solicita más información sobre los in</w:t>
      </w:r>
      <w:r>
        <w:t>s</w:t>
      </w:r>
      <w:r>
        <w:t>trumentos nacionales para el adelanto de la mujer. En términos concretos, desea saber qué lugar ocupa el In</w:t>
      </w:r>
      <w:r>
        <w:t>s</w:t>
      </w:r>
      <w:r>
        <w:t>tituto de Cabo Verde para la Igualdad y Equidad entre los Géneros en la estructura de Gobierno, cuáles son su presupuesto, su dotación de personal y sus m</w:t>
      </w:r>
      <w:r>
        <w:t>é</w:t>
      </w:r>
      <w:r>
        <w:t>todos de trabajo. Desea saber, asimismo, si el Instituto tiene f</w:t>
      </w:r>
      <w:r>
        <w:t>a</w:t>
      </w:r>
      <w:r>
        <w:t>cultades decisorias o es simplemente un órgano asesor, y qué tipo de cooperación tiene con las ONG. Además, le interesa saber si Cabo Verde ha recibido algún tipo de asistencia de las organizaciones internaci</w:t>
      </w:r>
      <w:r>
        <w:t>o</w:t>
      </w:r>
      <w:r>
        <w:t>nales o de los organismos de desarrollo bilaterales específicame</w:t>
      </w:r>
      <w:r>
        <w:t>n</w:t>
      </w:r>
      <w:r>
        <w:t>te para iniciativas en materia de igualdad entre los g</w:t>
      </w:r>
      <w:r>
        <w:t>é</w:t>
      </w:r>
      <w:r>
        <w:t>neros.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Rodrigues</w:t>
      </w:r>
      <w:r>
        <w:t xml:space="preserve"> (Cabo Verde) dice que el nombre del Instituto Nacional de la Condición Femen</w:t>
      </w:r>
      <w:r>
        <w:t>i</w:t>
      </w:r>
      <w:r>
        <w:t>na, que es el instrumento nacional para cuestiones de género, se modificó recientemente y ha pasado a ser Instituto de Cabo Verde para la Igualdad y Equidad e</w:t>
      </w:r>
      <w:r>
        <w:t>n</w:t>
      </w:r>
      <w:r>
        <w:t xml:space="preserve">tre los Géneros. Ese cambio refleja la </w:t>
      </w:r>
      <w:r w:rsidRPr="0095664E">
        <w:rPr>
          <w:spacing w:val="2"/>
        </w:rPr>
        <w:t>transición de un enfoque de desarrollo basado en la mujer a un enf</w:t>
      </w:r>
      <w:r w:rsidRPr="0095664E">
        <w:rPr>
          <w:spacing w:val="2"/>
        </w:rPr>
        <w:t>o</w:t>
      </w:r>
      <w:r w:rsidRPr="0095664E">
        <w:rPr>
          <w:spacing w:val="2"/>
        </w:rPr>
        <w:t>que de género en relación con cuestiones de igualdad. A</w:t>
      </w:r>
      <w:r w:rsidRPr="0095664E">
        <w:rPr>
          <w:spacing w:val="2"/>
        </w:rPr>
        <w:t>c</w:t>
      </w:r>
      <w:r w:rsidRPr="0095664E">
        <w:rPr>
          <w:spacing w:val="2"/>
        </w:rPr>
        <w:t>tualmente el Instituto cuenta con nueve empleados y un presupuesto cercano a 37 millones de dólares, la mayor parte del cual es aportado por organizaciones intern</w:t>
      </w:r>
      <w:r w:rsidRPr="0095664E">
        <w:rPr>
          <w:spacing w:val="2"/>
        </w:rPr>
        <w:t>a</w:t>
      </w:r>
      <w:r w:rsidRPr="0095664E">
        <w:rPr>
          <w:spacing w:val="2"/>
        </w:rPr>
        <w:t>cionales, especialmente los organismos de las Naciones Unidas que realizan actividades en Cabo Verde. En r</w:t>
      </w:r>
      <w:r w:rsidRPr="0095664E">
        <w:rPr>
          <w:spacing w:val="2"/>
        </w:rPr>
        <w:t>e</w:t>
      </w:r>
      <w:r w:rsidRPr="0095664E">
        <w:rPr>
          <w:spacing w:val="2"/>
        </w:rPr>
        <w:t>conocimiento de las sólidas prácticas de gestión del Instituto, esos organismos recientemente aumentaron su aporte de financiación para sus proye</w:t>
      </w:r>
      <w:r w:rsidRPr="0095664E">
        <w:rPr>
          <w:spacing w:val="2"/>
        </w:rPr>
        <w:t>c</w:t>
      </w:r>
      <w:r w:rsidRPr="0095664E">
        <w:rPr>
          <w:spacing w:val="2"/>
        </w:rPr>
        <w:t>tos en un 30%.</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El Instituto trabaja con las ONG desde su fund</w:t>
      </w:r>
      <w:r>
        <w:t>a</w:t>
      </w:r>
      <w:r>
        <w:t>ción y actualmente está intensificando sus actividades con ellas debido a que está aumentando el número de ONG que realizan actividades relativas a las cuestiones de la mujer en Cabo Verde. El Instituto se ocupa pri</w:t>
      </w:r>
      <w:r>
        <w:t>n</w:t>
      </w:r>
      <w:r>
        <w:t>cipalmente de cuestiones de política en el plano naci</w:t>
      </w:r>
      <w:r>
        <w:t>o</w:t>
      </w:r>
      <w:r>
        <w:t>nal. Por lo tanto, recurre a las ONG para la difusión de esas políticas y para llevar a cabo proyectos de ámbito popular financiados por el Instituto. El personal del Instituto celebra reuniones frecuentemente con repr</w:t>
      </w:r>
      <w:r>
        <w:t>e</w:t>
      </w:r>
      <w:r>
        <w:t>sentantes de las ONG para seguir de cerca la ejecución de los proyectos y determinar las estrategias que se d</w:t>
      </w:r>
      <w:r>
        <w:t>e</w:t>
      </w:r>
      <w:r>
        <w:t xml:space="preserve">ben aplicar para asegurar un enfoque coherente en el trabajo con las comunidades populares. </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Lima</w:t>
      </w:r>
      <w:r>
        <w:t xml:space="preserve"> (Cabo Verde) asegura al Comité que su Gobierno no tiene objeciones filosóficas o de política al Protocolo Facultativo. Si Cabo Verde aún no ha ratificado el Protocolo, se debe simplemente a raz</w:t>
      </w:r>
      <w:r>
        <w:t>o</w:t>
      </w:r>
      <w:r>
        <w:t>nes de tipo burocrático. Asimismo, la tardanza en la presentación de los informes del Gobierno al Comité no refleja una falta de voluntad política con respecto al cumplimiento de sus obligaciones en virtud de la Co</w:t>
      </w:r>
      <w:r>
        <w:t>n</w:t>
      </w:r>
      <w:r>
        <w:t>vención; refleja la debilidad de la estructura y capac</w:t>
      </w:r>
      <w:r>
        <w:t>i</w:t>
      </w:r>
      <w:r>
        <w:t>dad institucionales. Hay que recordar que la República de Cabo Verde sólo tiene 31 años. Tras obtener su i</w:t>
      </w:r>
      <w:r>
        <w:t>n</w:t>
      </w:r>
      <w:r>
        <w:t>dependencia en 1975, los caboverdianos tuvieron que crear toda una maquinaria de Estado y construir todas las instituciones de Gobierno desde sus cimientos. El país todavía tiene un largo trecho que recorrer en ese sentido, y en consecuencia carece de la capacidad de otros países que cuentan con instrumentos totalmente desarrollados para asegurar el oportuno cumplimiento de sus obligaciones de presentación de informes en vi</w:t>
      </w:r>
      <w:r>
        <w:t>r</w:t>
      </w:r>
      <w:r>
        <w:t>tud de las diversas convenciones y convenios intern</w:t>
      </w:r>
      <w:r>
        <w:t>a</w:t>
      </w:r>
      <w:r>
        <w:t>cionales de derechos humanos. No obstante, el Gobie</w:t>
      </w:r>
      <w:r>
        <w:t>r</w:t>
      </w:r>
      <w:r>
        <w:t>no recientemente ha creado una comisión nacional c</w:t>
      </w:r>
      <w:r>
        <w:t>u</w:t>
      </w:r>
      <w:r>
        <w:t>ya tarea es coordinar la elaboración de esos info</w:t>
      </w:r>
      <w:r>
        <w:t>r</w:t>
      </w:r>
      <w:r>
        <w:t>mes, y tiene la firme intención de cumplir con todas sus obl</w:t>
      </w:r>
      <w:r>
        <w:t>i</w:t>
      </w:r>
      <w:r>
        <w:t>gaciones internacionales.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El hecho de que su Gobierno no haya podido pr</w:t>
      </w:r>
      <w:r>
        <w:t>e</w:t>
      </w:r>
      <w:r>
        <w:t>sentar los informes con puntualidad no debe tomarse como una falta de compromiso con la Convención. En realidad, Cabo Verde empezó a aplicar las disposici</w:t>
      </w:r>
      <w:r>
        <w:t>o</w:t>
      </w:r>
      <w:r>
        <w:t>nes de la Convención incluso antes de haberla ratific</w:t>
      </w:r>
      <w:r>
        <w:t>a</w:t>
      </w:r>
      <w:r>
        <w:t>do, y desde su independencia ha eliminado numerosas formas de discriminación contra la mujer. Aunque pu</w:t>
      </w:r>
      <w:r>
        <w:t>e</w:t>
      </w:r>
      <w:r>
        <w:t>da no haberse invocado la Convención en los tribun</w:t>
      </w:r>
      <w:r>
        <w:t>a</w:t>
      </w:r>
      <w:r>
        <w:t>les, la mayor parte de sus artículos están incorporados en la legislación nacional, de modo que cabe decir que se está aplicando. El hecho de que los jueces no apl</w:t>
      </w:r>
      <w:r>
        <w:t>i</w:t>
      </w:r>
      <w:r>
        <w:t>quen directamente la Convención en sus dictámenes sí refleja una falta de conocimiento y capacidad. Para re</w:t>
      </w:r>
      <w:r>
        <w:t>c</w:t>
      </w:r>
      <w:r>
        <w:t>tificar esa situación, el Gobierno está adoptando disp</w:t>
      </w:r>
      <w:r>
        <w:t>o</w:t>
      </w:r>
      <w:r>
        <w:t>siciones para impartir formación a los jueces y abog</w:t>
      </w:r>
      <w:r>
        <w:t>a</w:t>
      </w:r>
      <w:r>
        <w:t>dos sobre la Convención y la legislación nacional en relación con la discriminación contra la mujer. Actua</w:t>
      </w:r>
      <w:r>
        <w:t>l</w:t>
      </w:r>
      <w:r>
        <w:t>mente se imparte formación a los fiscales en relación con los casos de violencia doméstica, por eje</w:t>
      </w:r>
      <w:r>
        <w:t>m</w:t>
      </w:r>
      <w:r>
        <w:t>plo. Además, se llevan a cabo actividades, particula</w:t>
      </w:r>
      <w:r>
        <w:t>r</w:t>
      </w:r>
      <w:r>
        <w:t>mente en colaboración con las ONG, para difundir inform</w:t>
      </w:r>
      <w:r>
        <w:t>a</w:t>
      </w:r>
      <w:r>
        <w:t>ción sobre la Convención entre el público en g</w:t>
      </w:r>
      <w:r>
        <w:t>e</w:t>
      </w:r>
      <w:r>
        <w:t>neral.</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Es cierto que las actuaciones judiciales pueden ser muy prolongadas. El Gobierno está pasando por un proceso de reforma judicial encaminado a mejorar la sensibilización del sistema judicial, con lo cual los c</w:t>
      </w:r>
      <w:r>
        <w:t>a</w:t>
      </w:r>
      <w:r>
        <w:t xml:space="preserve">boverdianos podrán recurrir a otros métodos de </w:t>
      </w:r>
      <w:r w:rsidRPr="0095664E">
        <w:rPr>
          <w:spacing w:val="2"/>
        </w:rPr>
        <w:t>sol</w:t>
      </w:r>
      <w:r w:rsidRPr="0095664E">
        <w:rPr>
          <w:spacing w:val="2"/>
        </w:rPr>
        <w:t>u</w:t>
      </w:r>
      <w:r w:rsidRPr="0095664E">
        <w:rPr>
          <w:spacing w:val="2"/>
        </w:rPr>
        <w:t>ción de conflictos, tales como el arbitraje, la mediación y los centros jurídicos. En el marco del sistema de ay</w:t>
      </w:r>
      <w:r w:rsidRPr="0095664E">
        <w:rPr>
          <w:spacing w:val="2"/>
        </w:rPr>
        <w:t>u</w:t>
      </w:r>
      <w:r w:rsidRPr="0095664E">
        <w:rPr>
          <w:spacing w:val="2"/>
        </w:rPr>
        <w:t>da jurídica, la asistencia letrada, sufragada por el G</w:t>
      </w:r>
      <w:r w:rsidRPr="0095664E">
        <w:rPr>
          <w:spacing w:val="2"/>
        </w:rPr>
        <w:t>o</w:t>
      </w:r>
      <w:r w:rsidRPr="0095664E">
        <w:rPr>
          <w:spacing w:val="2"/>
        </w:rPr>
        <w:t>bierno y a cargo de abogados especializados, es gratu</w:t>
      </w:r>
      <w:r w:rsidRPr="0095664E">
        <w:rPr>
          <w:spacing w:val="2"/>
        </w:rPr>
        <w:t>i</w:t>
      </w:r>
      <w:r w:rsidRPr="0095664E">
        <w:rPr>
          <w:spacing w:val="2"/>
        </w:rPr>
        <w:t>ta para los grupos de población desfavorecidos, inclu</w:t>
      </w:r>
      <w:r w:rsidRPr="0095664E">
        <w:rPr>
          <w:spacing w:val="2"/>
        </w:rPr>
        <w:t>i</w:t>
      </w:r>
      <w:r w:rsidRPr="0095664E">
        <w:rPr>
          <w:spacing w:val="2"/>
        </w:rPr>
        <w:t>das las mujeres. Lamentablemente, la oradora no di</w:t>
      </w:r>
      <w:r w:rsidRPr="0095664E">
        <w:rPr>
          <w:spacing w:val="2"/>
        </w:rPr>
        <w:t>s</w:t>
      </w:r>
      <w:r w:rsidRPr="0095664E">
        <w:rPr>
          <w:spacing w:val="2"/>
        </w:rPr>
        <w:t>pone de las estadísticas solicitadas por el Comité sobre el número y tipo de casos. Eso se debe</w:t>
      </w:r>
      <w:r>
        <w:t xml:space="preserve"> a las deficie</w:t>
      </w:r>
      <w:r>
        <w:t>n</w:t>
      </w:r>
      <w:r>
        <w:t>cias en el sistema nacional de estadísticas que, al igual que las demás instituciones nacionales, aún está cons</w:t>
      </w:r>
      <w:r>
        <w:t>o</w:t>
      </w:r>
      <w:r>
        <w:t>lidándose.</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La Comisión Nacional para los Derechos Hum</w:t>
      </w:r>
      <w:r>
        <w:t>a</w:t>
      </w:r>
      <w:r>
        <w:t>nos y la Ciudadanía está dirigida por una mujer y por lo menos la mitad de sus miembros son mujeres. Ad</w:t>
      </w:r>
      <w:r>
        <w:t>e</w:t>
      </w:r>
      <w:r>
        <w:t>más de las organizaciones del Gobierno, están repr</w:t>
      </w:r>
      <w:r>
        <w:t>e</w:t>
      </w:r>
      <w:r>
        <w:t>sentadas en la Comisión las ONG de mujeres y otras organizaciones de la sociedad civil, sindicatos, asoci</w:t>
      </w:r>
      <w:r>
        <w:t>a</w:t>
      </w:r>
      <w:r>
        <w:t>ciones patronales y partidos políticos.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la definición de discriminación en la Constitución nacional, como su Gobierno ha indic</w:t>
      </w:r>
      <w:r>
        <w:t>a</w:t>
      </w:r>
      <w:r>
        <w:t>do en sus respuestas a la lista de cuestiones y preguntas del Comité (CEDAW/C/CPV/Q/6/Add.1), la propia Constitución estipula que no se dará interpretación re</w:t>
      </w:r>
      <w:r>
        <w:t>s</w:t>
      </w:r>
      <w:r>
        <w:t>trictiva a ninguna de las disposiciones constituci</w:t>
      </w:r>
      <w:r>
        <w:t>o</w:t>
      </w:r>
      <w:r>
        <w:t>nales relativas a los derechos y libertades básicos. Por lo ta</w:t>
      </w:r>
      <w:r>
        <w:t>n</w:t>
      </w:r>
      <w:r>
        <w:t>to, la oradora puede asegurar al Comité que la interpr</w:t>
      </w:r>
      <w:r>
        <w:t>e</w:t>
      </w:r>
      <w:r>
        <w:t>tación de que dan los tribunales al principio de la no discriminación incluye tanto la discriminación directa como la indirecta.</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sidRPr="0095664E">
        <w:rPr>
          <w:spacing w:val="2"/>
        </w:rPr>
        <w:t>El Instituto de Cabo Verde para la Igualdad y Equidad entre los Géneros es administrado indirect</w:t>
      </w:r>
      <w:r w:rsidRPr="0095664E">
        <w:rPr>
          <w:spacing w:val="2"/>
        </w:rPr>
        <w:t>a</w:t>
      </w:r>
      <w:r w:rsidRPr="0095664E">
        <w:rPr>
          <w:spacing w:val="2"/>
        </w:rPr>
        <w:t>mente por el Estado, pero goza de plena autonomía con respecto a su presupuesto y operaciones. El Instituto rinde cuentas al Primer Ministro, quien ha delegado en la oradora la responsabilidad de supervisión. Se gara</w:t>
      </w:r>
      <w:r w:rsidRPr="0095664E">
        <w:rPr>
          <w:spacing w:val="2"/>
        </w:rPr>
        <w:t>n</w:t>
      </w:r>
      <w:r w:rsidRPr="0095664E">
        <w:rPr>
          <w:spacing w:val="2"/>
        </w:rPr>
        <w:t>tiza de ese modo que las cuestiones relativas a la igua</w:t>
      </w:r>
      <w:r w:rsidRPr="0095664E">
        <w:rPr>
          <w:spacing w:val="2"/>
        </w:rPr>
        <w:t>l</w:t>
      </w:r>
      <w:r w:rsidRPr="0095664E">
        <w:rPr>
          <w:spacing w:val="2"/>
        </w:rPr>
        <w:t>dad entre los géneros sean planteadas y examinadas en el Consejo de Ministros.</w:t>
      </w:r>
      <w:r>
        <w:t xml:space="preserve"> Aunque el personal del Inst</w:t>
      </w:r>
      <w:r>
        <w:t>i</w:t>
      </w:r>
      <w:r>
        <w:t>tuto es reducido, trabaja con gran eficacia con las ONG, que están mejor equipadas para llevar a cabo in</w:t>
      </w:r>
      <w:r>
        <w:t>i</w:t>
      </w:r>
      <w:r>
        <w:t>ciativas en el plano local. Ese enfoque es coherente con la opinión del Gobierno de que no puede ni debe part</w:t>
      </w:r>
      <w:r>
        <w:t>i</w:t>
      </w:r>
      <w:r>
        <w:t>cipar en todas las actividades en todos los niveles, y con la iniciativa de reforma estatal que actualmente se aplica, por la que se quiere reducir el tamaño de la e</w:t>
      </w:r>
      <w:r>
        <w:t>s</w:t>
      </w:r>
      <w:r>
        <w:t>tructura de Gobierno y mejorar su eficacia. Además, el Instituto no es el único componente de la maquinaria nacional. Hay también centros de coordinación de cuestiones de género en los diversos ministerios y en el plano local.</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necesita prestar más atención a la supervisión del cumplimiento de sus decisiones de p</w:t>
      </w:r>
      <w:r>
        <w:t>o</w:t>
      </w:r>
      <w:r>
        <w:t>lítica relacionadas con las cuestiones de género. Por ejemplo, el Consejo de Ministros ha aprobado medidas de acción afirmativa encaminadas a mejorar el acceso de la mujer a puestos de trabajo en el sector público, pero se necesita una labor de supervisión para asegurar que esas medidas realmente se apliquen. También es preciso realizar mayores esfuerzos para asegurar la i</w:t>
      </w:r>
      <w:r>
        <w:t>n</w:t>
      </w:r>
      <w:r>
        <w:t>tegración de una perspectiva de género en todas las p</w:t>
      </w:r>
      <w:r>
        <w:t>o</w:t>
      </w:r>
      <w:r>
        <w:t>líticas del Gobierno, no sólo en las que guardan rel</w:t>
      </w:r>
      <w:r>
        <w:t>a</w:t>
      </w:r>
      <w:r>
        <w:t>ción directa con la igualdad entre los géneros.</w:t>
      </w:r>
    </w:p>
    <w:p w:rsidR="0095664E" w:rsidRPr="0095664E" w:rsidRDefault="0095664E" w:rsidP="0095664E">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95664E" w:rsidRDefault="0095664E" w:rsidP="0095664E">
      <w:pPr>
        <w:pStyle w:val="H4"/>
        <w:tabs>
          <w:tab w:val="right" w:pos="360"/>
          <w:tab w:val="left" w:pos="475"/>
          <w:tab w:val="left" w:pos="965"/>
          <w:tab w:val="left" w:pos="1440"/>
          <w:tab w:val="left" w:pos="1915"/>
          <w:tab w:val="left" w:pos="2405"/>
          <w:tab w:val="left" w:pos="2880"/>
          <w:tab w:val="left" w:pos="3355"/>
        </w:tabs>
        <w:ind w:left="475" w:hanging="475"/>
      </w:pPr>
      <w:r>
        <w:t>Artículo 3</w:t>
      </w:r>
    </w:p>
    <w:p w:rsidR="0095664E" w:rsidRDefault="0095664E" w:rsidP="0095664E">
      <w:pPr>
        <w:pStyle w:val="DualTxt"/>
        <w:spacing w:after="0" w:line="120" w:lineRule="exact"/>
        <w:rPr>
          <w:sz w:val="10"/>
        </w:rPr>
      </w:pP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Dairiam</w:t>
      </w:r>
      <w:r>
        <w:t xml:space="preserve"> dice que, si bien entiende las razones de la tardanza del Estado parte en la present</w:t>
      </w:r>
      <w:r>
        <w:t>a</w:t>
      </w:r>
      <w:r>
        <w:t>ción de su informe inicial, le preocupa que esa tardanza en la presentación de informes signifique también una demora en la aplicación de las disposiciones de la Convención. La delegación ha asegurado al Comité que se han introducido reformas legales y que se han elim</w:t>
      </w:r>
      <w:r>
        <w:t>i</w:t>
      </w:r>
      <w:r>
        <w:t>nado numerosas formas de discriminación en los años transcurridos desde que el país alcanzara su indepe</w:t>
      </w:r>
      <w:r>
        <w:t>n</w:t>
      </w:r>
      <w:r>
        <w:t>dencia. Sin embargo, el informe parece indicar que aunque por ley se haya otorgado igualdad a la mujer, en la práctica no necesariamente goza de igualdad en muchos aspectos de su vida, lo que constituye el obj</w:t>
      </w:r>
      <w:r>
        <w:t>e</w:t>
      </w:r>
      <w:r>
        <w:t>tivo ulterior de la Convención. No obstante, complace a la oradora saber que se están alcanzando ciertos pr</w:t>
      </w:r>
      <w:r>
        <w:t>o</w:t>
      </w:r>
      <w:r>
        <w:t>gresos en el camino hacia la igualdad entre los géneros.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En el informe se indica que el Plan de Acción Nacional para el Adelanto de la Mujer, 1996-2000, no ha tenido el éxito que se esperaba en términos de la i</w:t>
      </w:r>
      <w:r>
        <w:t>n</w:t>
      </w:r>
      <w:r>
        <w:t>tegración de una perspectiva de género. Desea saber cuáles han sido los principales obstáculos. También d</w:t>
      </w:r>
      <w:r>
        <w:t>e</w:t>
      </w:r>
      <w:r>
        <w:t>sea saber quiénes son los encargados de la integración de la perspectiva de género en el sector público. ¿Se ocupa de esa labor el Instituto de Cabo Verde para la Igualdad y Equidad entre los Géneros, o es una respo</w:t>
      </w:r>
      <w:r>
        <w:t>n</w:t>
      </w:r>
      <w:r>
        <w:t>sabilidad que se comparte entre todos los ministerios? Si éste último fuera el caso, ¿qué arreglos institucion</w:t>
      </w:r>
      <w:r>
        <w:t>a</w:t>
      </w:r>
      <w:r>
        <w:t>les existen con ese propósito?</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Tavares da Silva</w:t>
      </w:r>
      <w:r>
        <w:t xml:space="preserve"> también pide aclar</w:t>
      </w:r>
      <w:r>
        <w:t>a</w:t>
      </w:r>
      <w:r>
        <w:t>ciones sobre el Plan de Acción Nacional para el Ad</w:t>
      </w:r>
      <w:r>
        <w:t>e</w:t>
      </w:r>
      <w:r>
        <w:t>lanto de la Mujer, 1996-2000, y sus prioridades. ¿C</w:t>
      </w:r>
      <w:r>
        <w:t>ó</w:t>
      </w:r>
      <w:r>
        <w:t>mo ha funcionado la estrategia de integración de la perspectiva de género y qué tipo de evaluaciones se han efectuado? Refiriéndose al nuevo título del plan de acción, es decir, Plan Nacional para la Igualdad y Equidad entre los Géneros, recuerda que la meta de c</w:t>
      </w:r>
      <w:r>
        <w:t>a</w:t>
      </w:r>
      <w:r>
        <w:t>rácter objetivo de la Convención es la igualdad entre los géneros, mientras que la equidad es un concepto subjetivo. ¿Cuáles son las prioridades y metas del Plan, y cómo se evaluarán los progresos hacia la igualdad?</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Zou </w:t>
      </w:r>
      <w:r>
        <w:t>Xiaoqiao pide aclaraciones sobre el estatuto y la autoridad del Instituto de Cabo Verde para la Igualdad y Equidad entre los Géneros. ¿Tiene capacidad para influir en la política del Gobierno, y tiene previsto el Gobierno fortalecer su estatuto y sus recu</w:t>
      </w:r>
      <w:r>
        <w:t>r</w:t>
      </w:r>
      <w:r>
        <w:t>sos?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Shin</w:t>
      </w:r>
      <w:r>
        <w:t xml:space="preserve"> también desea más información s</w:t>
      </w:r>
      <w:r>
        <w:t>o</w:t>
      </w:r>
      <w:r>
        <w:t>bre los recursos humanos y financieros del Instituto. ¿Existen planes para aumentar su dotación de pers</w:t>
      </w:r>
      <w:r>
        <w:t>o</w:t>
      </w:r>
      <w:r>
        <w:t>nal? Dado que las tres cuartas partes de su presupuesto provienen de organismos donantes internacionales, ¿son sostenibles sus ingresos? ¿Se han recibido ya los fondos necesarios para el año en curso? La oradora pregunta si el Instituto para la Igualdad y Equidad e</w:t>
      </w:r>
      <w:r>
        <w:t>n</w:t>
      </w:r>
      <w:r>
        <w:t>tre los Géneros trabaja con el Instituto Nacional de E</w:t>
      </w:r>
      <w:r>
        <w:t>s</w:t>
      </w:r>
      <w:r>
        <w:t>tadísticas para asegurar que se reúnan y presenten d</w:t>
      </w:r>
      <w:r>
        <w:t>a</w:t>
      </w:r>
      <w:r>
        <w:t>tos oficiales desde una perspectiva de género.</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Saiga</w:t>
      </w:r>
      <w:r>
        <w:t xml:space="preserve"> pregunta si las ONG de mujeres, que parecen actuar como la rama operativa del Instituto para la Igualdad y Equidad entre los Géneros, reciben financiamiento del Estado u otro tipo de ayuda.</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Rodrigues</w:t>
      </w:r>
      <w:r>
        <w:t xml:space="preserve"> (Cabo Verde) dice que la ef</w:t>
      </w:r>
      <w:r>
        <w:t>i</w:t>
      </w:r>
      <w:r>
        <w:t>cacia del Plan de Acción Nacional para el Adelanto de la Mujer se vio limitada por la inexperiencia y la falta de financiamiento del Instituto Nacional de la Cond</w:t>
      </w:r>
      <w:r>
        <w:t>i</w:t>
      </w:r>
      <w:r>
        <w:t>ción Femenina, predecesor del Instituto para la Igua</w:t>
      </w:r>
      <w:r>
        <w:t>l</w:t>
      </w:r>
      <w:r>
        <w:t>dad y Equidad entre los Géneros creado en 1994. Sin embargo, el Plan Nacional para la Igualdad y Equidad entre los Géneros tiene su propio presupuesto, una e</w:t>
      </w:r>
      <w:r>
        <w:t>s</w:t>
      </w:r>
      <w:r>
        <w:t>tructura de planificación viable y una matriz de indic</w:t>
      </w:r>
      <w:r>
        <w:t>a</w:t>
      </w:r>
      <w:r>
        <w:t>dores para evaluar el progreso. En opinión del Gobie</w:t>
      </w:r>
      <w:r>
        <w:t>r</w:t>
      </w:r>
      <w:r>
        <w:t>no, es necesario aplicar un doble enfoque para prom</w:t>
      </w:r>
      <w:r>
        <w:t>o</w:t>
      </w:r>
      <w:r>
        <w:t>ver la igualdad de derechos, ya que la equidad entre los géneros, que se logra a través del progreso práctico h</w:t>
      </w:r>
      <w:r>
        <w:t>a</w:t>
      </w:r>
      <w:r>
        <w:t>cia la igualdad de oportunidades, es un requisito previo de la igualdad entre los géneros. Por otro lado, el Fo</w:t>
      </w:r>
      <w:r>
        <w:t>n</w:t>
      </w:r>
      <w:r>
        <w:t>do de Población de las Naciones Unidas (UNFPA) ha recomendado que el Gobierno adopte ese tipo de enf</w:t>
      </w:r>
      <w:r>
        <w:t>o</w:t>
      </w:r>
      <w:r>
        <w:t>que. El éxito alcanzado en la paridad entre los géneros en el sector de la educación, en comparación con la fa</w:t>
      </w:r>
      <w:r>
        <w:t>l</w:t>
      </w:r>
      <w:r>
        <w:t>ta de buenos resultados en la supresión de los estere</w:t>
      </w:r>
      <w:r>
        <w:t>o</w:t>
      </w:r>
      <w:r>
        <w:t>tipos de género en el sector de la política en Cabo Ve</w:t>
      </w:r>
      <w:r>
        <w:t>r</w:t>
      </w:r>
      <w:r>
        <w:t>de, demuestra, por ejemplo, la necesidad de abordar los aspectos socioculturales, además de las oportunid</w:t>
      </w:r>
      <w:r>
        <w:t>a</w:t>
      </w:r>
      <w:r>
        <w:t>des económicas o medidas específicas para combatir la violencia. Teniendo en cuenta las numerosas necesid</w:t>
      </w:r>
      <w:r>
        <w:t>a</w:t>
      </w:r>
      <w:r>
        <w:t>des que es necesario atender, el financiamiento del In</w:t>
      </w:r>
      <w:r>
        <w:t>s</w:t>
      </w:r>
      <w:r>
        <w:t>tituto nunca es suficiente, pero está intentando enco</w:t>
      </w:r>
      <w:r>
        <w:t>n</w:t>
      </w:r>
      <w:r>
        <w:t>trar otras fuentes además del UNFPA, el PNUD y el Banco Mundial. Recientemente se efectuó la contrat</w:t>
      </w:r>
      <w:r>
        <w:t>a</w:t>
      </w:r>
      <w:r>
        <w:t>ción de tres nuevos miembros del personal del Instit</w:t>
      </w:r>
      <w:r>
        <w:t>u</w:t>
      </w:r>
      <w:r>
        <w:t>to, que trabajarán en los ámbitos de las comunicaci</w:t>
      </w:r>
      <w:r>
        <w:t>o</w:t>
      </w:r>
      <w:r>
        <w:t>nes, la violencia contra la mujer y el VIH/SIDA, y se espera alcanzar pronto una situación de plantilla completa.</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Pires</w:t>
      </w:r>
      <w:r>
        <w:t xml:space="preserve"> (Cabo Verde) dice que todos los i</w:t>
      </w:r>
      <w:r>
        <w:t>n</w:t>
      </w:r>
      <w:r>
        <w:t>terlocutores nacionales e internacionales de Cabo Ve</w:t>
      </w:r>
      <w:r>
        <w:t>r</w:t>
      </w:r>
      <w:r>
        <w:t>de participan plenamente en el proceso de elaboración del documento de estrategia de lucha contra la pobreza (DELP), creado por el Banco Mundial y otros organi</w:t>
      </w:r>
      <w:r>
        <w:t>s</w:t>
      </w:r>
      <w:r>
        <w:t>mos de las Naciones Unidas. En toda la planificación presupuestaria, incluido el presupuesto nacional de 2006, se tiene en cuenta la perspectiva de género. El Instituto Nacional de Estadísticas se encarga de recop</w:t>
      </w:r>
      <w:r>
        <w:t>i</w:t>
      </w:r>
      <w:r>
        <w:t>lar todos los datos oficiales para la planificación mini</w:t>
      </w:r>
      <w:r>
        <w:t>s</w:t>
      </w:r>
      <w:r>
        <w:t>terial y para el Instituto para la Igualdad y Equidad e</w:t>
      </w:r>
      <w:r>
        <w:t>n</w:t>
      </w:r>
      <w:r>
        <w:t>tre los Géneros. Sin embargo, el reducido tamaño de la población por lo general hace que sea difícil extr</w:t>
      </w:r>
      <w:r>
        <w:t>a</w:t>
      </w:r>
      <w:r>
        <w:t>polar estadísticas fiables de datos relativos a la mortalidad materna, por ejemplo. Los resultados de dos estudios demográficos iniciados en 1998, pero sólo recient</w:t>
      </w:r>
      <w:r>
        <w:t>e</w:t>
      </w:r>
      <w:r>
        <w:t>mente concluidos, serán una fuente de estadísticas s</w:t>
      </w:r>
      <w:r>
        <w:t>o</w:t>
      </w:r>
      <w:r>
        <w:t>bre la situación socioeconómica, específicamente en relación con la salud, la educación y la violencia contra la mujer. Entre otras cosas, demuestran que la situación de penuria de la mujer de las zonas rurales se ha al</w:t>
      </w:r>
      <w:r>
        <w:t>i</w:t>
      </w:r>
      <w:r>
        <w:t>viado considerablemente, gracias a un aumento de las inversiones.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Lima</w:t>
      </w:r>
      <w:r>
        <w:t xml:space="preserve"> (Cabo Verde) dice que, aunque Cabo Verde presentó con tardanza su informe inicial, ha estado aplicando plenamente la Convención. Se han alcanzado notables progresos en la igualdad entre los géneros, como se indica en un documento de 2004 de las Naciones Unidas sobre los progresos alcanzados en la consecución de los Objetivos de Desarrollo del M</w:t>
      </w:r>
      <w:r>
        <w:t>i</w:t>
      </w:r>
      <w:r>
        <w:t>lenio. El producto nacional bruto aumentó consider</w:t>
      </w:r>
      <w:r>
        <w:t>a</w:t>
      </w:r>
      <w:r>
        <w:t>blemente en los últimos años, y en 2004 el Consejo Económico y Social recomendó que se retirara a Cabo Verde de la lista de países menos adelantados. El G</w:t>
      </w:r>
      <w:r>
        <w:t>o</w:t>
      </w:r>
      <w:r>
        <w:t>bierno considera que el desarrollo social y económico del país garantizará el progreso en el ámbito de los d</w:t>
      </w:r>
      <w:r>
        <w:t>e</w:t>
      </w:r>
      <w:r>
        <w:t>rechos humanos en general, y en el de los derechos de la mujer en particular. Sin embargo, las repercusiones del crecimiento económico sobre el hombre y la mujer son distintas: hay menos mujeres que hombres en s</w:t>
      </w:r>
      <w:r>
        <w:t>i</w:t>
      </w:r>
      <w:r>
        <w:t>tuación de desempleo, aunque la mujer sigue siendo más pobre que el hombre. Muchos hombres han em</w:t>
      </w:r>
      <w:r>
        <w:t>i</w:t>
      </w:r>
      <w:r>
        <w:t>grado pero sus remesas benefician a las familias enc</w:t>
      </w:r>
      <w:r>
        <w:t>a</w:t>
      </w:r>
      <w:r>
        <w:t>bezadas por mujeres.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Aunque no se han introducido cuotas, el Gobie</w:t>
      </w:r>
      <w:r>
        <w:t>r</w:t>
      </w:r>
      <w:r>
        <w:t>no ha estado aplicando sistemáticamente una discrim</w:t>
      </w:r>
      <w:r>
        <w:t>i</w:t>
      </w:r>
      <w:r>
        <w:t>nación positiva. No siendo ya necesaria en la esfera de la educación secundaria puesto que las niñas ahora ti</w:t>
      </w:r>
      <w:r>
        <w:t>e</w:t>
      </w:r>
      <w:r>
        <w:t>nen un rendimiento académico superior al de los niños, la política se está aplicando en la contratación en el servicio civil, en campañas de alfabetización y en el otorgamiento de microcréditos para creación de trabajo en las zonas rurales. Por lo tanto, el Plan Nacional para la Igualdad y Equidad entre los Géneros no sólo se ocupa de cuestiones como la violencia contra la mujer sino también de la igualdad de oportunidades económ</w:t>
      </w:r>
      <w:r>
        <w:t>i</w:t>
      </w:r>
      <w:r>
        <w:t>cas para ambos sexos. En cuanto al estatuto del Instit</w:t>
      </w:r>
      <w:r>
        <w:t>u</w:t>
      </w:r>
      <w:r>
        <w:t>to para la Igualdad y Equidad entre los Géneros, au</w:t>
      </w:r>
      <w:r>
        <w:t>n</w:t>
      </w:r>
      <w:r>
        <w:t>que disfruta de un cierto grado de autonomía pres</w:t>
      </w:r>
      <w:r>
        <w:t>u</w:t>
      </w:r>
      <w:r>
        <w:t>puestaria, es parte de la maquinaria del Estado y rinde cuentas directamente a la Oficina del Primer Ministro. Pese a que se están realizando esfuerzos para aumentar sus recursos humanos, el Instituto también funcionará mediante la creación de redes de contacto. El personal actúa como un núcleo central, mientras que el fina</w:t>
      </w:r>
      <w:r>
        <w:t>n</w:t>
      </w:r>
      <w:r>
        <w:t>ciamiento y algunas otras operaciones están a cargo de las ONG y otros organismos.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La estrategia del Gobierno sobre la integración de la perspectiva de género ha sido supervisada por el In</w:t>
      </w:r>
      <w:r>
        <w:t>s</w:t>
      </w:r>
      <w:r>
        <w:t>tituto para la Igualdad y Equidad entre los Géneros, con apoyo de los centros de coordinación nacionales y una red de ministros y mujeres miembros del Parl</w:t>
      </w:r>
      <w:r>
        <w:t>a</w:t>
      </w:r>
      <w:r>
        <w:t>mento, que han ofrecido seminarios sobre la integr</w:t>
      </w:r>
      <w:r>
        <w:t>a</w:t>
      </w:r>
      <w:r>
        <w:t>ción de la perspectiva de género en la planificación presupuestaria y otras esferas. La estrategia no ha sido del todo satisfactoria y se emprenderán nuevas activ</w:t>
      </w:r>
      <w:r>
        <w:t>i</w:t>
      </w:r>
      <w:r>
        <w:t>dades en el futuro.</w:t>
      </w:r>
    </w:p>
    <w:p w:rsidR="000105BE" w:rsidRPr="000105BE" w:rsidRDefault="000105BE" w:rsidP="000105BE">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95664E" w:rsidRDefault="0095664E" w:rsidP="0095664E">
      <w:pPr>
        <w:pStyle w:val="H4"/>
        <w:tabs>
          <w:tab w:val="right" w:pos="360"/>
          <w:tab w:val="left" w:pos="475"/>
          <w:tab w:val="left" w:pos="965"/>
          <w:tab w:val="left" w:pos="1440"/>
          <w:tab w:val="left" w:pos="1915"/>
          <w:tab w:val="left" w:pos="2405"/>
          <w:tab w:val="left" w:pos="2880"/>
          <w:tab w:val="left" w:pos="3355"/>
        </w:tabs>
        <w:ind w:left="475" w:hanging="475"/>
      </w:pPr>
      <w:r>
        <w:t>Artículos 5 y 6</w:t>
      </w:r>
    </w:p>
    <w:p w:rsidR="0095664E" w:rsidRDefault="0095664E" w:rsidP="0095664E">
      <w:pPr>
        <w:pStyle w:val="DualTxt"/>
        <w:spacing w:after="0" w:line="120" w:lineRule="exact"/>
        <w:rPr>
          <w:sz w:val="10"/>
        </w:rPr>
      </w:pP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Arocha Domínguez</w:t>
      </w:r>
      <w:r>
        <w:t xml:space="preserve"> pregunta qué med</w:t>
      </w:r>
      <w:r>
        <w:t>i</w:t>
      </w:r>
      <w:r>
        <w:t>das se están adoptando para asegurar que los educad</w:t>
      </w:r>
      <w:r>
        <w:t>o</w:t>
      </w:r>
      <w:r>
        <w:t>res apliquen conscientemente los valores de la igualdad entre los géneros en los programas de educación. ¿Hay casos en la sociedad caboverdiana de discriminación por el color de la piel? Pide más información sobre las medidas que se han adoptado para prevenir la violencia contra la mujer.</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Coker-Appiah</w:t>
      </w:r>
      <w:r>
        <w:t xml:space="preserve"> desea saber qué medidas se están adoptando para eliminar los estereotipos de género de los libros de texto escolares. ¿Existen pr</w:t>
      </w:r>
      <w:r>
        <w:t>o</w:t>
      </w:r>
      <w:r>
        <w:t xml:space="preserve">gramas para promover un cambio de actitud en los </w:t>
      </w:r>
      <w:r w:rsidRPr="000105BE">
        <w:rPr>
          <w:spacing w:val="2"/>
        </w:rPr>
        <w:t>hombres y jóvenes en cuanto a la situación y la función de la mujer en la sociedad? Con respecto a la violencia doméstica, el informe periódico (CEDAW/C/CPV/1-6) da a entender que el machismo es más común entre los grupos desfavorecidos. ¿Se ha realizado algún estudio nacional exhaustivo sobre los factores socioeconóm</w:t>
      </w:r>
      <w:r w:rsidRPr="000105BE">
        <w:rPr>
          <w:spacing w:val="2"/>
        </w:rPr>
        <w:t>i</w:t>
      </w:r>
      <w:r w:rsidRPr="000105BE">
        <w:rPr>
          <w:spacing w:val="2"/>
        </w:rPr>
        <w:t>cos de la violencia doméstica, y si es así, cuáles fueron sus conclusiones</w:t>
      </w:r>
      <w:r>
        <w:t>?</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Zou </w:t>
      </w:r>
      <w:r>
        <w:t>Xiaoqiao pregunta si el régimen de asistencia jurídica para las víctimas de la violencia doméstica es fácilmente accesible, inclusive para la mujer de las zonas rurales, y si es totalmente gratuito. Con respecto al centro de acogida especial para las ví</w:t>
      </w:r>
      <w:r>
        <w:t>c</w:t>
      </w:r>
      <w:r>
        <w:t>timas de la violencia doméstica en el hospital Ago</w:t>
      </w:r>
      <w:r>
        <w:t>s</w:t>
      </w:r>
      <w:r>
        <w:t>tinho Neto en Praia, ¿cuántas personas ha recibido ayuda allí, es un servicio gratuito, y cómo se financia el centro? Pregunta si hay una definición oficial de la violencia doméstica. ¿Existe una ley específica sobre la violencia doméstica, o hay planes para establecerla?</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Simms</w:t>
      </w:r>
      <w:r>
        <w:t>, señalando que las sanciones aplicables a los actos de violación son más severas si la violación da como resultado un embarazo o la transm</w:t>
      </w:r>
      <w:r>
        <w:t>i</w:t>
      </w:r>
      <w:r>
        <w:t>sión de una enfermedad, pregunta si tal vez esas disp</w:t>
      </w:r>
      <w:r>
        <w:t>o</w:t>
      </w:r>
      <w:r>
        <w:t>siciones sólo sirven para alentar a los violadores a ut</w:t>
      </w:r>
      <w:r>
        <w:t>i</w:t>
      </w:r>
      <w:r>
        <w:t>lizar preservativos. Con respecto al atentado contra el pudor, en el informe se mencionan una serie de categ</w:t>
      </w:r>
      <w:r>
        <w:t>o</w:t>
      </w:r>
      <w:r>
        <w:t>rías de culpables que enfrentan penas más severas por ese tipo de atentados. Sin embargo, no se menci</w:t>
      </w:r>
      <w:r>
        <w:t>o</w:t>
      </w:r>
      <w:r>
        <w:t>na específicamente a los padres. Dado que muchas m</w:t>
      </w:r>
      <w:r>
        <w:t>u</w:t>
      </w:r>
      <w:r>
        <w:t>jeres que ejercen la prostitución han sido víctimas de incesto, desea saber si el incesto está tipificado como delito en Cabo Verde. También expresa inquietud por el hecho de que algunas prostitutas apenas han cumplido 13 años. Se necesita hacer un análisis mucho más e</w:t>
      </w:r>
      <w:r>
        <w:t>x</w:t>
      </w:r>
      <w:r>
        <w:t>haustivo de la cuestión de la prostitución en general. Señalando la intención del Gobierno de promover el t</w:t>
      </w:r>
      <w:r>
        <w:t>u</w:t>
      </w:r>
      <w:r>
        <w:t>rismo, dice que el desarrollo de ese sector casi siempre lleva aparejado un aumento de la prostitución. Le co</w:t>
      </w:r>
      <w:r>
        <w:t>m</w:t>
      </w:r>
      <w:r>
        <w:t>place observar que el marido puede ser procesado jud</w:t>
      </w:r>
      <w:r>
        <w:t>i</w:t>
      </w:r>
      <w:r>
        <w:t>cialmente por la explotación de la esposa y pide más información sobre las penas que se imponen por ese t</w:t>
      </w:r>
      <w:r>
        <w:t>i</w:t>
      </w:r>
      <w:r>
        <w:t>po de delito.</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Morvai</w:t>
      </w:r>
      <w:r>
        <w:t xml:space="preserve"> encuentra muy perturbador el hecho de que algunas prostitutas sólo tengan 13 o 14 años. Además, el concepto de prostitución “forzada” supone que, en algunos casos, la prostitución es una l</w:t>
      </w:r>
      <w:r>
        <w:t>i</w:t>
      </w:r>
      <w:r>
        <w:t>bre opción. Cuestiona la validez de esa distinción, pa</w:t>
      </w:r>
      <w:r>
        <w:t>r</w:t>
      </w:r>
      <w:r>
        <w:t>ticularmente en el caso de niños, ya que de ningún m</w:t>
      </w:r>
      <w:r>
        <w:t>o</w:t>
      </w:r>
      <w:r>
        <w:t>do puede suponerse que hayan elegido libremente i</w:t>
      </w:r>
      <w:r>
        <w:t>n</w:t>
      </w:r>
      <w:r>
        <w:t>gresar en la prostitución. Además, es un hecho conoc</w:t>
      </w:r>
      <w:r>
        <w:t>i</w:t>
      </w:r>
      <w:r>
        <w:t>do que los menores que ejercen la prostitución tienden a hacerlo también en la vida adulta. Alienta al Estado parte a consultar la literatura internacional sobre estr</w:t>
      </w:r>
      <w:r>
        <w:t>a</w:t>
      </w:r>
      <w:r>
        <w:t>tegias para luchar contra el problema de la prostit</w:t>
      </w:r>
      <w:r>
        <w:t>u</w:t>
      </w:r>
      <w:r>
        <w:t>ción. Observando que la información que se proporci</w:t>
      </w:r>
      <w:r>
        <w:t>o</w:t>
      </w:r>
      <w:r>
        <w:t>na en el informe sobre la legislación penal contra la trata de personas sólo se refiere a la trata de menores, pregunta si las mujeres también están comprendidas en la legislación. Por último, pregunta si el Estado parte tiene una estrategia de amplio alcance para abordar los problemas de la prostitución y la trata de personas.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Rodrigues</w:t>
      </w:r>
      <w:r>
        <w:t xml:space="preserve"> (Cabo Verde), refiriéndose a la pregunta sobre el artículo 5, dice que desde 2002 existe un programa para la formación de maestros en relación con las cuestiones de género. El tema también está incorporado en las clases sobre educación social y personal. Además, el tema general de los derechos h</w:t>
      </w:r>
      <w:r>
        <w:t>u</w:t>
      </w:r>
      <w:r>
        <w:t>manos, incluida la igualdad entre los géneros, pronto se incorporará en los programas de estudio en todos los niveles del sistema educacional.</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No existe discriminación contra las personas por el color de la piel. La tolerancia racial forma parte del carácter de los caboverdianos, parcialmente como r</w:t>
      </w:r>
      <w:r>
        <w:t>e</w:t>
      </w:r>
      <w:r>
        <w:t>sultado de la discriminación sufrida bajo el coloniali</w:t>
      </w:r>
      <w:r>
        <w:t>s</w:t>
      </w:r>
      <w:r>
        <w:t>mo, y el nivel de integración social es elevado, ind</w:t>
      </w:r>
      <w:r>
        <w:t>e</w:t>
      </w:r>
      <w:r>
        <w:t>pendientemente del color de la piel. Un gran porcentaje de la población es de raza mixta.</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Recientemente se han iniciado investigaciones sobre el problema de la violencia contra la mujer. Aún no se dispone de conclusiones detalladas sobre los fa</w:t>
      </w:r>
      <w:r>
        <w:t>c</w:t>
      </w:r>
      <w:r>
        <w:t>tores socioeconómicos que dan origen a la violencia, aunque se sabe que no sólo las mujeres de escasos r</w:t>
      </w:r>
      <w:r>
        <w:t>e</w:t>
      </w:r>
      <w:r>
        <w:t>cursos son víctimas. Se están aplicando programas para combatir el problema. Los esfuerzos inicialmente se centraron en la atención de las necesidades inm</w:t>
      </w:r>
      <w:r>
        <w:t>e</w:t>
      </w:r>
      <w:r>
        <w:t>diatas de las víctimas. Sin embargo, se está prestando ahora mayor atención a las causas de la violencia contra la mujer para atacar el problema de raíz con medidas pr</w:t>
      </w:r>
      <w:r>
        <w:t>e</w:t>
      </w:r>
      <w:r>
        <w:t>ventivas. Se ha elaborado un plan nacional s</w:t>
      </w:r>
      <w:r>
        <w:t>o</w:t>
      </w:r>
      <w:r>
        <w:t>bre la violencia de género, que apunta principalmente a la prestación de apoyo a las víctimas, al tratamiento y a la rehabilitación de los autores de esos actos, así como a la prevención de la violencia a través de un cambio de actitudes y comportamientos. Parte del financi</w:t>
      </w:r>
      <w:r>
        <w:t>a</w:t>
      </w:r>
      <w:r>
        <w:t>miento para el plan nacional se ha obtenido ya de las Naciones Unidas, y se espera recibir más fondos del Banco Mundial. Sin embargo, será necesario continuar bu</w:t>
      </w:r>
      <w:r>
        <w:t>s</w:t>
      </w:r>
      <w:r>
        <w:t xml:space="preserve">cando otras fuentes de financiamiento. </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Está en marcha un proyecto piloto para la elim</w:t>
      </w:r>
      <w:r>
        <w:t>i</w:t>
      </w:r>
      <w:r>
        <w:t>nación de los estereotipos en los libros de las escuelas primarias y secundarias. Los nuevos libros empezarán a utilizarse el próximo año.</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la labor de nivel popular que ll</w:t>
      </w:r>
      <w:r>
        <w:t>e</w:t>
      </w:r>
      <w:r>
        <w:t>van a cabo las ONG, hay pocos programas encamin</w:t>
      </w:r>
      <w:r>
        <w:t>a</w:t>
      </w:r>
      <w:r>
        <w:t>dos a mejorar la concienciación sobre las cuestiones de género entre los hombres y jóvenes concretamente. El enfoque general consiste en tratar de alcanzar la igua</w:t>
      </w:r>
      <w:r>
        <w:t>l</w:t>
      </w:r>
      <w:r>
        <w:t>dad de participación de hombres y mujeres en esos e</w:t>
      </w:r>
      <w:r>
        <w:t>s</w:t>
      </w:r>
      <w:r>
        <w:t>fuerzos de concienciación. Sin embargo, una ONG ha iniciado un programa dirigido especialmente a los hombres en los establecimientos militares.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Lima</w:t>
      </w:r>
      <w:r>
        <w:t xml:space="preserve"> (Cabo Verde) dice que en el marco de un procedimiento recientemente introducido para combatir la violencia doméstica, los tribunales pueden ordenar al acusado que abandone el domicilio común.</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 xml:space="preserve">La lucha contra los estereotipos sigue siendo un importante desafío. Cabo Verde recibirá ayuda de la Comisión Económica para África (CEPA) con esos </w:t>
      </w:r>
      <w:r w:rsidRPr="000105BE">
        <w:rPr>
          <w:spacing w:val="2"/>
        </w:rPr>
        <w:t>f</w:t>
      </w:r>
      <w:r w:rsidRPr="000105BE">
        <w:rPr>
          <w:spacing w:val="2"/>
        </w:rPr>
        <w:t>i</w:t>
      </w:r>
      <w:r w:rsidRPr="000105BE">
        <w:rPr>
          <w:spacing w:val="2"/>
        </w:rPr>
        <w:t>nes. A pesar de la paridad en el número de niños y n</w:t>
      </w:r>
      <w:r w:rsidRPr="000105BE">
        <w:rPr>
          <w:spacing w:val="2"/>
        </w:rPr>
        <w:t>i</w:t>
      </w:r>
      <w:r w:rsidRPr="000105BE">
        <w:rPr>
          <w:spacing w:val="2"/>
        </w:rPr>
        <w:t>ñas en las escuelas primarias, y al hecho de que haya más niñas que niños en las escuelas secundarias y en las universidades, persisten las actitudes estereotip</w:t>
      </w:r>
      <w:r w:rsidRPr="000105BE">
        <w:rPr>
          <w:spacing w:val="2"/>
        </w:rPr>
        <w:t>a</w:t>
      </w:r>
      <w:r w:rsidRPr="000105BE">
        <w:rPr>
          <w:spacing w:val="2"/>
        </w:rPr>
        <w:t>das, inclusive entre las propias mujeres. Por lo tanto, es necesario buscar también los medios de luchar contra los estereotipos fuera del sistema educacional. Le complace observar la activa participación de las</w:t>
      </w:r>
      <w:r>
        <w:t xml:space="preserve"> niñas en el recientemente establecido Parlamento de los N</w:t>
      </w:r>
      <w:r>
        <w:t>i</w:t>
      </w:r>
      <w:r>
        <w:t>ños.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El sistema de asistencia legal es gratuito. Ad</w:t>
      </w:r>
      <w:r>
        <w:t>e</w:t>
      </w:r>
      <w:r>
        <w:t>más, existe un programa financiado por el Banco Mu</w:t>
      </w:r>
      <w:r>
        <w:t>n</w:t>
      </w:r>
      <w:r>
        <w:t>dial que asegura que las personas de escasos recursos de las zonas rurales y urbanas, especialmente las muj</w:t>
      </w:r>
      <w:r>
        <w:t>e</w:t>
      </w:r>
      <w:r>
        <w:t>res, tengan acceso a la justicia. Una ley promulgada en 2005 también garantiza el derecho a la representación legal, que es sufragada por el Estado si la persona que necesita ser representada no puede costear dicho serv</w:t>
      </w:r>
      <w:r>
        <w:t>i</w:t>
      </w:r>
      <w:r>
        <w:t>cio, y que se está aplicando gradualmente en todo el país.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admite que se necesita más inform</w:t>
      </w:r>
      <w:r>
        <w:t>a</w:t>
      </w:r>
      <w:r>
        <w:t>ción de carácter amplio, incluidos indicadores, con re</w:t>
      </w:r>
      <w:r>
        <w:t>s</w:t>
      </w:r>
      <w:r>
        <w:t>pecto a la prostitución. Se han efectuado estudios desde la presentación del informe y se espera que sus result</w:t>
      </w:r>
      <w:r>
        <w:t>a</w:t>
      </w:r>
      <w:r>
        <w:t>dos puedan servir de base para la adopción de medidas para combatir ese problema. En el próximo informe del Estado parte se ofrecerá información detallada. Las principales causas de la prostitución son la pobreza, la orientación machista de la sociedad y el turismo. Con respecto a los atentados contra el pudor, el padre de la víctima está incluido en la categoría de perpetradores a los que se aplican las penas más sev</w:t>
      </w:r>
      <w:r>
        <w:t>e</w:t>
      </w:r>
      <w:r>
        <w:t>ras.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El centro de acogida del hospital Agostinho Neto cuenta con mujeres policías entre su personal y está abierto las 24 horas del día. Las víctimas de la viole</w:t>
      </w:r>
      <w:r>
        <w:t>n</w:t>
      </w:r>
      <w:r>
        <w:t>cia doméstica pueden acudir al centro para denunciar agresiones a la policía y ser trasladadas a lugares en los que reciben asesoramiento y asistencia jurídica. En sus primeros seis meses de funcionamiento, el centro ate</w:t>
      </w:r>
      <w:r>
        <w:t>n</w:t>
      </w:r>
      <w:r>
        <w:t>dió a 250 víctimas, incluido un hombre. La iniciativa cuenta con el apoyo de una red de ONG. También se están realizando actividades para establecer albergues para las víctimas de la violencia doméstica. Sin emba</w:t>
      </w:r>
      <w:r>
        <w:t>r</w:t>
      </w:r>
      <w:r>
        <w:t>go, para evitar en lo posible el internamiento en inst</w:t>
      </w:r>
      <w:r>
        <w:t>i</w:t>
      </w:r>
      <w:r>
        <w:t>tuciones, se procura encontrar soluciones en el ámbito de la familia o la comunidad.</w:t>
      </w:r>
    </w:p>
    <w:p w:rsidR="007E27FD" w:rsidRPr="007E27FD" w:rsidRDefault="007E27FD" w:rsidP="007E27FD">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95664E" w:rsidRDefault="0095664E" w:rsidP="0095664E">
      <w:pPr>
        <w:pStyle w:val="H4"/>
        <w:tabs>
          <w:tab w:val="right" w:pos="360"/>
          <w:tab w:val="left" w:pos="475"/>
          <w:tab w:val="left" w:pos="965"/>
          <w:tab w:val="left" w:pos="1440"/>
          <w:tab w:val="left" w:pos="1915"/>
          <w:tab w:val="left" w:pos="2405"/>
          <w:tab w:val="left" w:pos="2880"/>
          <w:tab w:val="left" w:pos="3355"/>
        </w:tabs>
        <w:ind w:left="475" w:hanging="475"/>
      </w:pPr>
      <w:r>
        <w:t>Artículos 7 y 8</w:t>
      </w:r>
    </w:p>
    <w:p w:rsidR="0095664E" w:rsidRDefault="0095664E" w:rsidP="0095664E">
      <w:pPr>
        <w:pStyle w:val="DualTxt"/>
        <w:spacing w:after="0" w:line="120" w:lineRule="exact"/>
        <w:rPr>
          <w:sz w:val="10"/>
        </w:rPr>
      </w:pP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Tavares da Silva</w:t>
      </w:r>
      <w:r>
        <w:t xml:space="preserve"> quiere saber por qué el alto nivel de representación de la mujer en la judicatura y en servicio diplomático no se refleja también en el número de mujeres en los cargos para los cuales hay que ser elegidos. Se pregunta si hay más oposición por parte del hombre con respecto a los cargos para los que hay que ser elegidos, y si tal vez las mujeres tienen una actitud de aceptación del </w:t>
      </w:r>
      <w:r>
        <w:rPr>
          <w:i/>
        </w:rPr>
        <w:t>status quo</w:t>
      </w:r>
      <w:r>
        <w:t>. En el informe se señala que el Código Electoral estipula que las listas de candidatos deben tener una “representación equilibrada de ambos sexos”, pero también señala que se otorgan subvenciones electorales a los partidos si por lo menos el 25% de los candidatos que resultan elegidos en las elecciones son mujeres. Esa cifra no puede considera</w:t>
      </w:r>
      <w:r>
        <w:t>r</w:t>
      </w:r>
      <w:r>
        <w:t>se una representación “equilibrada”. La meta debe ser más elevada, y las medidas que se indican en las re</w:t>
      </w:r>
      <w:r>
        <w:t>s</w:t>
      </w:r>
      <w:r>
        <w:t>puestas del Estado parte son insuficientes para mejorar la situación. Las respuestas también señalan que, en el plano internacional, los representantes de Cabo Verde se designan sin tener en cuenta el género. Desea saber cuál es la actual representación de la mujer a ese nivel.</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Gaspard</w:t>
      </w:r>
      <w:r>
        <w:t xml:space="preserve"> dice que el bajo nivel de repr</w:t>
      </w:r>
      <w:r>
        <w:t>e</w:t>
      </w:r>
      <w:r>
        <w:t>sentación de la mujer en la vida política y pública y el hecho de que un gran porcentaje de familias estén encabezadas por mujeres podrían indicar que hay ob</w:t>
      </w:r>
      <w:r>
        <w:t>s</w:t>
      </w:r>
      <w:r>
        <w:t>táculos para la armonización de la vida profesional, familiar, política y pública de la mujer, como las horas de trabajo que requiere la participación en la política y la renuencia de los partidos políticos dominados por hombres a aceptar a la mujer. Podría ser necesario adoptar medidas especiales de carácter temporal, i</w:t>
      </w:r>
      <w:r>
        <w:t>n</w:t>
      </w:r>
      <w:r>
        <w:t>cluidas cuotas, para aumentar la representación de la mujer. La utilización de metas provisionales podría ayudar a vencer la resistencia del hombre a las cuotas, pero no deben ser más que un escalón para el eventual logro de la paridad. Por otro lado, la ley debe imponer cuotas no sólo para el número de mujeres candidatas sino también para el número de mujeres que pueden ser elegidas.</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t>Refiriéndose al parlamento de los niños, señala que varios países europeos tienen consejos locales de niños en los que hay igual número de niños y niñas. Las niñas que participan en esos consejos por lo gen</w:t>
      </w:r>
      <w:r>
        <w:t>e</w:t>
      </w:r>
      <w:r>
        <w:t>ral son muy activas en los ámbitos político y público al llegar a la edad adulta.</w:t>
      </w:r>
    </w:p>
    <w:p w:rsidR="0095664E" w:rsidRDefault="0095664E" w:rsidP="0095664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Presidenta</w:t>
      </w:r>
      <w:r>
        <w:t>, hablando como miembro del C</w:t>
      </w:r>
      <w:r>
        <w:t>o</w:t>
      </w:r>
      <w:r>
        <w:t>mité, hace suyas las inquietudes expresadas por la Sra. Gaspard y recomienda que se exija a los partidos pol</w:t>
      </w:r>
      <w:r>
        <w:t>í</w:t>
      </w:r>
      <w:r>
        <w:t>ticos presentar igual número de hombres y mujeres como candidatos en las elecciones para obtener las subvenciones del Estado que les permiten realizar sus actividades.</w:t>
      </w:r>
    </w:p>
    <w:p w:rsidR="0095664E" w:rsidRDefault="0095664E" w:rsidP="0095664E">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13.00</w:t>
      </w:r>
      <w:r w:rsidR="000105BE">
        <w:t xml:space="preserve"> horas.</w:t>
      </w:r>
    </w:p>
    <w:p w:rsidR="0095664E" w:rsidRPr="0095664E" w:rsidRDefault="0095664E" w:rsidP="0095664E">
      <w:pPr>
        <w:pStyle w:val="DualTxt"/>
      </w:pPr>
    </w:p>
    <w:sectPr w:rsidR="0095664E" w:rsidRPr="0095664E">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13T11:00:00Z" w:initials="Start">
    <w:p w:rsidR="00DB582D" w:rsidRPr="0095664E" w:rsidRDefault="00DB582D">
      <w:pPr>
        <w:pStyle w:val="CommentText"/>
        <w:rPr>
          <w:lang w:val="en-US"/>
        </w:rPr>
      </w:pPr>
      <w:r>
        <w:fldChar w:fldCharType="begin"/>
      </w:r>
      <w:r w:rsidRPr="0095664E">
        <w:rPr>
          <w:rStyle w:val="CommentReference"/>
          <w:lang w:val="en-US"/>
        </w:rPr>
        <w:instrText xml:space="preserve"> </w:instrText>
      </w:r>
      <w:r w:rsidRPr="0095664E">
        <w:rPr>
          <w:lang w:val="en-US"/>
        </w:rPr>
        <w:instrText>PAGE \# "'Page: '#'</w:instrText>
      </w:r>
      <w:r w:rsidRPr="0095664E">
        <w:rPr>
          <w:lang w:val="en-US"/>
        </w:rPr>
        <w:br/>
        <w:instrText>'"</w:instrText>
      </w:r>
      <w:r w:rsidRPr="0095664E">
        <w:rPr>
          <w:rStyle w:val="CommentReference"/>
          <w:lang w:val="en-US"/>
        </w:rPr>
        <w:instrText xml:space="preserve"> </w:instrText>
      </w:r>
      <w:r>
        <w:fldChar w:fldCharType="end"/>
      </w:r>
      <w:r>
        <w:rPr>
          <w:rStyle w:val="CommentReference"/>
        </w:rPr>
        <w:annotationRef/>
      </w:r>
      <w:r w:rsidRPr="0095664E">
        <w:rPr>
          <w:lang w:val="en-US"/>
        </w:rPr>
        <w:t>&lt;&lt;ODS JOB NO&gt;&gt;N0647233S&lt;&lt;ODS JOB NO&gt;&gt;</w:t>
      </w:r>
    </w:p>
    <w:p w:rsidR="00DB582D" w:rsidRPr="0095664E" w:rsidRDefault="00DB582D">
      <w:pPr>
        <w:pStyle w:val="CommentText"/>
        <w:rPr>
          <w:lang w:val="en-US"/>
        </w:rPr>
      </w:pPr>
      <w:r w:rsidRPr="0095664E">
        <w:rPr>
          <w:lang w:val="en-US"/>
        </w:rPr>
        <w:t>&lt;&lt;ODS DOC SYMBOL1&gt;&gt;CEDAW/C/SR.753&lt;&lt;ODS DOC SYMBOL1&gt;&gt;</w:t>
      </w:r>
    </w:p>
    <w:p w:rsidR="00DB582D" w:rsidRPr="0095664E" w:rsidRDefault="00DB582D">
      <w:pPr>
        <w:pStyle w:val="CommentText"/>
        <w:rPr>
          <w:lang w:val="en-US"/>
        </w:rPr>
      </w:pPr>
      <w:r w:rsidRPr="0095664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B61" w:rsidRDefault="00B76B61">
      <w:r>
        <w:separator/>
      </w:r>
    </w:p>
  </w:endnote>
  <w:endnote w:type="continuationSeparator" w:id="0">
    <w:p w:rsidR="00B76B61" w:rsidRDefault="00B76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B582D">
      <w:tblPrEx>
        <w:tblCellMar>
          <w:top w:w="0" w:type="dxa"/>
          <w:bottom w:w="0" w:type="dxa"/>
        </w:tblCellMar>
      </w:tblPrEx>
      <w:tc>
        <w:tcPr>
          <w:tcW w:w="5033" w:type="dxa"/>
          <w:shd w:val="clear" w:color="auto" w:fill="auto"/>
        </w:tcPr>
        <w:p w:rsidR="00DB582D" w:rsidRPr="0052526A" w:rsidRDefault="00DB582D" w:rsidP="0052526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06-47233</w:t>
          </w:r>
          <w:r>
            <w:rPr>
              <w:b w:val="0"/>
              <w:w w:val="103"/>
              <w:sz w:val="14"/>
            </w:rPr>
            <w:fldChar w:fldCharType="end"/>
          </w:r>
        </w:p>
      </w:tc>
      <w:tc>
        <w:tcPr>
          <w:tcW w:w="5033" w:type="dxa"/>
          <w:shd w:val="clear" w:color="auto" w:fill="auto"/>
        </w:tcPr>
        <w:p w:rsidR="00DB582D" w:rsidRPr="0052526A" w:rsidRDefault="00DB582D" w:rsidP="0052526A">
          <w:pPr>
            <w:pStyle w:val="Footer"/>
            <w:rPr>
              <w:w w:val="103"/>
            </w:rPr>
          </w:pPr>
          <w:r>
            <w:rPr>
              <w:w w:val="103"/>
            </w:rPr>
            <w:fldChar w:fldCharType="begin"/>
          </w:r>
          <w:r>
            <w:rPr>
              <w:w w:val="103"/>
            </w:rPr>
            <w:instrText xml:space="preserve"> PAGE  \* MERGEFORMAT </w:instrText>
          </w:r>
          <w:r>
            <w:rPr>
              <w:w w:val="103"/>
            </w:rPr>
            <w:fldChar w:fldCharType="separate"/>
          </w:r>
          <w:r w:rsidR="00B07781">
            <w:rPr>
              <w:w w:val="103"/>
            </w:rPr>
            <w:t>10</w:t>
          </w:r>
          <w:r>
            <w:rPr>
              <w:w w:val="103"/>
            </w:rPr>
            <w:fldChar w:fldCharType="end"/>
          </w:r>
        </w:p>
      </w:tc>
    </w:tr>
  </w:tbl>
  <w:p w:rsidR="00DB582D" w:rsidRPr="0052526A" w:rsidRDefault="00DB582D" w:rsidP="005252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B582D">
      <w:tblPrEx>
        <w:tblCellMar>
          <w:top w:w="0" w:type="dxa"/>
          <w:bottom w:w="0" w:type="dxa"/>
        </w:tblCellMar>
      </w:tblPrEx>
      <w:tc>
        <w:tcPr>
          <w:tcW w:w="5033" w:type="dxa"/>
          <w:shd w:val="clear" w:color="auto" w:fill="auto"/>
        </w:tcPr>
        <w:p w:rsidR="00DB582D" w:rsidRPr="0052526A" w:rsidRDefault="00DB582D" w:rsidP="0052526A">
          <w:pPr>
            <w:pStyle w:val="Footer"/>
            <w:jc w:val="right"/>
            <w:rPr>
              <w:w w:val="103"/>
            </w:rPr>
          </w:pPr>
          <w:r>
            <w:rPr>
              <w:w w:val="103"/>
            </w:rPr>
            <w:fldChar w:fldCharType="begin"/>
          </w:r>
          <w:r>
            <w:rPr>
              <w:w w:val="103"/>
            </w:rPr>
            <w:instrText xml:space="preserve"> PAGE  \* MERGEFORMAT </w:instrText>
          </w:r>
          <w:r>
            <w:rPr>
              <w:w w:val="103"/>
            </w:rPr>
            <w:fldChar w:fldCharType="separate"/>
          </w:r>
          <w:r w:rsidR="00B07781">
            <w:rPr>
              <w:w w:val="103"/>
            </w:rPr>
            <w:t>11</w:t>
          </w:r>
          <w:r>
            <w:rPr>
              <w:w w:val="103"/>
            </w:rPr>
            <w:fldChar w:fldCharType="end"/>
          </w:r>
        </w:p>
      </w:tc>
      <w:tc>
        <w:tcPr>
          <w:tcW w:w="5033" w:type="dxa"/>
          <w:shd w:val="clear" w:color="auto" w:fill="auto"/>
        </w:tcPr>
        <w:p w:rsidR="00DB582D" w:rsidRPr="0052526A" w:rsidRDefault="00DB582D" w:rsidP="0052526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06-47233</w:t>
          </w:r>
          <w:r>
            <w:rPr>
              <w:b w:val="0"/>
              <w:w w:val="103"/>
              <w:sz w:val="14"/>
            </w:rPr>
            <w:fldChar w:fldCharType="end"/>
          </w:r>
        </w:p>
      </w:tc>
    </w:tr>
  </w:tbl>
  <w:p w:rsidR="00DB582D" w:rsidRPr="0052526A" w:rsidRDefault="00DB582D" w:rsidP="005252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82D" w:rsidRDefault="00DB582D" w:rsidP="0052526A">
    <w:pPr>
      <w:pStyle w:val="Footer"/>
      <w:pBdr>
        <w:top w:val="single" w:sz="2" w:space="1" w:color="auto"/>
      </w:pBdr>
      <w:rPr>
        <w:sz w:val="2"/>
      </w:rPr>
    </w:pPr>
  </w:p>
  <w:p w:rsidR="00DB582D" w:rsidRDefault="00DB582D" w:rsidP="0052526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DB582D" w:rsidRDefault="00DB582D" w:rsidP="0052526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DB582D" w:rsidRDefault="00DB582D" w:rsidP="0052526A">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DB582D" w:rsidRPr="0052526A" w:rsidRDefault="00DB582D" w:rsidP="0052526A">
    <w:pPr>
      <w:pStyle w:val="FootnoteText"/>
      <w:spacing w:line="120" w:lineRule="exact"/>
      <w:ind w:left="1267" w:right="1267" w:firstLine="0"/>
      <w:rPr>
        <w:sz w:val="10"/>
      </w:rPr>
    </w:pPr>
  </w:p>
  <w:p w:rsidR="00DB582D" w:rsidRDefault="00DB582D" w:rsidP="0052526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06-47233 (S)</w:t>
    </w:r>
    <w:r>
      <w:rPr>
        <w:b w:val="0"/>
        <w:sz w:val="20"/>
      </w:rPr>
      <w:fldChar w:fldCharType="end"/>
    </w:r>
  </w:p>
  <w:p w:rsidR="00DB582D" w:rsidRPr="0052526A" w:rsidRDefault="00DB582D" w:rsidP="0052526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*0647233*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B61" w:rsidRDefault="00B76B61">
      <w:r>
        <w:separator/>
      </w:r>
    </w:p>
  </w:footnote>
  <w:footnote w:type="continuationSeparator" w:id="0">
    <w:p w:rsidR="00B76B61" w:rsidRDefault="00B76B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B582D">
      <w:tblPrEx>
        <w:tblCellMar>
          <w:top w:w="0" w:type="dxa"/>
          <w:bottom w:w="0" w:type="dxa"/>
        </w:tblCellMar>
      </w:tblPrEx>
      <w:trPr>
        <w:trHeight w:hRule="exact" w:val="864"/>
      </w:trPr>
      <w:tc>
        <w:tcPr>
          <w:tcW w:w="4838" w:type="dxa"/>
          <w:shd w:val="clear" w:color="auto" w:fill="auto"/>
          <w:vAlign w:val="bottom"/>
        </w:tcPr>
        <w:p w:rsidR="00DB582D" w:rsidRPr="0052526A" w:rsidRDefault="00DB582D" w:rsidP="0052526A">
          <w:pPr>
            <w:pStyle w:val="Header"/>
            <w:spacing w:after="80"/>
            <w:rPr>
              <w:b/>
            </w:rPr>
          </w:pPr>
          <w:r>
            <w:rPr>
              <w:b/>
            </w:rPr>
            <w:fldChar w:fldCharType="begin"/>
          </w:r>
          <w:r>
            <w:rPr>
              <w:b/>
            </w:rPr>
            <w:instrText xml:space="preserve"> DOCVARIABLE "sss1" \* MERGEFORMAT </w:instrText>
          </w:r>
          <w:r>
            <w:rPr>
              <w:b/>
            </w:rPr>
            <w:fldChar w:fldCharType="separate"/>
          </w:r>
          <w:r>
            <w:rPr>
              <w:b/>
            </w:rPr>
            <w:t>CEDAW/C/SR.753</w:t>
          </w:r>
          <w:r>
            <w:rPr>
              <w:b/>
            </w:rPr>
            <w:fldChar w:fldCharType="end"/>
          </w:r>
        </w:p>
      </w:tc>
      <w:tc>
        <w:tcPr>
          <w:tcW w:w="5033" w:type="dxa"/>
          <w:shd w:val="clear" w:color="auto" w:fill="auto"/>
          <w:vAlign w:val="bottom"/>
        </w:tcPr>
        <w:p w:rsidR="00DB582D" w:rsidRDefault="00DB582D" w:rsidP="0052526A">
          <w:pPr>
            <w:pStyle w:val="Header"/>
          </w:pPr>
        </w:p>
      </w:tc>
    </w:tr>
  </w:tbl>
  <w:p w:rsidR="00DB582D" w:rsidRPr="0052526A" w:rsidRDefault="00DB582D" w:rsidP="005252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B582D">
      <w:tblPrEx>
        <w:tblCellMar>
          <w:top w:w="0" w:type="dxa"/>
          <w:bottom w:w="0" w:type="dxa"/>
        </w:tblCellMar>
      </w:tblPrEx>
      <w:trPr>
        <w:trHeight w:hRule="exact" w:val="864"/>
      </w:trPr>
      <w:tc>
        <w:tcPr>
          <w:tcW w:w="4838" w:type="dxa"/>
          <w:shd w:val="clear" w:color="auto" w:fill="auto"/>
          <w:vAlign w:val="bottom"/>
        </w:tcPr>
        <w:p w:rsidR="00DB582D" w:rsidRDefault="00DB582D" w:rsidP="0052526A">
          <w:pPr>
            <w:pStyle w:val="Header"/>
          </w:pPr>
        </w:p>
      </w:tc>
      <w:tc>
        <w:tcPr>
          <w:tcW w:w="5033" w:type="dxa"/>
          <w:shd w:val="clear" w:color="auto" w:fill="auto"/>
          <w:vAlign w:val="bottom"/>
        </w:tcPr>
        <w:p w:rsidR="00DB582D" w:rsidRPr="0052526A" w:rsidRDefault="00DB582D" w:rsidP="0052526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CEDAW/C/SR.753</w:t>
          </w:r>
          <w:r>
            <w:rPr>
              <w:b/>
            </w:rPr>
            <w:fldChar w:fldCharType="end"/>
          </w:r>
        </w:p>
      </w:tc>
    </w:tr>
  </w:tbl>
  <w:p w:rsidR="00DB582D" w:rsidRPr="0052526A" w:rsidRDefault="00DB582D" w:rsidP="005252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B582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B582D" w:rsidRDefault="00DB582D" w:rsidP="0052526A">
          <w:pPr>
            <w:pStyle w:val="Header"/>
            <w:spacing w:after="120"/>
          </w:pPr>
        </w:p>
      </w:tc>
      <w:tc>
        <w:tcPr>
          <w:tcW w:w="2059" w:type="dxa"/>
          <w:tcBorders>
            <w:bottom w:val="single" w:sz="4" w:space="0" w:color="auto"/>
          </w:tcBorders>
          <w:shd w:val="clear" w:color="auto" w:fill="auto"/>
          <w:vAlign w:val="bottom"/>
        </w:tcPr>
        <w:p w:rsidR="00DB582D" w:rsidRPr="0052526A" w:rsidRDefault="00DB582D" w:rsidP="0052526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B582D" w:rsidRDefault="00DB582D" w:rsidP="0052526A">
          <w:pPr>
            <w:pStyle w:val="Header"/>
            <w:spacing w:after="120"/>
          </w:pPr>
        </w:p>
      </w:tc>
      <w:tc>
        <w:tcPr>
          <w:tcW w:w="6523" w:type="dxa"/>
          <w:gridSpan w:val="3"/>
          <w:tcBorders>
            <w:bottom w:val="single" w:sz="4" w:space="0" w:color="auto"/>
          </w:tcBorders>
          <w:shd w:val="clear" w:color="auto" w:fill="auto"/>
          <w:vAlign w:val="bottom"/>
        </w:tcPr>
        <w:p w:rsidR="00DB582D" w:rsidRPr="0052526A" w:rsidRDefault="00DB582D" w:rsidP="0052526A">
          <w:pPr>
            <w:spacing w:after="80" w:line="240" w:lineRule="auto"/>
            <w:jc w:val="right"/>
            <w:rPr>
              <w:position w:val="-4"/>
            </w:rPr>
          </w:pPr>
          <w:r>
            <w:rPr>
              <w:position w:val="-4"/>
              <w:sz w:val="40"/>
            </w:rPr>
            <w:t>CEDAW</w:t>
          </w:r>
          <w:r>
            <w:rPr>
              <w:position w:val="-4"/>
            </w:rPr>
            <w:t>/C/SR.753</w:t>
          </w:r>
        </w:p>
      </w:tc>
    </w:tr>
    <w:tr w:rsidR="00DB582D" w:rsidRPr="0052526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B582D" w:rsidRDefault="00DB582D" w:rsidP="0052526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B582D" w:rsidRPr="0052526A" w:rsidRDefault="00DB582D" w:rsidP="0052526A">
          <w:pPr>
            <w:pStyle w:val="Header"/>
            <w:spacing w:before="109"/>
          </w:pPr>
        </w:p>
      </w:tc>
      <w:tc>
        <w:tcPr>
          <w:tcW w:w="5227" w:type="dxa"/>
          <w:gridSpan w:val="3"/>
          <w:tcBorders>
            <w:top w:val="single" w:sz="4" w:space="0" w:color="auto"/>
            <w:bottom w:val="single" w:sz="12" w:space="0" w:color="auto"/>
          </w:tcBorders>
          <w:shd w:val="clear" w:color="auto" w:fill="auto"/>
        </w:tcPr>
        <w:p w:rsidR="00DB582D" w:rsidRPr="0052526A" w:rsidRDefault="00DB582D" w:rsidP="0052526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B582D" w:rsidRPr="0095664E" w:rsidRDefault="00DB582D" w:rsidP="0052526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B582D" w:rsidRDefault="00DB582D" w:rsidP="0052526A">
          <w:pPr>
            <w:spacing w:before="240"/>
          </w:pPr>
          <w:r>
            <w:t>Distr. general</w:t>
          </w:r>
        </w:p>
        <w:p w:rsidR="00DB582D" w:rsidRDefault="00DB582D" w:rsidP="0052526A">
          <w:r>
            <w:t>16 de octubre de 2006</w:t>
          </w:r>
        </w:p>
        <w:p w:rsidR="00DB582D" w:rsidRDefault="00DB582D" w:rsidP="0052526A">
          <w:r>
            <w:t>Español</w:t>
          </w:r>
        </w:p>
        <w:p w:rsidR="00DB582D" w:rsidRPr="0052526A" w:rsidRDefault="00DB582D" w:rsidP="0052526A">
          <w:r>
            <w:t>Original: inglés</w:t>
          </w:r>
        </w:p>
      </w:tc>
    </w:tr>
  </w:tbl>
  <w:p w:rsidR="00DB582D" w:rsidRPr="0052526A" w:rsidRDefault="00DB582D" w:rsidP="0052526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B81B1E"/>
    <w:multiLevelType w:val="singleLevel"/>
    <w:tmpl w:val="869ED21C"/>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233*"/>
    <w:docVar w:name="CreationDt" w:val="13/10/2006 11:00:07"/>
    <w:docVar w:name="DocCategory" w:val="SROthers"/>
    <w:docVar w:name="DocType" w:val="Final"/>
    <w:docVar w:name="FooterJN" w:val="06-47233"/>
    <w:docVar w:name="jobn" w:val="06-47233 (S)"/>
    <w:docVar w:name="jobnDT" w:val="06-47233 (S)   131006"/>
    <w:docVar w:name="jobnDTDT" w:val="06-47233 (S)   131006   131006"/>
    <w:docVar w:name="JobNo" w:val="0647233S"/>
    <w:docVar w:name="OandT" w:val=" "/>
    <w:docVar w:name="sss1" w:val="CEDAW/C/SR.753"/>
    <w:docVar w:name="sss2" w:val="-"/>
    <w:docVar w:name="Symbol1" w:val="CEDAW/C/SR.753"/>
    <w:docVar w:name="Symbol2" w:val="-"/>
  </w:docVars>
  <w:rsids>
    <w:rsidRoot w:val="00F52B2E"/>
    <w:rsid w:val="000105BE"/>
    <w:rsid w:val="000A1971"/>
    <w:rsid w:val="0034246D"/>
    <w:rsid w:val="003C12C7"/>
    <w:rsid w:val="00400307"/>
    <w:rsid w:val="0052526A"/>
    <w:rsid w:val="00612DA1"/>
    <w:rsid w:val="00630CE1"/>
    <w:rsid w:val="007C566A"/>
    <w:rsid w:val="007E27FD"/>
    <w:rsid w:val="009540A8"/>
    <w:rsid w:val="0095664E"/>
    <w:rsid w:val="009B6140"/>
    <w:rsid w:val="00B07781"/>
    <w:rsid w:val="00B151F5"/>
    <w:rsid w:val="00B76B61"/>
    <w:rsid w:val="00BE7B2F"/>
    <w:rsid w:val="00CD4760"/>
    <w:rsid w:val="00CE1381"/>
    <w:rsid w:val="00DB582D"/>
    <w:rsid w:val="00E054C0"/>
    <w:rsid w:val="00E31D49"/>
    <w:rsid w:val="00F52B2E"/>
    <w:rsid w:val="00FE2F8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52526A"/>
  </w:style>
  <w:style w:type="paragraph" w:styleId="CommentSubject">
    <w:name w:val="annotation subject"/>
    <w:basedOn w:val="CommentText"/>
    <w:next w:val="CommentText"/>
    <w:semiHidden/>
    <w:rsid w:val="005252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7428</Words>
  <Characters>42346</Characters>
  <Application>Microsoft Office Word</Application>
  <DocSecurity>4</DocSecurity>
  <Lines>352</Lines>
  <Paragraphs>99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49675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Becerra, Emma</dc:creator>
  <cp:keywords/>
  <dc:description/>
  <cp:lastModifiedBy>Becerra, Emma</cp:lastModifiedBy>
  <cp:revision>9</cp:revision>
  <cp:lastPrinted>2006-10-13T09:08:00Z</cp:lastPrinted>
  <dcterms:created xsi:type="dcterms:W3CDTF">2006-10-13T08:59:00Z</dcterms:created>
  <dcterms:modified xsi:type="dcterms:W3CDTF">2006-10-13T09:11:00Z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0647233</vt:lpwstr>
  </property>
  <property fmtid="{D5CDD505-2E9C-101B-9397-08002B2CF9AE}" pid="3" name="Symbol1">
    <vt:lpwstr>CEDAW/C/SR.753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